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294B82" w:rsidRPr="00010997" w:rsidTr="0079142B">
        <w:tc>
          <w:tcPr>
            <w:tcW w:w="5920" w:type="dxa"/>
          </w:tcPr>
          <w:p w:rsidR="00294B82" w:rsidRPr="00010997" w:rsidRDefault="00294B82" w:rsidP="0079142B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651" w:type="dxa"/>
          </w:tcPr>
          <w:p w:rsidR="00294B82" w:rsidRPr="00010997" w:rsidRDefault="00795B4C" w:rsidP="000E3734">
            <w:pPr>
              <w:spacing w:line="240" w:lineRule="auto"/>
              <w:ind w:left="0" w:right="0" w:firstLine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1</w:t>
            </w:r>
            <w:r w:rsidR="004D0876">
              <w:rPr>
                <w:sz w:val="24"/>
                <w:szCs w:val="24"/>
              </w:rPr>
              <w:t>2</w:t>
            </w:r>
          </w:p>
          <w:p w:rsidR="00294B82" w:rsidRPr="00010997" w:rsidRDefault="00B4277E" w:rsidP="000E3734">
            <w:pPr>
              <w:spacing w:line="240" w:lineRule="auto"/>
              <w:ind w:left="0" w:right="0" w:firstLine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аналитической записке</w:t>
            </w:r>
          </w:p>
          <w:p w:rsidR="00294B82" w:rsidRPr="00010997" w:rsidRDefault="00294B82" w:rsidP="00C24D0A">
            <w:pPr>
              <w:spacing w:line="372" w:lineRule="auto"/>
              <w:ind w:left="0" w:right="0" w:firstLine="34"/>
              <w:jc w:val="left"/>
              <w:rPr>
                <w:sz w:val="24"/>
                <w:szCs w:val="24"/>
              </w:rPr>
            </w:pPr>
          </w:p>
        </w:tc>
      </w:tr>
    </w:tbl>
    <w:p w:rsidR="007701E5" w:rsidRDefault="009F2053" w:rsidP="009F2053">
      <w:pPr>
        <w:spacing w:line="240" w:lineRule="auto"/>
        <w:ind w:left="0" w:firstLine="0"/>
        <w:jc w:val="center"/>
        <w:rPr>
          <w:b/>
          <w:sz w:val="24"/>
        </w:rPr>
      </w:pPr>
      <w:r w:rsidRPr="009F2053">
        <w:rPr>
          <w:b/>
          <w:sz w:val="24"/>
        </w:rPr>
        <w:t xml:space="preserve">Информация о недостатках, выполнении </w:t>
      </w:r>
      <w:r w:rsidR="0035084D">
        <w:rPr>
          <w:b/>
          <w:sz w:val="24"/>
        </w:rPr>
        <w:t xml:space="preserve">отдельных </w:t>
      </w:r>
      <w:r w:rsidRPr="009F2053">
        <w:rPr>
          <w:b/>
          <w:sz w:val="24"/>
        </w:rPr>
        <w:t xml:space="preserve">показателей, </w:t>
      </w:r>
    </w:p>
    <w:p w:rsidR="009F2053" w:rsidRPr="009F2053" w:rsidRDefault="009F2053" w:rsidP="009F2053">
      <w:pPr>
        <w:spacing w:line="240" w:lineRule="auto"/>
        <w:ind w:left="0" w:firstLine="0"/>
        <w:jc w:val="center"/>
        <w:rPr>
          <w:b/>
          <w:sz w:val="24"/>
        </w:rPr>
      </w:pPr>
      <w:r w:rsidRPr="009F2053">
        <w:rPr>
          <w:b/>
          <w:sz w:val="24"/>
        </w:rPr>
        <w:t>контрольных точек по приоритетным проектам (программам)</w:t>
      </w:r>
    </w:p>
    <w:p w:rsidR="009F2053" w:rsidRPr="00EF5709" w:rsidRDefault="009F2053" w:rsidP="001C6139">
      <w:pPr>
        <w:overflowPunct/>
        <w:autoSpaceDE/>
        <w:autoSpaceDN/>
        <w:adjustRightInd/>
        <w:ind w:left="0" w:right="0"/>
        <w:textAlignment w:val="auto"/>
        <w:rPr>
          <w:sz w:val="24"/>
          <w:szCs w:val="24"/>
          <w:lang w:eastAsia="en-US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5635"/>
      </w:tblGrid>
      <w:tr w:rsidR="00BD6E99" w:rsidRPr="00FE6194" w:rsidTr="00BD6E99">
        <w:trPr>
          <w:tblHeader/>
        </w:trPr>
        <w:tc>
          <w:tcPr>
            <w:tcW w:w="817" w:type="dxa"/>
          </w:tcPr>
          <w:p w:rsidR="00BD6E99" w:rsidRPr="00FE6194" w:rsidRDefault="00BD6E99" w:rsidP="00BD6E9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FE6194">
              <w:rPr>
                <w:rFonts w:eastAsia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FE6194">
              <w:rPr>
                <w:rFonts w:eastAsia="Times New Roman"/>
                <w:b/>
                <w:sz w:val="20"/>
                <w:szCs w:val="20"/>
              </w:rPr>
              <w:t>п</w:t>
            </w:r>
            <w:proofErr w:type="gramEnd"/>
            <w:r w:rsidRPr="00FE6194">
              <w:rPr>
                <w:rFonts w:eastAsia="Times New Roman"/>
                <w:b/>
                <w:sz w:val="20"/>
                <w:szCs w:val="20"/>
                <w:lang w:val="en-US"/>
              </w:rPr>
              <w:t>/</w:t>
            </w:r>
            <w:r w:rsidRPr="00FE6194">
              <w:rPr>
                <w:rFonts w:eastAsia="Times New Roman"/>
                <w:b/>
                <w:sz w:val="20"/>
                <w:szCs w:val="20"/>
              </w:rPr>
              <w:t>п</w:t>
            </w:r>
          </w:p>
        </w:tc>
        <w:tc>
          <w:tcPr>
            <w:tcW w:w="3119" w:type="dxa"/>
          </w:tcPr>
          <w:p w:rsidR="00BD6E99" w:rsidRPr="00FE6194" w:rsidRDefault="00BD6E99" w:rsidP="00BD6E9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FE6194">
              <w:rPr>
                <w:rFonts w:eastAsia="Times New Roman"/>
                <w:b/>
                <w:sz w:val="20"/>
                <w:szCs w:val="20"/>
              </w:rPr>
              <w:t>Наименование приоритетного проекта (программы)</w:t>
            </w:r>
          </w:p>
        </w:tc>
        <w:tc>
          <w:tcPr>
            <w:tcW w:w="5635" w:type="dxa"/>
          </w:tcPr>
          <w:p w:rsidR="00BD6E99" w:rsidRPr="00FE6194" w:rsidRDefault="00BD6E99" w:rsidP="00BD6E9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FE6194">
              <w:rPr>
                <w:rFonts w:eastAsia="Times New Roman"/>
                <w:b/>
                <w:sz w:val="20"/>
                <w:szCs w:val="20"/>
              </w:rPr>
              <w:t>Недостатки, выявленные в ходе реализации приоритетного проекта (программы)</w:t>
            </w:r>
          </w:p>
        </w:tc>
      </w:tr>
      <w:tr w:rsidR="00EF5709" w:rsidRPr="00FE6194" w:rsidTr="00BD6E99">
        <w:tc>
          <w:tcPr>
            <w:tcW w:w="817" w:type="dxa"/>
          </w:tcPr>
          <w:p w:rsidR="00EF5709" w:rsidRPr="00FE6194" w:rsidRDefault="007701E5" w:rsidP="00DD05A4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EF5709" w:rsidRPr="00FE6194" w:rsidRDefault="00EF5709" w:rsidP="00BD6E9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sz w:val="20"/>
                <w:szCs w:val="20"/>
              </w:rPr>
            </w:pPr>
            <w:r w:rsidRPr="00EF5709">
              <w:rPr>
                <w:sz w:val="20"/>
                <w:szCs w:val="20"/>
              </w:rPr>
              <w:t>«Чистая страна»</w:t>
            </w:r>
          </w:p>
        </w:tc>
        <w:tc>
          <w:tcPr>
            <w:tcW w:w="5635" w:type="dxa"/>
          </w:tcPr>
          <w:p w:rsidR="00EF5709" w:rsidRPr="00EF5709" w:rsidRDefault="00EF5709" w:rsidP="00EF5709">
            <w:pPr>
              <w:spacing w:line="240" w:lineRule="auto"/>
              <w:ind w:left="0" w:right="0"/>
              <w:rPr>
                <w:sz w:val="20"/>
                <w:szCs w:val="20"/>
              </w:rPr>
            </w:pPr>
            <w:proofErr w:type="gramStart"/>
            <w:r w:rsidRPr="00EF5709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указанному </w:t>
            </w:r>
            <w:r w:rsidRPr="00EF5709">
              <w:rPr>
                <w:sz w:val="20"/>
                <w:szCs w:val="20"/>
              </w:rPr>
              <w:t xml:space="preserve">приоритетному проект анализ реализации мероприятия по ликвидации несанкционированных свалок на территории Нижегородской области (свалка промышленных отходов «Черная дыра», </w:t>
            </w:r>
            <w:proofErr w:type="spellStart"/>
            <w:r w:rsidRPr="00EF5709">
              <w:rPr>
                <w:sz w:val="20"/>
                <w:szCs w:val="20"/>
              </w:rPr>
              <w:t>шламонакопитель</w:t>
            </w:r>
            <w:proofErr w:type="spellEnd"/>
            <w:r w:rsidRPr="00EF5709">
              <w:rPr>
                <w:sz w:val="20"/>
                <w:szCs w:val="20"/>
              </w:rPr>
              <w:t xml:space="preserve"> «Белое море», полигон твердых бытовых отходов «</w:t>
            </w:r>
            <w:proofErr w:type="spellStart"/>
            <w:r w:rsidRPr="00EF5709">
              <w:rPr>
                <w:sz w:val="20"/>
                <w:szCs w:val="20"/>
              </w:rPr>
              <w:t>Игумново</w:t>
            </w:r>
            <w:proofErr w:type="spellEnd"/>
            <w:r w:rsidRPr="00EF5709">
              <w:rPr>
                <w:sz w:val="20"/>
                <w:szCs w:val="20"/>
              </w:rPr>
              <w:t>») показал, что Минприроды России в 2018 году предусматривались бюджетные ассигнования на предоставление бюджету Нижегородской области субсидии на реализацию проектов в области обращения с отходами и ликвидации накопленного экологического ущерба в объеме 500,0</w:t>
            </w:r>
            <w:proofErr w:type="gramEnd"/>
            <w:r w:rsidRPr="00EF5709">
              <w:rPr>
                <w:sz w:val="20"/>
                <w:szCs w:val="20"/>
              </w:rPr>
              <w:t xml:space="preserve"> млн. рублей (уровень </w:t>
            </w:r>
            <w:proofErr w:type="spellStart"/>
            <w:r w:rsidRPr="00EF5709">
              <w:rPr>
                <w:sz w:val="20"/>
                <w:szCs w:val="20"/>
              </w:rPr>
              <w:t>софинансирования</w:t>
            </w:r>
            <w:proofErr w:type="spellEnd"/>
            <w:r w:rsidRPr="00EF5709">
              <w:rPr>
                <w:sz w:val="20"/>
                <w:szCs w:val="20"/>
              </w:rPr>
              <w:t xml:space="preserve"> – 74 %) и иного межбюджетного трансферта из резервного фонда в соответствии с распоряжением Правительства Российской Федерации от 27 апреля 2018 г. № 781-р в объеме 3 300,0 млн. рублей (уровень </w:t>
            </w:r>
            <w:proofErr w:type="spellStart"/>
            <w:r w:rsidRPr="00EF5709">
              <w:rPr>
                <w:sz w:val="20"/>
                <w:szCs w:val="20"/>
              </w:rPr>
              <w:t>софинансирования</w:t>
            </w:r>
            <w:proofErr w:type="spellEnd"/>
            <w:r w:rsidRPr="00EF5709">
              <w:rPr>
                <w:sz w:val="20"/>
                <w:szCs w:val="20"/>
              </w:rPr>
              <w:t xml:space="preserve"> – 99 %), которые по итогам </w:t>
            </w:r>
            <w:r w:rsidR="00FC75E2">
              <w:rPr>
                <w:sz w:val="20"/>
                <w:szCs w:val="20"/>
              </w:rPr>
              <w:t xml:space="preserve">2018 </w:t>
            </w:r>
            <w:r w:rsidRPr="00EF5709">
              <w:rPr>
                <w:sz w:val="20"/>
                <w:szCs w:val="20"/>
              </w:rPr>
              <w:t xml:space="preserve">года исполнены полностью. Кассовые расходы субъекта Российской Федерации осуществлены в </w:t>
            </w:r>
            <w:proofErr w:type="gramStart"/>
            <w:r w:rsidRPr="00EF5709">
              <w:rPr>
                <w:sz w:val="20"/>
                <w:szCs w:val="20"/>
              </w:rPr>
              <w:t>полном</w:t>
            </w:r>
            <w:proofErr w:type="gramEnd"/>
            <w:r w:rsidRPr="00EF5709">
              <w:rPr>
                <w:sz w:val="20"/>
                <w:szCs w:val="20"/>
              </w:rPr>
              <w:t xml:space="preserve"> </w:t>
            </w:r>
            <w:proofErr w:type="spellStart"/>
            <w:r w:rsidRPr="00EF5709">
              <w:rPr>
                <w:sz w:val="20"/>
                <w:szCs w:val="20"/>
              </w:rPr>
              <w:t>обьеме</w:t>
            </w:r>
            <w:proofErr w:type="spellEnd"/>
            <w:r w:rsidRPr="00EF5709">
              <w:rPr>
                <w:sz w:val="20"/>
                <w:szCs w:val="20"/>
              </w:rPr>
              <w:t xml:space="preserve">. </w:t>
            </w:r>
          </w:p>
          <w:p w:rsidR="00EF5709" w:rsidRPr="00EF5709" w:rsidRDefault="00EF5709" w:rsidP="00EF5709">
            <w:pPr>
              <w:spacing w:line="240" w:lineRule="auto"/>
              <w:ind w:left="0" w:right="0"/>
              <w:rPr>
                <w:sz w:val="20"/>
                <w:szCs w:val="20"/>
              </w:rPr>
            </w:pPr>
            <w:r w:rsidRPr="00EF5709">
              <w:rPr>
                <w:sz w:val="20"/>
                <w:szCs w:val="20"/>
              </w:rPr>
              <w:t>Реализация мероприятий осуществляется в рамках государственного контракта от 25 июля 2016</w:t>
            </w:r>
            <w:r w:rsidR="007701E5">
              <w:rPr>
                <w:sz w:val="20"/>
                <w:szCs w:val="20"/>
              </w:rPr>
              <w:t> г. № </w:t>
            </w:r>
            <w:r w:rsidRPr="00EF5709">
              <w:rPr>
                <w:sz w:val="20"/>
                <w:szCs w:val="20"/>
              </w:rPr>
              <w:t>25/16-ЕП, заключенного между ГБУ Нижегородской области «Эколо</w:t>
            </w:r>
            <w:r w:rsidR="000E3734">
              <w:rPr>
                <w:sz w:val="20"/>
                <w:szCs w:val="20"/>
              </w:rPr>
              <w:t xml:space="preserve">гия региона», подведомственным </w:t>
            </w:r>
            <w:proofErr w:type="spellStart"/>
            <w:r w:rsidR="000E3734">
              <w:rPr>
                <w:sz w:val="20"/>
                <w:szCs w:val="20"/>
              </w:rPr>
              <w:t>м</w:t>
            </w:r>
            <w:r w:rsidRPr="00EF5709">
              <w:rPr>
                <w:sz w:val="20"/>
                <w:szCs w:val="20"/>
              </w:rPr>
              <w:t>инприроды</w:t>
            </w:r>
            <w:proofErr w:type="spellEnd"/>
            <w:r w:rsidRPr="00EF5709">
              <w:rPr>
                <w:sz w:val="20"/>
                <w:szCs w:val="20"/>
              </w:rPr>
              <w:t xml:space="preserve"> Нижегородской области, </w:t>
            </w:r>
            <w:proofErr w:type="gramStart"/>
            <w:r w:rsidRPr="00EF5709">
              <w:rPr>
                <w:sz w:val="20"/>
                <w:szCs w:val="20"/>
              </w:rPr>
              <w:t>и ООО</w:t>
            </w:r>
            <w:proofErr w:type="gramEnd"/>
            <w:r w:rsidRPr="00EF5709">
              <w:rPr>
                <w:sz w:val="20"/>
                <w:szCs w:val="20"/>
              </w:rPr>
              <w:t xml:space="preserve"> «</w:t>
            </w:r>
            <w:proofErr w:type="spellStart"/>
            <w:r w:rsidRPr="00EF5709">
              <w:rPr>
                <w:sz w:val="20"/>
                <w:szCs w:val="20"/>
              </w:rPr>
              <w:t>ГазЭнергоСтрой</w:t>
            </w:r>
            <w:proofErr w:type="spellEnd"/>
            <w:r w:rsidRPr="00EF5709">
              <w:rPr>
                <w:sz w:val="20"/>
                <w:szCs w:val="20"/>
              </w:rPr>
              <w:t xml:space="preserve"> – Экологические технологии». </w:t>
            </w:r>
            <w:proofErr w:type="gramStart"/>
            <w:r w:rsidRPr="00EF5709">
              <w:rPr>
                <w:sz w:val="20"/>
                <w:szCs w:val="20"/>
              </w:rPr>
              <w:t>По результатам проектно-изыскательских работ (положительные заключения ФАУ «</w:t>
            </w:r>
            <w:proofErr w:type="spellStart"/>
            <w:r w:rsidRPr="00EF5709">
              <w:rPr>
                <w:sz w:val="20"/>
                <w:szCs w:val="20"/>
              </w:rPr>
              <w:t>Главгосэкспертиза</w:t>
            </w:r>
            <w:proofErr w:type="spellEnd"/>
            <w:r w:rsidRPr="00EF5709">
              <w:rPr>
                <w:sz w:val="20"/>
                <w:szCs w:val="20"/>
              </w:rPr>
              <w:t xml:space="preserve"> России» получены в июле 2017 года) цена </w:t>
            </w:r>
            <w:proofErr w:type="spellStart"/>
            <w:r w:rsidRPr="00EF5709">
              <w:rPr>
                <w:sz w:val="20"/>
                <w:szCs w:val="20"/>
              </w:rPr>
              <w:t>госконтракта</w:t>
            </w:r>
            <w:proofErr w:type="spellEnd"/>
            <w:r w:rsidRPr="00EF5709">
              <w:rPr>
                <w:sz w:val="20"/>
                <w:szCs w:val="20"/>
              </w:rPr>
              <w:t xml:space="preserve"> увеличилась с 4 108,3 млн. рублей до 7 012,1 млн. рублей и перенесены сроки завершения работ по </w:t>
            </w:r>
            <w:proofErr w:type="spellStart"/>
            <w:r w:rsidRPr="00EF5709">
              <w:rPr>
                <w:sz w:val="20"/>
                <w:szCs w:val="20"/>
              </w:rPr>
              <w:t>шламонакопителю</w:t>
            </w:r>
            <w:proofErr w:type="spellEnd"/>
            <w:r w:rsidRPr="00EF5709">
              <w:rPr>
                <w:sz w:val="20"/>
                <w:szCs w:val="20"/>
              </w:rPr>
              <w:t xml:space="preserve"> «Белое море» с 1 августа 2018 года на апрель 2020 года, по полигону твердых бытовых отходов «</w:t>
            </w:r>
            <w:proofErr w:type="spellStart"/>
            <w:r w:rsidRPr="00EF5709">
              <w:rPr>
                <w:sz w:val="20"/>
                <w:szCs w:val="20"/>
              </w:rPr>
              <w:t>Игумново</w:t>
            </w:r>
            <w:proofErr w:type="spellEnd"/>
            <w:r w:rsidRPr="00EF5709">
              <w:rPr>
                <w:sz w:val="20"/>
                <w:szCs w:val="20"/>
              </w:rPr>
              <w:t>» - с 15 февраля 2019 года также на апрель 2020</w:t>
            </w:r>
            <w:proofErr w:type="gramEnd"/>
            <w:r w:rsidRPr="00EF5709">
              <w:rPr>
                <w:sz w:val="20"/>
                <w:szCs w:val="20"/>
              </w:rPr>
              <w:t xml:space="preserve"> года (дополнительное соглашение к </w:t>
            </w:r>
            <w:proofErr w:type="spellStart"/>
            <w:r w:rsidRPr="00EF5709">
              <w:rPr>
                <w:sz w:val="20"/>
                <w:szCs w:val="20"/>
              </w:rPr>
              <w:t>госконтракту</w:t>
            </w:r>
            <w:proofErr w:type="spellEnd"/>
            <w:r w:rsidRPr="00EF5709">
              <w:rPr>
                <w:sz w:val="20"/>
                <w:szCs w:val="20"/>
              </w:rPr>
              <w:t xml:space="preserve"> от 13 июля 2018 г. № 5).</w:t>
            </w:r>
          </w:p>
          <w:p w:rsidR="00EF5709" w:rsidRPr="00EF5709" w:rsidRDefault="00EF5709" w:rsidP="00EF5709">
            <w:pPr>
              <w:spacing w:line="240" w:lineRule="auto"/>
              <w:ind w:left="0" w:right="0"/>
              <w:rPr>
                <w:sz w:val="20"/>
                <w:szCs w:val="20"/>
              </w:rPr>
            </w:pPr>
            <w:r w:rsidRPr="00EF5709">
              <w:rPr>
                <w:sz w:val="20"/>
                <w:szCs w:val="20"/>
              </w:rPr>
              <w:t xml:space="preserve">Вместе с тем по соглашению о предоставлении иного межбюджетного трансферта между Правительством Нижегородской области и Минприроды России от 27 мая 2018 г. № 051-17-2018-001 выполнение показателя, установленного распоряжением Правительства Российской Федерации от 27 апреля 2018 г. № 781-р, предусмотрено в 2018 году (восстановление нарушенных земель общей площадью 0,054 тыс. га). </w:t>
            </w:r>
          </w:p>
          <w:p w:rsidR="00EF5709" w:rsidRPr="00EF5709" w:rsidRDefault="00EF5709" w:rsidP="00EF5709">
            <w:pPr>
              <w:spacing w:line="240" w:lineRule="auto"/>
              <w:ind w:left="0" w:right="0"/>
              <w:rPr>
                <w:sz w:val="20"/>
                <w:szCs w:val="20"/>
              </w:rPr>
            </w:pPr>
            <w:r w:rsidRPr="00EF5709">
              <w:rPr>
                <w:sz w:val="20"/>
                <w:szCs w:val="20"/>
              </w:rPr>
              <w:t>Кроме того, в конце 2018 года дополнительным соглашением (от 12</w:t>
            </w:r>
            <w:r w:rsidR="007701E5">
              <w:rPr>
                <w:sz w:val="20"/>
                <w:szCs w:val="20"/>
              </w:rPr>
              <w:t> </w:t>
            </w:r>
            <w:r w:rsidRPr="00EF5709">
              <w:rPr>
                <w:sz w:val="20"/>
                <w:szCs w:val="20"/>
              </w:rPr>
              <w:t>декабря 2018</w:t>
            </w:r>
            <w:r w:rsidR="007701E5">
              <w:rPr>
                <w:sz w:val="20"/>
                <w:szCs w:val="20"/>
              </w:rPr>
              <w:t> г. № </w:t>
            </w:r>
            <w:r w:rsidRPr="00EF5709">
              <w:rPr>
                <w:sz w:val="20"/>
                <w:szCs w:val="20"/>
              </w:rPr>
              <w:t xml:space="preserve">6 к </w:t>
            </w:r>
            <w:proofErr w:type="spellStart"/>
            <w:r w:rsidRPr="00EF5709">
              <w:rPr>
                <w:sz w:val="20"/>
                <w:szCs w:val="20"/>
              </w:rPr>
              <w:t>госконтракту</w:t>
            </w:r>
            <w:proofErr w:type="spellEnd"/>
            <w:r w:rsidRPr="00EF5709">
              <w:rPr>
                <w:sz w:val="20"/>
                <w:szCs w:val="20"/>
              </w:rPr>
              <w:t xml:space="preserve"> </w:t>
            </w:r>
            <w:r w:rsidR="007701E5">
              <w:rPr>
                <w:sz w:val="20"/>
                <w:szCs w:val="20"/>
              </w:rPr>
              <w:br/>
            </w:r>
            <w:r w:rsidRPr="00EF5709">
              <w:rPr>
                <w:sz w:val="20"/>
                <w:szCs w:val="20"/>
              </w:rPr>
              <w:t>№ 25-16/</w:t>
            </w:r>
            <w:proofErr w:type="gramStart"/>
            <w:r w:rsidRPr="00EF5709">
              <w:rPr>
                <w:sz w:val="20"/>
                <w:szCs w:val="20"/>
              </w:rPr>
              <w:t>ЕП</w:t>
            </w:r>
            <w:proofErr w:type="gramEnd"/>
            <w:r w:rsidRPr="00EF5709">
              <w:rPr>
                <w:sz w:val="20"/>
                <w:szCs w:val="20"/>
              </w:rPr>
              <w:t>) размер аванса, подлежащего перечислению в 2018 году, увеличен с 820,6 млн. рублей до 1 691,7 млн. рублей. В соответствии с новыми условиями контракта указа</w:t>
            </w:r>
            <w:r w:rsidR="007701E5">
              <w:rPr>
                <w:sz w:val="20"/>
                <w:szCs w:val="20"/>
              </w:rPr>
              <w:t>нные средства в качестве аванса</w:t>
            </w:r>
            <w:r w:rsidRPr="00EF5709">
              <w:rPr>
                <w:sz w:val="20"/>
                <w:szCs w:val="20"/>
              </w:rPr>
              <w:t xml:space="preserve"> перечислены ГБУ «Экология региона» на счет подрядчика 13 декабря 2018 года.</w:t>
            </w:r>
          </w:p>
          <w:p w:rsidR="00EF5709" w:rsidRPr="00FE6194" w:rsidRDefault="00EF5709" w:rsidP="00EF5709">
            <w:pPr>
              <w:spacing w:line="240" w:lineRule="auto"/>
              <w:ind w:left="0" w:right="0"/>
              <w:rPr>
                <w:sz w:val="20"/>
                <w:szCs w:val="20"/>
              </w:rPr>
            </w:pPr>
            <w:r w:rsidRPr="00EF5709">
              <w:rPr>
                <w:sz w:val="20"/>
                <w:szCs w:val="20"/>
              </w:rPr>
              <w:t xml:space="preserve">Таким образом, по состоянию на 1 января 2019 года из перечисленных подрядчику 3 800,0 млн. рублей не </w:t>
            </w:r>
            <w:proofErr w:type="gramStart"/>
            <w:r w:rsidRPr="00EF5709">
              <w:rPr>
                <w:sz w:val="20"/>
                <w:szCs w:val="20"/>
              </w:rPr>
              <w:t>подтверждены</w:t>
            </w:r>
            <w:proofErr w:type="gramEnd"/>
            <w:r w:rsidRPr="00EF5709">
              <w:rPr>
                <w:sz w:val="20"/>
                <w:szCs w:val="20"/>
              </w:rPr>
              <w:t xml:space="preserve"> актами выпо</w:t>
            </w:r>
            <w:r w:rsidR="007701E5">
              <w:rPr>
                <w:sz w:val="20"/>
                <w:szCs w:val="20"/>
              </w:rPr>
              <w:t>лненных работ 871,1 млн. рублей</w:t>
            </w:r>
            <w:r w:rsidRPr="00EF5709">
              <w:rPr>
                <w:sz w:val="20"/>
                <w:szCs w:val="20"/>
              </w:rPr>
              <w:t xml:space="preserve"> </w:t>
            </w:r>
          </w:p>
        </w:tc>
      </w:tr>
      <w:tr w:rsidR="00EF5709" w:rsidRPr="00FE6194" w:rsidTr="00BD6E99">
        <w:tc>
          <w:tcPr>
            <w:tcW w:w="817" w:type="dxa"/>
          </w:tcPr>
          <w:p w:rsidR="00EF5709" w:rsidRPr="00FE6194" w:rsidRDefault="007701E5" w:rsidP="00DD05A4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EF5709" w:rsidRPr="00EF5709" w:rsidRDefault="00EF5709" w:rsidP="00BD6E9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sz w:val="20"/>
                <w:szCs w:val="20"/>
              </w:rPr>
            </w:pPr>
            <w:r w:rsidRPr="00EF5709">
              <w:rPr>
                <w:sz w:val="20"/>
                <w:szCs w:val="24"/>
                <w:lang w:eastAsia="en-US"/>
              </w:rPr>
              <w:t>«Оздоровление Волги»</w:t>
            </w:r>
          </w:p>
        </w:tc>
        <w:tc>
          <w:tcPr>
            <w:tcW w:w="5635" w:type="dxa"/>
          </w:tcPr>
          <w:p w:rsidR="00EF5709" w:rsidRPr="00EF5709" w:rsidRDefault="00EF5709" w:rsidP="00EF5709">
            <w:pPr>
              <w:spacing w:line="240" w:lineRule="auto"/>
              <w:ind w:left="0" w:right="0"/>
              <w:rPr>
                <w:sz w:val="20"/>
                <w:szCs w:val="20"/>
              </w:rPr>
            </w:pPr>
            <w:r w:rsidRPr="00EF5709">
              <w:rPr>
                <w:sz w:val="20"/>
                <w:szCs w:val="20"/>
              </w:rPr>
              <w:t xml:space="preserve">По указанному приоритетному проекту в 2018 году отмечается низкий уровень исполнения расходов (73,9 % </w:t>
            </w:r>
            <w:r w:rsidRPr="00EF5709">
              <w:rPr>
                <w:sz w:val="20"/>
                <w:szCs w:val="20"/>
              </w:rPr>
              <w:lastRenderedPageBreak/>
              <w:t>показателя сводной росписи с изменениями).</w:t>
            </w:r>
          </w:p>
          <w:p w:rsidR="00EF5709" w:rsidRPr="00FE6194" w:rsidRDefault="00EF5709" w:rsidP="00EF5709">
            <w:pPr>
              <w:spacing w:line="240" w:lineRule="auto"/>
              <w:ind w:left="0" w:right="0"/>
              <w:rPr>
                <w:sz w:val="20"/>
                <w:szCs w:val="20"/>
              </w:rPr>
            </w:pPr>
            <w:r w:rsidRPr="00EF5709">
              <w:rPr>
                <w:sz w:val="20"/>
                <w:szCs w:val="20"/>
              </w:rPr>
              <w:t>Так, Минсельхозом России не осуществлялись расходы в сумме 331,5 млн. рублей на предоставление субсидии бюджетным учреждениям на иные цели (по данным Единого портала бюджетной системы, соглашения о предоставлении субсидий не заключены) и 31,0 млн. рублей на осуществление бюджетных инвестиций в объ</w:t>
            </w:r>
            <w:r w:rsidR="007701E5">
              <w:rPr>
                <w:sz w:val="20"/>
                <w:szCs w:val="20"/>
              </w:rPr>
              <w:t>екты капитального строительства</w:t>
            </w:r>
          </w:p>
        </w:tc>
      </w:tr>
      <w:tr w:rsidR="00EF5709" w:rsidRPr="00FE6194" w:rsidTr="00BD6E99">
        <w:tc>
          <w:tcPr>
            <w:tcW w:w="817" w:type="dxa"/>
          </w:tcPr>
          <w:p w:rsidR="00EF5709" w:rsidRPr="00FE6194" w:rsidRDefault="007701E5" w:rsidP="00DD05A4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119" w:type="dxa"/>
          </w:tcPr>
          <w:p w:rsidR="00EF5709" w:rsidRPr="00EF5709" w:rsidRDefault="00EF5709" w:rsidP="00BD6E9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sz w:val="20"/>
                <w:szCs w:val="20"/>
              </w:rPr>
            </w:pPr>
            <w:r w:rsidRPr="00EF5709">
              <w:rPr>
                <w:rFonts w:eastAsia="Times New Roman"/>
                <w:sz w:val="20"/>
                <w:szCs w:val="14"/>
              </w:rPr>
              <w:t>«Малый бизнес и поддержка индивидуальной предпринимательской инициативы»</w:t>
            </w:r>
          </w:p>
        </w:tc>
        <w:tc>
          <w:tcPr>
            <w:tcW w:w="5635" w:type="dxa"/>
          </w:tcPr>
          <w:p w:rsidR="00EF5709" w:rsidRPr="00EF5709" w:rsidRDefault="00EF5709" w:rsidP="00EF5709">
            <w:pPr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sz w:val="20"/>
                <w:szCs w:val="24"/>
                <w:lang w:eastAsia="en-US"/>
              </w:rPr>
            </w:pPr>
            <w:r w:rsidRPr="00EF5709">
              <w:rPr>
                <w:sz w:val="20"/>
                <w:szCs w:val="24"/>
                <w:lang w:eastAsia="en-US"/>
              </w:rPr>
              <w:t xml:space="preserve">Объем бюджетных ассигнований сводной росписи с изменениями по </w:t>
            </w:r>
            <w:r>
              <w:rPr>
                <w:sz w:val="20"/>
                <w:szCs w:val="24"/>
                <w:lang w:eastAsia="en-US"/>
              </w:rPr>
              <w:t xml:space="preserve">указанному </w:t>
            </w:r>
            <w:r w:rsidRPr="00EF5709">
              <w:rPr>
                <w:sz w:val="20"/>
                <w:szCs w:val="24"/>
                <w:lang w:eastAsia="en-US"/>
              </w:rPr>
              <w:t xml:space="preserve">приоритетному проекту </w:t>
            </w:r>
            <w:r w:rsidRPr="00EF5709">
              <w:rPr>
                <w:rFonts w:eastAsia="Times New Roman"/>
                <w:b/>
                <w:sz w:val="20"/>
                <w:szCs w:val="14"/>
              </w:rPr>
              <w:t xml:space="preserve"> </w:t>
            </w:r>
            <w:r w:rsidRPr="00EF5709">
              <w:rPr>
                <w:rFonts w:eastAsia="Times New Roman"/>
                <w:sz w:val="20"/>
                <w:szCs w:val="14"/>
              </w:rPr>
              <w:t>по состоянию на 1 января 2019 года составил</w:t>
            </w:r>
            <w:r w:rsidRPr="00EF5709">
              <w:rPr>
                <w:rFonts w:eastAsia="Times New Roman"/>
                <w:b/>
                <w:sz w:val="20"/>
                <w:szCs w:val="14"/>
              </w:rPr>
              <w:t xml:space="preserve"> 10 640,8 млн. рублей.</w:t>
            </w:r>
            <w:r w:rsidRPr="00EF5709">
              <w:rPr>
                <w:sz w:val="20"/>
                <w:szCs w:val="24"/>
                <w:lang w:eastAsia="en-US"/>
              </w:rPr>
              <w:t xml:space="preserve"> Анализ финансового обеспечения реализации указанного приоритетного проекта за счет бюджетных средств показал, </w:t>
            </w:r>
            <w:r w:rsidRPr="00EF5709">
              <w:rPr>
                <w:b/>
                <w:sz w:val="20"/>
                <w:szCs w:val="24"/>
                <w:lang w:eastAsia="en-US"/>
              </w:rPr>
              <w:t>что в бюджете указанного проекта не учтены</w:t>
            </w:r>
            <w:r w:rsidRPr="00EF5709">
              <w:rPr>
                <w:sz w:val="20"/>
                <w:szCs w:val="24"/>
                <w:lang w:eastAsia="en-US"/>
              </w:rPr>
              <w:t>:</w:t>
            </w:r>
          </w:p>
          <w:p w:rsidR="00EF5709" w:rsidRPr="00EF5709" w:rsidRDefault="00EF5709" w:rsidP="00EF5709">
            <w:pPr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sz w:val="20"/>
                <w:szCs w:val="24"/>
                <w:lang w:eastAsia="en-US"/>
              </w:rPr>
            </w:pPr>
            <w:proofErr w:type="gramStart"/>
            <w:r w:rsidRPr="00EF5709">
              <w:rPr>
                <w:sz w:val="20"/>
                <w:szCs w:val="24"/>
                <w:lang w:eastAsia="en-US"/>
              </w:rPr>
              <w:t xml:space="preserve">по направлению «Реализация кредитно-гарантийной поддержки </w:t>
            </w:r>
            <w:r w:rsidRPr="00EF5709">
              <w:rPr>
                <w:sz w:val="20"/>
                <w:szCs w:val="24"/>
              </w:rPr>
              <w:t>индивидуального и малого предпринимательства (</w:t>
            </w:r>
            <w:r w:rsidRPr="00EF5709">
              <w:rPr>
                <w:sz w:val="20"/>
                <w:szCs w:val="24"/>
                <w:lang w:eastAsia="en-US"/>
              </w:rPr>
              <w:t xml:space="preserve">ИМП) в рамках </w:t>
            </w:r>
            <w:r w:rsidRPr="00EF5709">
              <w:rPr>
                <w:rFonts w:ascii="MyriadPro-Regular" w:hAnsi="MyriadPro-Regular"/>
                <w:sz w:val="20"/>
                <w:szCs w:val="24"/>
              </w:rPr>
              <w:t>Национальной гарантийной системы (</w:t>
            </w:r>
            <w:r w:rsidRPr="00EF5709">
              <w:rPr>
                <w:sz w:val="20"/>
                <w:szCs w:val="24"/>
                <w:lang w:eastAsia="en-US"/>
              </w:rPr>
              <w:t xml:space="preserve">НГС)»: бюджетные ассигнования в размере </w:t>
            </w:r>
            <w:r w:rsidRPr="00EF5709">
              <w:rPr>
                <w:b/>
                <w:sz w:val="20"/>
                <w:szCs w:val="24"/>
                <w:lang w:eastAsia="en-US"/>
              </w:rPr>
              <w:t>805,3 млн. рублей</w:t>
            </w:r>
            <w:r w:rsidRPr="00EF5709">
              <w:rPr>
                <w:sz w:val="20"/>
                <w:szCs w:val="24"/>
                <w:lang w:eastAsia="en-US"/>
              </w:rPr>
              <w:t>, выделенные из резервного фонда Правительства Российской Федерации в соответствии с распоряжением Правительства Российской Федерации от 28 апреля 2018 г. № 803-р для предоставления в 2018 году субсидий российским кредитным организациям на возмещение недополученных ими доходов по кредитам, выданным</w:t>
            </w:r>
            <w:proofErr w:type="gramEnd"/>
            <w:r w:rsidRPr="00EF5709">
              <w:rPr>
                <w:sz w:val="20"/>
                <w:szCs w:val="24"/>
                <w:lang w:eastAsia="en-US"/>
              </w:rPr>
              <w:t xml:space="preserve"> субъектам МСП на реализацию проектов в приоритетных отраслях по льготной ставке;</w:t>
            </w:r>
          </w:p>
          <w:p w:rsidR="00EF5709" w:rsidRPr="00EF5709" w:rsidRDefault="00EF5709" w:rsidP="00EF5709">
            <w:pPr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sz w:val="20"/>
                <w:szCs w:val="24"/>
                <w:lang w:eastAsia="en-US"/>
              </w:rPr>
            </w:pPr>
            <w:proofErr w:type="gramStart"/>
            <w:r w:rsidRPr="00EF5709">
              <w:rPr>
                <w:sz w:val="20"/>
                <w:szCs w:val="24"/>
                <w:lang w:eastAsia="en-US"/>
              </w:rPr>
              <w:t xml:space="preserve">по направлению «Обеспечение доступа субъектов ИМП к закупкам крупнейших заказчиков, определенных Правительством Российской Федерации»: средства бюджетов субъектов Российской Федерации, отобранных для реализации механизма лизинга для субъектов малого предпринимательства, предусмотренные в целях внесения имущественного взноса в уставный капитал региональных лизинговых компаний в размере 2 000 млн. рублей (в 2017 и 2018 годах по </w:t>
            </w:r>
            <w:r w:rsidRPr="00EF5709">
              <w:rPr>
                <w:b/>
                <w:sz w:val="20"/>
                <w:szCs w:val="24"/>
                <w:lang w:eastAsia="en-US"/>
              </w:rPr>
              <w:t>1 000 млн. рублей</w:t>
            </w:r>
            <w:r w:rsidRPr="00EF5709">
              <w:rPr>
                <w:sz w:val="20"/>
                <w:szCs w:val="24"/>
                <w:lang w:eastAsia="en-US"/>
              </w:rPr>
              <w:t xml:space="preserve"> ежегодно);</w:t>
            </w:r>
            <w:proofErr w:type="gramEnd"/>
          </w:p>
          <w:p w:rsidR="00EF5709" w:rsidRPr="00FE6194" w:rsidRDefault="00EF5709" w:rsidP="00EF5709">
            <w:pPr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sz w:val="20"/>
                <w:szCs w:val="20"/>
              </w:rPr>
            </w:pPr>
            <w:proofErr w:type="gramStart"/>
            <w:r w:rsidRPr="00EF5709">
              <w:rPr>
                <w:sz w:val="20"/>
                <w:szCs w:val="24"/>
                <w:lang w:eastAsia="en-US"/>
              </w:rPr>
              <w:t xml:space="preserve">по направлению «Развитие системы «одного окна» предоставления услуг, сервисов и мер поддержки субъектам индивидуального и малого предпринимательства на базе Центров оказания услуг» и «Реализация поддержки субъектов индивидуального и малого предпринимательства в сфере образования»: средства АО «Деловая среда» в размере </w:t>
            </w:r>
            <w:r w:rsidRPr="00EF5709">
              <w:rPr>
                <w:b/>
                <w:sz w:val="20"/>
                <w:szCs w:val="24"/>
                <w:lang w:eastAsia="en-US"/>
              </w:rPr>
              <w:t>300,2 млн. рублей</w:t>
            </w:r>
            <w:r w:rsidRPr="00EF5709">
              <w:rPr>
                <w:sz w:val="20"/>
                <w:szCs w:val="24"/>
                <w:lang w:eastAsia="en-US"/>
              </w:rPr>
              <w:t xml:space="preserve"> – обязательное </w:t>
            </w:r>
            <w:proofErr w:type="spellStart"/>
            <w:r w:rsidRPr="00EF5709">
              <w:rPr>
                <w:sz w:val="20"/>
                <w:szCs w:val="24"/>
                <w:lang w:eastAsia="en-US"/>
              </w:rPr>
              <w:t>софинансирование</w:t>
            </w:r>
            <w:proofErr w:type="spellEnd"/>
            <w:r w:rsidRPr="00EF5709">
              <w:rPr>
                <w:sz w:val="20"/>
                <w:szCs w:val="24"/>
                <w:lang w:eastAsia="en-US"/>
              </w:rPr>
              <w:t>, предусмотренное соглашением о предоставлении субсидии АО «Деловая среда»</w:t>
            </w:r>
            <w:r w:rsidRPr="00EF5709">
              <w:rPr>
                <w:sz w:val="20"/>
                <w:szCs w:val="24"/>
                <w:vertAlign w:val="superscript"/>
                <w:lang w:eastAsia="en-US"/>
              </w:rPr>
              <w:footnoteReference w:id="1"/>
            </w:r>
            <w:r w:rsidRPr="00EF5709">
              <w:rPr>
                <w:sz w:val="20"/>
                <w:szCs w:val="24"/>
                <w:lang w:eastAsia="en-US"/>
              </w:rPr>
              <w:t xml:space="preserve"> на реализацию мероприятий по созданию и развитию системы</w:t>
            </w:r>
            <w:proofErr w:type="gramEnd"/>
            <w:r w:rsidRPr="00EF5709">
              <w:rPr>
                <w:sz w:val="20"/>
                <w:szCs w:val="24"/>
                <w:lang w:eastAsia="en-US"/>
              </w:rPr>
              <w:t xml:space="preserve"> «одного окна» оказания услуг и предоставления образовательной поддержки малым предприятиям в субъектах Российской Федерации в рамках указанного приоритетн</w:t>
            </w:r>
            <w:r w:rsidR="007701E5">
              <w:rPr>
                <w:sz w:val="20"/>
                <w:szCs w:val="24"/>
                <w:lang w:eastAsia="en-US"/>
              </w:rPr>
              <w:t>ого проекта в 2017 и 2018 годах</w:t>
            </w:r>
          </w:p>
        </w:tc>
      </w:tr>
      <w:tr w:rsidR="00EF5709" w:rsidRPr="00FE6194" w:rsidTr="00BD6E99">
        <w:tc>
          <w:tcPr>
            <w:tcW w:w="817" w:type="dxa"/>
          </w:tcPr>
          <w:p w:rsidR="00EF5709" w:rsidRPr="00FE6194" w:rsidRDefault="007701E5" w:rsidP="00DD05A4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EF5709" w:rsidRPr="00EF5709" w:rsidRDefault="00EF5709" w:rsidP="00BD6E9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sz w:val="20"/>
                <w:szCs w:val="20"/>
              </w:rPr>
            </w:pPr>
            <w:r w:rsidRPr="00EF5709">
              <w:rPr>
                <w:sz w:val="20"/>
                <w:szCs w:val="24"/>
                <w:lang w:eastAsia="en-US"/>
              </w:rPr>
              <w:t>«Системные меры развития международной кооперации и экспорта»</w:t>
            </w:r>
          </w:p>
        </w:tc>
        <w:tc>
          <w:tcPr>
            <w:tcW w:w="5635" w:type="dxa"/>
          </w:tcPr>
          <w:p w:rsidR="00EF5709" w:rsidRPr="00EF5709" w:rsidRDefault="00EF5709" w:rsidP="00EF5709">
            <w:pPr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sz w:val="20"/>
                <w:szCs w:val="24"/>
                <w:lang w:eastAsia="en-US"/>
              </w:rPr>
            </w:pPr>
            <w:r w:rsidRPr="00EF5709">
              <w:rPr>
                <w:sz w:val="20"/>
                <w:szCs w:val="24"/>
                <w:lang w:eastAsia="en-US"/>
              </w:rPr>
              <w:t xml:space="preserve">По </w:t>
            </w:r>
            <w:r>
              <w:rPr>
                <w:sz w:val="20"/>
                <w:szCs w:val="24"/>
                <w:lang w:eastAsia="en-US"/>
              </w:rPr>
              <w:t xml:space="preserve">указанному </w:t>
            </w:r>
            <w:r w:rsidRPr="00EF5709">
              <w:rPr>
                <w:sz w:val="20"/>
                <w:szCs w:val="24"/>
                <w:lang w:eastAsia="en-US"/>
              </w:rPr>
              <w:t>приоритетному проекту в 2018 году отмечается низкий уровень исполнения расходов (53,4 % показателя сводной росписи с изменениями).</w:t>
            </w:r>
          </w:p>
          <w:p w:rsidR="00EF5709" w:rsidRPr="00EF5709" w:rsidRDefault="00EF5709" w:rsidP="00EF5709">
            <w:pPr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sz w:val="20"/>
                <w:szCs w:val="24"/>
                <w:lang w:eastAsia="en-US"/>
              </w:rPr>
            </w:pPr>
            <w:r w:rsidRPr="00EF5709">
              <w:rPr>
                <w:sz w:val="20"/>
                <w:szCs w:val="24"/>
                <w:lang w:eastAsia="en-US"/>
              </w:rPr>
              <w:t>Кассовое исполнение расходов на предоставление субсид</w:t>
            </w:r>
            <w:proofErr w:type="gramStart"/>
            <w:r w:rsidRPr="00EF5709">
              <w:rPr>
                <w:sz w:val="20"/>
                <w:szCs w:val="24"/>
                <w:lang w:eastAsia="en-US"/>
              </w:rPr>
              <w:t>ии АО</w:t>
            </w:r>
            <w:proofErr w:type="gramEnd"/>
            <w:r w:rsidRPr="00EF5709">
              <w:rPr>
                <w:sz w:val="20"/>
                <w:szCs w:val="24"/>
                <w:lang w:eastAsia="en-US"/>
              </w:rPr>
              <w:t xml:space="preserve"> «РЭЦ» на цели субсидирования процентных ставок по экспортным кредитам, предоставляемым коммерческими банками составило 186,3 млн. рублей, или 11,7 % показателя сводной росписи с изменениями. Таким образом, механизм государственной поддержки экспорта, направленной на развитие инструментов коммерческого и </w:t>
            </w:r>
            <w:r w:rsidRPr="00EF5709">
              <w:rPr>
                <w:sz w:val="20"/>
                <w:szCs w:val="24"/>
                <w:lang w:eastAsia="en-US"/>
              </w:rPr>
              <w:lastRenderedPageBreak/>
              <w:t xml:space="preserve">проектного финансирования, в полной мере не реализован. </w:t>
            </w:r>
          </w:p>
          <w:p w:rsidR="00EF5709" w:rsidRPr="00FE6194" w:rsidRDefault="00EF5709" w:rsidP="00EF5709">
            <w:pPr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sz w:val="20"/>
                <w:szCs w:val="20"/>
              </w:rPr>
            </w:pPr>
            <w:r w:rsidRPr="00EF5709">
              <w:rPr>
                <w:sz w:val="20"/>
                <w:szCs w:val="24"/>
                <w:lang w:eastAsia="en-US"/>
              </w:rPr>
              <w:t>Кассовое исполнение расходов на предоставление субсид</w:t>
            </w:r>
            <w:proofErr w:type="gramStart"/>
            <w:r w:rsidRPr="00EF5709">
              <w:rPr>
                <w:sz w:val="20"/>
                <w:szCs w:val="24"/>
                <w:lang w:eastAsia="en-US"/>
              </w:rPr>
              <w:t>ии АО</w:t>
            </w:r>
            <w:proofErr w:type="gramEnd"/>
            <w:r w:rsidRPr="00EF5709">
              <w:rPr>
                <w:sz w:val="20"/>
                <w:szCs w:val="24"/>
                <w:lang w:eastAsia="en-US"/>
              </w:rPr>
              <w:t xml:space="preserve"> «РЭЦ» на повышение узнаваемости известных российских брендов и российской продукции за рубежом составило 46,9 млн. рублей, или 10,8 % показателя сводной росписи с изменениями, что свидетельствует о недостаточном качестве планиров</w:t>
            </w:r>
            <w:r w:rsidR="007701E5">
              <w:rPr>
                <w:sz w:val="20"/>
                <w:szCs w:val="24"/>
                <w:lang w:eastAsia="en-US"/>
              </w:rPr>
              <w:t>ания расходов на указанные цели</w:t>
            </w:r>
          </w:p>
        </w:tc>
      </w:tr>
      <w:tr w:rsidR="00BD6E99" w:rsidRPr="00FE6194" w:rsidTr="00BD6E99">
        <w:tc>
          <w:tcPr>
            <w:tcW w:w="817" w:type="dxa"/>
          </w:tcPr>
          <w:p w:rsidR="00BD6E99" w:rsidRPr="00FE6194" w:rsidRDefault="00464C09" w:rsidP="00DD05A4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119" w:type="dxa"/>
          </w:tcPr>
          <w:p w:rsidR="00BD6E99" w:rsidRPr="00FE6194" w:rsidRDefault="00BD6E99" w:rsidP="00BD6E9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>«Совершенствование организации медицинской помощи новорожденным и женщинам в период беременности и</w:t>
            </w:r>
            <w:r w:rsidR="007701E5">
              <w:rPr>
                <w:sz w:val="20"/>
                <w:szCs w:val="20"/>
              </w:rPr>
              <w:t xml:space="preserve"> после родов, </w:t>
            </w:r>
            <w:proofErr w:type="gramStart"/>
            <w:r w:rsidR="007701E5">
              <w:rPr>
                <w:sz w:val="20"/>
                <w:szCs w:val="20"/>
              </w:rPr>
              <w:t>предусматривающее</w:t>
            </w:r>
            <w:proofErr w:type="gramEnd"/>
            <w:r w:rsidRPr="00FE6194">
              <w:rPr>
                <w:sz w:val="20"/>
                <w:szCs w:val="20"/>
              </w:rPr>
              <w:t xml:space="preserve"> в том числе развитие сети перинатальных центров в Российской Федерации»</w:t>
            </w:r>
          </w:p>
        </w:tc>
        <w:tc>
          <w:tcPr>
            <w:tcW w:w="5635" w:type="dxa"/>
          </w:tcPr>
          <w:p w:rsidR="00BD6E99" w:rsidRPr="00FE6194" w:rsidRDefault="00BD6E99" w:rsidP="00BD6E99">
            <w:pPr>
              <w:spacing w:line="240" w:lineRule="auto"/>
              <w:ind w:left="0" w:right="0"/>
              <w:rPr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 xml:space="preserve">Фактическое исполнение показателя «Число перинатальных центров третьей группы» в отчетном периоде составило </w:t>
            </w:r>
            <w:r w:rsidRPr="00DC3B08">
              <w:rPr>
                <w:b/>
                <w:sz w:val="20"/>
                <w:szCs w:val="20"/>
              </w:rPr>
              <w:t>92 единицы</w:t>
            </w:r>
            <w:r w:rsidRPr="00FE6194">
              <w:rPr>
                <w:sz w:val="20"/>
                <w:szCs w:val="20"/>
              </w:rPr>
              <w:t xml:space="preserve"> при плановом показателе на 2018 год  </w:t>
            </w:r>
            <w:r w:rsidRPr="00DC3B08">
              <w:rPr>
                <w:b/>
                <w:sz w:val="20"/>
                <w:szCs w:val="20"/>
              </w:rPr>
              <w:t>94 единицы</w:t>
            </w:r>
            <w:r w:rsidRPr="00FE6194">
              <w:rPr>
                <w:sz w:val="20"/>
                <w:szCs w:val="20"/>
              </w:rPr>
              <w:t xml:space="preserve">. </w:t>
            </w:r>
          </w:p>
          <w:p w:rsidR="00BD6E99" w:rsidRPr="00FE6194" w:rsidRDefault="00BD6E99" w:rsidP="00BD6E99">
            <w:pPr>
              <w:spacing w:line="240" w:lineRule="auto"/>
              <w:ind w:left="0" w:right="0"/>
              <w:rPr>
                <w:bCs/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>Показатель приоритетного проекта «С</w:t>
            </w:r>
            <w:r w:rsidRPr="00FE6194">
              <w:rPr>
                <w:bCs/>
                <w:sz w:val="20"/>
                <w:szCs w:val="20"/>
              </w:rPr>
              <w:t>нижение в 2018 году показателя младенческой смертности в Российской Федерации до 5,8 на 1000 родившихся живыми путем создания трехуровневой системы организации медицинской помощи женщинам в период беременности и родов и новорожденным» выполнен, показатель младенческой смертности в Российской Федерации за 10 месяцев 2018 года составил 5,0</w:t>
            </w:r>
            <w:r w:rsidRPr="00FE6194">
              <w:rPr>
                <w:rStyle w:val="a5"/>
                <w:bCs/>
                <w:sz w:val="20"/>
                <w:szCs w:val="20"/>
              </w:rPr>
              <w:footnoteReference w:id="2"/>
            </w:r>
            <w:r w:rsidRPr="00FE6194">
              <w:rPr>
                <w:bCs/>
                <w:sz w:val="20"/>
                <w:szCs w:val="20"/>
              </w:rPr>
              <w:t xml:space="preserve">. </w:t>
            </w:r>
          </w:p>
          <w:p w:rsidR="00BD6E99" w:rsidRDefault="00BD6E99" w:rsidP="00BD6E99">
            <w:pPr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>Вместе с тем, несмотря на то, что в ряде с</w:t>
            </w:r>
            <w:r w:rsidR="007701E5">
              <w:rPr>
                <w:sz w:val="20"/>
                <w:szCs w:val="20"/>
              </w:rPr>
              <w:t>убъектов Российской Федерации (р</w:t>
            </w:r>
            <w:r w:rsidRPr="00FE6194">
              <w:rPr>
                <w:sz w:val="20"/>
                <w:szCs w:val="20"/>
              </w:rPr>
              <w:t>еспублики Дагестан, Ингушетия) уже в 2017 году начали функционировать перинатальные центры, плановое значение указанного показателя на 2018 год более чем в 2 раз</w:t>
            </w:r>
            <w:r w:rsidR="007701E5">
              <w:rPr>
                <w:sz w:val="20"/>
                <w:szCs w:val="20"/>
              </w:rPr>
              <w:t>а (в Республике Дагестан – 12,5,</w:t>
            </w:r>
            <w:r w:rsidRPr="00FE6194">
              <w:rPr>
                <w:sz w:val="20"/>
                <w:szCs w:val="20"/>
              </w:rPr>
              <w:t xml:space="preserve"> в Республике Ингушетия – 12,8) превышает плановое значение.</w:t>
            </w:r>
          </w:p>
          <w:p w:rsidR="00282FE2" w:rsidRPr="00FE6194" w:rsidRDefault="00282FE2" w:rsidP="00282FE2">
            <w:pPr>
              <w:spacing w:line="240" w:lineRule="auto"/>
              <w:ind w:left="0" w:right="0"/>
              <w:rPr>
                <w:rFonts w:eastAsia="Times New Roman"/>
                <w:b/>
                <w:sz w:val="20"/>
                <w:szCs w:val="24"/>
              </w:rPr>
            </w:pPr>
            <w:r w:rsidRPr="00FE6194">
              <w:rPr>
                <w:rFonts w:eastAsia="Times New Roman"/>
                <w:sz w:val="20"/>
                <w:szCs w:val="24"/>
              </w:rPr>
              <w:t xml:space="preserve">В 2018 году реализация мероприятий </w:t>
            </w:r>
            <w:r w:rsidRPr="00E80A6C">
              <w:rPr>
                <w:rFonts w:eastAsia="Times New Roman"/>
                <w:sz w:val="20"/>
                <w:szCs w:val="24"/>
              </w:rPr>
              <w:t>приоритетного проекта</w:t>
            </w:r>
            <w:r w:rsidRPr="00FE6194">
              <w:rPr>
                <w:rFonts w:eastAsia="Times New Roman"/>
                <w:b/>
                <w:sz w:val="20"/>
                <w:szCs w:val="24"/>
              </w:rPr>
              <w:t xml:space="preserve"> </w:t>
            </w:r>
            <w:r w:rsidRPr="00FE6194">
              <w:rPr>
                <w:rFonts w:eastAsia="Times New Roman"/>
                <w:sz w:val="20"/>
                <w:szCs w:val="24"/>
              </w:rPr>
              <w:t xml:space="preserve">осуществлялась по контрольным точкам, запланированным к выполнению в 2017 году. По состоянию на 1 января 2019 года </w:t>
            </w:r>
            <w:r w:rsidRPr="00FE6194">
              <w:rPr>
                <w:rFonts w:eastAsia="Times New Roman"/>
                <w:b/>
                <w:sz w:val="20"/>
                <w:szCs w:val="24"/>
              </w:rPr>
              <w:t>не выполнена 1 контрольная точка.</w:t>
            </w:r>
          </w:p>
          <w:p w:rsidR="00282FE2" w:rsidRPr="00FE6194" w:rsidRDefault="00282FE2" w:rsidP="00282FE2">
            <w:pPr>
              <w:spacing w:line="240" w:lineRule="auto"/>
              <w:ind w:left="0" w:right="0"/>
              <w:rPr>
                <w:sz w:val="20"/>
                <w:szCs w:val="24"/>
              </w:rPr>
            </w:pPr>
            <w:r w:rsidRPr="00FE6194">
              <w:rPr>
                <w:sz w:val="20"/>
                <w:szCs w:val="24"/>
              </w:rPr>
              <w:t>По состоянию на 31 декабря 2018 года не начат прием в перинатальных центрах в Краснодарском крае и Псковской области (плановый срок ввода в эксплуатацию, предусмотренный паспортом указанного приоритетного проекта</w:t>
            </w:r>
            <w:r w:rsidR="007701E5">
              <w:rPr>
                <w:sz w:val="20"/>
                <w:szCs w:val="24"/>
              </w:rPr>
              <w:t>,</w:t>
            </w:r>
            <w:r w:rsidRPr="00FE6194">
              <w:rPr>
                <w:sz w:val="20"/>
                <w:szCs w:val="24"/>
              </w:rPr>
              <w:t xml:space="preserve"> – 30 июня 2017 года).</w:t>
            </w:r>
          </w:p>
          <w:p w:rsidR="00282FE2" w:rsidRPr="00FE6194" w:rsidRDefault="00282FE2" w:rsidP="007701E5">
            <w:pPr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rFonts w:eastAsia="Times New Roman"/>
                <w:sz w:val="20"/>
                <w:szCs w:val="20"/>
              </w:rPr>
            </w:pPr>
            <w:r w:rsidRPr="00FE6194">
              <w:rPr>
                <w:sz w:val="20"/>
                <w:szCs w:val="24"/>
              </w:rPr>
              <w:t>Следует отметить, что со значительными нарушениями сроков выполнены контрольные точки: «Начат прием пациентов в 5 перинатальных центрах (Республика Хакасия, Ульяновская область, Республика Ингушетия, Сахалинская область, Пензенская область)» (плановый срок, утвержденный паспортом национального проекта</w:t>
            </w:r>
            <w:r w:rsidR="007701E5">
              <w:rPr>
                <w:sz w:val="20"/>
                <w:szCs w:val="24"/>
              </w:rPr>
              <w:t>,</w:t>
            </w:r>
            <w:r w:rsidRPr="00FE6194">
              <w:rPr>
                <w:sz w:val="20"/>
                <w:szCs w:val="24"/>
              </w:rPr>
              <w:t xml:space="preserve"> – 31</w:t>
            </w:r>
            <w:r w:rsidR="007701E5">
              <w:rPr>
                <w:sz w:val="20"/>
                <w:szCs w:val="24"/>
              </w:rPr>
              <w:t> </w:t>
            </w:r>
            <w:r w:rsidRPr="00FE6194">
              <w:rPr>
                <w:sz w:val="20"/>
                <w:szCs w:val="24"/>
              </w:rPr>
              <w:t>марта 2017 года), перинатальный центр в Ульяновской области начал функционировать 3 марта 2018 года; «Начат прием пациентов в 3-х перинатальных центрах (Республика Бурятия, Архангельская, Смоленская области)» (плановый срок – 30</w:t>
            </w:r>
            <w:r w:rsidR="007701E5">
              <w:rPr>
                <w:sz w:val="20"/>
                <w:szCs w:val="24"/>
              </w:rPr>
              <w:t> </w:t>
            </w:r>
            <w:r w:rsidRPr="00FE6194">
              <w:rPr>
                <w:sz w:val="20"/>
                <w:szCs w:val="24"/>
              </w:rPr>
              <w:t>сентября 2017 года), фактический срок – 2</w:t>
            </w:r>
            <w:r w:rsidR="007701E5">
              <w:rPr>
                <w:sz w:val="20"/>
                <w:szCs w:val="24"/>
              </w:rPr>
              <w:t> </w:t>
            </w:r>
            <w:r w:rsidRPr="00FE6194">
              <w:rPr>
                <w:sz w:val="20"/>
                <w:szCs w:val="24"/>
              </w:rPr>
              <w:t>ноября 2018</w:t>
            </w:r>
            <w:r w:rsidR="007701E5">
              <w:rPr>
                <w:sz w:val="20"/>
                <w:szCs w:val="24"/>
              </w:rPr>
              <w:t> года</w:t>
            </w:r>
          </w:p>
        </w:tc>
      </w:tr>
      <w:tr w:rsidR="00BD6E99" w:rsidRPr="00FE6194" w:rsidTr="00BD6E99">
        <w:tc>
          <w:tcPr>
            <w:tcW w:w="817" w:type="dxa"/>
          </w:tcPr>
          <w:p w:rsidR="00BD6E99" w:rsidRPr="00FE6194" w:rsidRDefault="00464C09" w:rsidP="00DD05A4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BD6E99" w:rsidRPr="00FE6194" w:rsidRDefault="00BD6E99" w:rsidP="00BD6E9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>«Совершенствование процессов организации медицинской помощи на основе внедрения информационных технологий»</w:t>
            </w:r>
          </w:p>
        </w:tc>
        <w:tc>
          <w:tcPr>
            <w:tcW w:w="5635" w:type="dxa"/>
          </w:tcPr>
          <w:p w:rsidR="00BD6E99" w:rsidRDefault="00BD6E99" w:rsidP="00BD6E99">
            <w:pPr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sz w:val="20"/>
                <w:szCs w:val="20"/>
              </w:rPr>
            </w:pPr>
            <w:proofErr w:type="gramStart"/>
            <w:r w:rsidRPr="00FE6194">
              <w:rPr>
                <w:sz w:val="20"/>
                <w:szCs w:val="20"/>
              </w:rPr>
              <w:t>По данным Минздрава России</w:t>
            </w:r>
            <w:r w:rsidR="007701E5">
              <w:rPr>
                <w:sz w:val="20"/>
                <w:szCs w:val="20"/>
              </w:rPr>
              <w:t>,</w:t>
            </w:r>
            <w:r w:rsidRPr="00FE6194">
              <w:rPr>
                <w:sz w:val="20"/>
                <w:szCs w:val="20"/>
              </w:rPr>
              <w:t xml:space="preserve"> показатель «Число граждан, воспользовавшихся услугами (сервисами), доступными в Личном кабинете пациента «Мое здоровье» на ЕПГУ в отчетном году (млн. чел.)</w:t>
            </w:r>
            <w:r w:rsidR="007701E5">
              <w:rPr>
                <w:sz w:val="20"/>
                <w:szCs w:val="20"/>
              </w:rPr>
              <w:t>»</w:t>
            </w:r>
            <w:r w:rsidRPr="00FE6194">
              <w:rPr>
                <w:sz w:val="20"/>
                <w:szCs w:val="20"/>
              </w:rPr>
              <w:t xml:space="preserve"> составил </w:t>
            </w:r>
            <w:r w:rsidRPr="00FE6194">
              <w:rPr>
                <w:b/>
                <w:sz w:val="20"/>
                <w:szCs w:val="20"/>
              </w:rPr>
              <w:t>3,3 млн. человек</w:t>
            </w:r>
            <w:r w:rsidRPr="00FE6194">
              <w:rPr>
                <w:sz w:val="20"/>
                <w:szCs w:val="20"/>
              </w:rPr>
              <w:t xml:space="preserve"> (значение показателя представлено за период с 1 января 2</w:t>
            </w:r>
            <w:r w:rsidR="007701E5">
              <w:rPr>
                <w:sz w:val="20"/>
                <w:szCs w:val="20"/>
              </w:rPr>
              <w:t>018 года – 1 октября 2018 года)</w:t>
            </w:r>
            <w:r w:rsidRPr="00FE6194">
              <w:rPr>
                <w:sz w:val="20"/>
                <w:szCs w:val="20"/>
              </w:rPr>
              <w:t xml:space="preserve"> при плановом з</w:t>
            </w:r>
            <w:r w:rsidR="007701E5">
              <w:rPr>
                <w:sz w:val="20"/>
                <w:szCs w:val="20"/>
              </w:rPr>
              <w:t>начении показателя на 2018 год</w:t>
            </w:r>
            <w:r w:rsidRPr="00FE6194">
              <w:rPr>
                <w:sz w:val="20"/>
                <w:szCs w:val="20"/>
              </w:rPr>
              <w:t xml:space="preserve"> </w:t>
            </w:r>
            <w:r w:rsidRPr="00FE6194">
              <w:rPr>
                <w:b/>
                <w:sz w:val="20"/>
                <w:szCs w:val="20"/>
              </w:rPr>
              <w:t>5,0 млн. человек</w:t>
            </w:r>
            <w:r w:rsidR="008B6112">
              <w:rPr>
                <w:sz w:val="20"/>
                <w:szCs w:val="20"/>
              </w:rPr>
              <w:t>;</w:t>
            </w:r>
            <w:proofErr w:type="gramEnd"/>
            <w:r w:rsidR="008B6112">
              <w:rPr>
                <w:sz w:val="20"/>
                <w:szCs w:val="20"/>
              </w:rPr>
              <w:t xml:space="preserve"> показатель «Доля граждан</w:t>
            </w:r>
            <w:r w:rsidRPr="00FE6194">
              <w:rPr>
                <w:sz w:val="20"/>
                <w:szCs w:val="20"/>
              </w:rPr>
              <w:t xml:space="preserve"> из числа застрахованных в системе обязательного медицинского страхования, для которых заведены электронные медицинские карты</w:t>
            </w:r>
            <w:proofErr w:type="gramStart"/>
            <w:r w:rsidRPr="00FE6194">
              <w:rPr>
                <w:sz w:val="20"/>
                <w:szCs w:val="20"/>
              </w:rPr>
              <w:t xml:space="preserve"> (%)» </w:t>
            </w:r>
            <w:proofErr w:type="gramEnd"/>
            <w:r w:rsidRPr="00FE6194">
              <w:rPr>
                <w:sz w:val="20"/>
                <w:szCs w:val="20"/>
              </w:rPr>
              <w:t xml:space="preserve">составил </w:t>
            </w:r>
            <w:r w:rsidRPr="00FE6194">
              <w:rPr>
                <w:b/>
                <w:sz w:val="20"/>
                <w:szCs w:val="20"/>
              </w:rPr>
              <w:t>55 %</w:t>
            </w:r>
            <w:r w:rsidRPr="00FE6194">
              <w:rPr>
                <w:sz w:val="20"/>
                <w:szCs w:val="20"/>
              </w:rPr>
              <w:t xml:space="preserve"> при </w:t>
            </w:r>
            <w:r w:rsidR="008B6112">
              <w:rPr>
                <w:sz w:val="20"/>
                <w:szCs w:val="20"/>
              </w:rPr>
              <w:t>плановом показателе на 2018 год</w:t>
            </w:r>
            <w:r w:rsidRPr="00FE6194">
              <w:rPr>
                <w:sz w:val="20"/>
                <w:szCs w:val="20"/>
              </w:rPr>
              <w:t xml:space="preserve"> </w:t>
            </w:r>
            <w:r w:rsidRPr="00FE6194">
              <w:rPr>
                <w:b/>
                <w:sz w:val="20"/>
                <w:szCs w:val="20"/>
              </w:rPr>
              <w:t>100 %</w:t>
            </w:r>
            <w:r w:rsidR="008B6112">
              <w:rPr>
                <w:sz w:val="20"/>
                <w:szCs w:val="20"/>
              </w:rPr>
              <w:t>; показатель «Д</w:t>
            </w:r>
            <w:r w:rsidRPr="00FE6194">
              <w:rPr>
                <w:sz w:val="20"/>
                <w:szCs w:val="20"/>
              </w:rPr>
              <w:t xml:space="preserve">оля медицинских организаций, оказывающих первичную медико-санитарную помощь, внедривших медицинские </w:t>
            </w:r>
            <w:r w:rsidRPr="00FE6194">
              <w:rPr>
                <w:sz w:val="20"/>
                <w:szCs w:val="20"/>
              </w:rPr>
              <w:lastRenderedPageBreak/>
              <w:t>информационные системы, перешедших на ведение медицинской документации в электронном виде и участвующих в электронном медицинском документообороте</w:t>
            </w:r>
            <w:proofErr w:type="gramStart"/>
            <w:r w:rsidRPr="00FE6194">
              <w:rPr>
                <w:sz w:val="20"/>
                <w:szCs w:val="20"/>
              </w:rPr>
              <w:t xml:space="preserve"> (%)» </w:t>
            </w:r>
            <w:proofErr w:type="gramEnd"/>
            <w:r w:rsidRPr="00FE6194">
              <w:rPr>
                <w:b/>
                <w:sz w:val="20"/>
                <w:szCs w:val="20"/>
              </w:rPr>
              <w:t>перевыполнен и составил 54 %</w:t>
            </w:r>
            <w:r w:rsidRPr="00FE6194">
              <w:rPr>
                <w:sz w:val="20"/>
                <w:szCs w:val="20"/>
              </w:rPr>
              <w:t xml:space="preserve"> при плановом значе</w:t>
            </w:r>
            <w:r w:rsidR="008B6112">
              <w:rPr>
                <w:sz w:val="20"/>
                <w:szCs w:val="20"/>
              </w:rPr>
              <w:t>нии, установленном на 2018 год</w:t>
            </w:r>
            <w:r w:rsidR="000A4B15">
              <w:rPr>
                <w:sz w:val="20"/>
                <w:szCs w:val="20"/>
              </w:rPr>
              <w:t>,</w:t>
            </w:r>
            <w:r w:rsidRPr="00FE6194">
              <w:rPr>
                <w:sz w:val="20"/>
                <w:szCs w:val="20"/>
              </w:rPr>
              <w:t xml:space="preserve"> </w:t>
            </w:r>
            <w:r w:rsidRPr="00FE6194">
              <w:rPr>
                <w:b/>
                <w:sz w:val="20"/>
                <w:szCs w:val="20"/>
              </w:rPr>
              <w:t>50 %</w:t>
            </w:r>
            <w:r w:rsidR="008B6112">
              <w:rPr>
                <w:sz w:val="20"/>
                <w:szCs w:val="20"/>
              </w:rPr>
              <w:t>; показатель «Д</w:t>
            </w:r>
            <w:r w:rsidRPr="00FE6194">
              <w:rPr>
                <w:sz w:val="20"/>
                <w:szCs w:val="20"/>
              </w:rPr>
              <w:t>оля медицинских организаций</w:t>
            </w:r>
            <w:r w:rsidR="008B6112">
              <w:rPr>
                <w:sz w:val="20"/>
                <w:szCs w:val="20"/>
              </w:rPr>
              <w:t>,</w:t>
            </w:r>
            <w:r w:rsidRPr="00FE6194">
              <w:rPr>
                <w:sz w:val="20"/>
                <w:szCs w:val="20"/>
              </w:rPr>
              <w:t xml:space="preserve"> оказывающих первичную медико-санитарную помощь, для которых осуществляется мониторинг возможности записи граждан на прием к врачу</w:t>
            </w:r>
            <w:proofErr w:type="gramStart"/>
            <w:r w:rsidRPr="00FE6194">
              <w:rPr>
                <w:sz w:val="20"/>
                <w:szCs w:val="20"/>
              </w:rPr>
              <w:t xml:space="preserve"> (%)» </w:t>
            </w:r>
            <w:proofErr w:type="gramEnd"/>
            <w:r w:rsidRPr="00FE6194">
              <w:rPr>
                <w:b/>
                <w:sz w:val="20"/>
                <w:szCs w:val="20"/>
              </w:rPr>
              <w:t>перевыполнен и составил 77 %</w:t>
            </w:r>
            <w:r w:rsidRPr="00FE6194">
              <w:rPr>
                <w:sz w:val="20"/>
                <w:szCs w:val="20"/>
              </w:rPr>
              <w:t xml:space="preserve"> при плановом значе</w:t>
            </w:r>
            <w:r w:rsidR="008B6112">
              <w:rPr>
                <w:sz w:val="20"/>
                <w:szCs w:val="20"/>
              </w:rPr>
              <w:t>нии, установленном на 2018 год</w:t>
            </w:r>
            <w:r w:rsidR="000A4B15">
              <w:rPr>
                <w:sz w:val="20"/>
                <w:szCs w:val="20"/>
              </w:rPr>
              <w:t>,</w:t>
            </w:r>
            <w:r w:rsidRPr="00FE6194">
              <w:rPr>
                <w:sz w:val="20"/>
                <w:szCs w:val="20"/>
              </w:rPr>
              <w:t xml:space="preserve"> </w:t>
            </w:r>
            <w:r w:rsidRPr="00FE6194">
              <w:rPr>
                <w:b/>
                <w:sz w:val="20"/>
                <w:szCs w:val="20"/>
              </w:rPr>
              <w:t>75 %</w:t>
            </w:r>
            <w:r w:rsidR="008B6112">
              <w:rPr>
                <w:sz w:val="20"/>
                <w:szCs w:val="20"/>
              </w:rPr>
              <w:t>; показатель «Ч</w:t>
            </w:r>
            <w:r w:rsidRPr="00FE6194">
              <w:rPr>
                <w:sz w:val="20"/>
                <w:szCs w:val="20"/>
              </w:rPr>
              <w:t xml:space="preserve">исло субъектов Российской Федерации, в которых организованы процессы оказания медицинской помощи с применением телемедицинских технологий, в соответствии с требованиями Минздрава России (ед.)» составил </w:t>
            </w:r>
            <w:r w:rsidRPr="00FE6194">
              <w:rPr>
                <w:b/>
                <w:sz w:val="20"/>
                <w:szCs w:val="20"/>
              </w:rPr>
              <w:t>0 единиц</w:t>
            </w:r>
            <w:r w:rsidRPr="00FE6194">
              <w:rPr>
                <w:sz w:val="20"/>
                <w:szCs w:val="20"/>
              </w:rPr>
              <w:t xml:space="preserve"> при плановом значении, установленном на 2018 год</w:t>
            </w:r>
            <w:r w:rsidR="008B6112">
              <w:rPr>
                <w:sz w:val="20"/>
                <w:szCs w:val="20"/>
              </w:rPr>
              <w:t>,</w:t>
            </w:r>
            <w:r w:rsidRPr="00FE6194">
              <w:rPr>
                <w:sz w:val="20"/>
                <w:szCs w:val="20"/>
              </w:rPr>
              <w:t xml:space="preserve"> </w:t>
            </w:r>
            <w:r w:rsidRPr="00FE6194">
              <w:rPr>
                <w:b/>
                <w:sz w:val="20"/>
                <w:szCs w:val="20"/>
              </w:rPr>
              <w:t>20</w:t>
            </w:r>
            <w:r w:rsidRPr="00FE6194">
              <w:rPr>
                <w:sz w:val="20"/>
                <w:szCs w:val="20"/>
              </w:rPr>
              <w:t xml:space="preserve"> </w:t>
            </w:r>
            <w:r w:rsidRPr="00FE6194">
              <w:rPr>
                <w:b/>
                <w:sz w:val="20"/>
                <w:szCs w:val="20"/>
              </w:rPr>
              <w:t>единиц</w:t>
            </w:r>
            <w:r w:rsidRPr="00FE6194">
              <w:rPr>
                <w:sz w:val="20"/>
                <w:szCs w:val="20"/>
              </w:rPr>
              <w:t xml:space="preserve">. Таким образом, при невыполнении в полном объеме бюджетных ассигнований </w:t>
            </w:r>
            <w:r w:rsidRPr="00FE6194">
              <w:rPr>
                <w:b/>
                <w:sz w:val="20"/>
                <w:szCs w:val="20"/>
              </w:rPr>
              <w:t>по ряду показателей</w:t>
            </w:r>
            <w:r w:rsidRPr="00FE6194">
              <w:rPr>
                <w:sz w:val="20"/>
                <w:szCs w:val="20"/>
              </w:rPr>
              <w:t xml:space="preserve"> </w:t>
            </w:r>
            <w:r w:rsidRPr="00FE6194">
              <w:rPr>
                <w:b/>
                <w:sz w:val="20"/>
                <w:szCs w:val="20"/>
              </w:rPr>
              <w:t>значения перевыполнены еще до завершения 2018 года</w:t>
            </w:r>
            <w:r w:rsidRPr="00FE6194">
              <w:rPr>
                <w:sz w:val="20"/>
                <w:szCs w:val="20"/>
              </w:rPr>
              <w:t>.</w:t>
            </w:r>
          </w:p>
          <w:p w:rsidR="00282FE2" w:rsidRPr="00FE6194" w:rsidRDefault="00282FE2" w:rsidP="00282FE2">
            <w:pPr>
              <w:spacing w:line="240" w:lineRule="auto"/>
              <w:ind w:left="0" w:right="0"/>
              <w:rPr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>В 2018 году паспортом приоритетного проекта предусматривалась реализация</w:t>
            </w:r>
            <w:r w:rsidRPr="00FE6194">
              <w:rPr>
                <w:b/>
                <w:sz w:val="20"/>
                <w:szCs w:val="20"/>
              </w:rPr>
              <w:t xml:space="preserve"> 10</w:t>
            </w:r>
            <w:r w:rsidRPr="00FE6194">
              <w:rPr>
                <w:sz w:val="20"/>
                <w:szCs w:val="20"/>
              </w:rPr>
              <w:t xml:space="preserve"> контрольных точек. </w:t>
            </w:r>
            <w:proofErr w:type="gramStart"/>
            <w:r w:rsidRPr="00FE6194">
              <w:rPr>
                <w:sz w:val="20"/>
                <w:szCs w:val="20"/>
              </w:rPr>
              <w:t xml:space="preserve">По состоянию на 1 января 2019 выполнено </w:t>
            </w:r>
            <w:r w:rsidRPr="00FE6194">
              <w:rPr>
                <w:b/>
                <w:sz w:val="20"/>
                <w:szCs w:val="20"/>
              </w:rPr>
              <w:t>8</w:t>
            </w:r>
            <w:r w:rsidRPr="00FE6194">
              <w:rPr>
                <w:sz w:val="20"/>
                <w:szCs w:val="20"/>
              </w:rPr>
              <w:t xml:space="preserve"> контрольных точек, из них </w:t>
            </w:r>
            <w:r w:rsidR="008B6112">
              <w:rPr>
                <w:b/>
                <w:sz w:val="20"/>
                <w:szCs w:val="20"/>
              </w:rPr>
              <w:t xml:space="preserve">5 </w:t>
            </w:r>
            <w:r w:rsidRPr="00FE6194">
              <w:rPr>
                <w:sz w:val="20"/>
                <w:szCs w:val="20"/>
              </w:rPr>
              <w:t>исполнены с нарушением сроков.</w:t>
            </w:r>
            <w:proofErr w:type="gramEnd"/>
            <w:r w:rsidRPr="00FE6194">
              <w:rPr>
                <w:sz w:val="20"/>
                <w:szCs w:val="20"/>
              </w:rPr>
              <w:t xml:space="preserve"> Следует отметить, что нарушение сроков принятия нормативных правовых актов по реализации мероприятий проекта связано с длительностью процедуры согласования с заинтересованными федеральными органами исполнительной власти.</w:t>
            </w:r>
          </w:p>
          <w:p w:rsidR="00282FE2" w:rsidRPr="00FE6194" w:rsidRDefault="00282FE2" w:rsidP="00282FE2">
            <w:pPr>
              <w:spacing w:line="240" w:lineRule="auto"/>
              <w:ind w:left="0" w:right="0"/>
              <w:textAlignment w:val="auto"/>
              <w:rPr>
                <w:rFonts w:eastAsia="Times New Roman"/>
                <w:sz w:val="20"/>
                <w:szCs w:val="20"/>
              </w:rPr>
            </w:pPr>
            <w:r w:rsidRPr="00FE6194">
              <w:rPr>
                <w:rFonts w:eastAsia="Times New Roman"/>
                <w:b/>
                <w:sz w:val="20"/>
                <w:szCs w:val="20"/>
              </w:rPr>
              <w:t xml:space="preserve">Не выполнена контрольная точка </w:t>
            </w:r>
            <w:r w:rsidRPr="00FE6194">
              <w:rPr>
                <w:rFonts w:eastAsia="Times New Roman"/>
                <w:sz w:val="20"/>
                <w:szCs w:val="20"/>
              </w:rPr>
              <w:t xml:space="preserve">«Опубликована на ЕПГУ портальная форма сервисов предоставления доступа к электронным медицинским документам. Запись для прохождения профилактических медосмотров, диспансеризации; доработанная форма предоставление сведений об оказанной медицинской помощи из электронной медкарты» со сроком реализации 30 марта 2018 года. </w:t>
            </w:r>
          </w:p>
          <w:p w:rsidR="00282FE2" w:rsidRPr="00FE6194" w:rsidRDefault="00282FE2" w:rsidP="008B6112">
            <w:pPr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rFonts w:eastAsia="Times New Roman"/>
                <w:sz w:val="20"/>
                <w:szCs w:val="20"/>
              </w:rPr>
            </w:pPr>
            <w:proofErr w:type="gramStart"/>
            <w:r w:rsidRPr="00FE6194">
              <w:rPr>
                <w:rFonts w:eastAsia="Times New Roman"/>
                <w:sz w:val="20"/>
                <w:szCs w:val="20"/>
              </w:rPr>
              <w:t>По имеющейся в Счетной палате информации</w:t>
            </w:r>
            <w:r w:rsidR="008B6112">
              <w:rPr>
                <w:rFonts w:eastAsia="Times New Roman"/>
                <w:sz w:val="20"/>
                <w:szCs w:val="20"/>
              </w:rPr>
              <w:t>,</w:t>
            </w:r>
            <w:r w:rsidRPr="00FE6194">
              <w:rPr>
                <w:rFonts w:eastAsia="Times New Roman"/>
                <w:sz w:val="20"/>
                <w:szCs w:val="20"/>
              </w:rPr>
              <w:t xml:space="preserve"> интерактивные формы услуг «Предоставление доступа к электронным медицинским документам» и «Запись для прохождения профилактических медицинских осмотров, диспансеризации» разработаны, провод</w:t>
            </w:r>
            <w:r w:rsidR="008B6112">
              <w:rPr>
                <w:rFonts w:eastAsia="Times New Roman"/>
                <w:sz w:val="20"/>
                <w:szCs w:val="20"/>
              </w:rPr>
              <w:t>я</w:t>
            </w:r>
            <w:r w:rsidRPr="00FE6194">
              <w:rPr>
                <w:rFonts w:eastAsia="Times New Roman"/>
                <w:sz w:val="20"/>
                <w:szCs w:val="20"/>
              </w:rPr>
              <w:t>тся тестирование и отладка интеграции с государственными информационными системами в сфере здравоохранения субъектов Российской Федерации и медицинскими информационными системами медицинских организаций субъектов Российской Федерации (28 субъектов Российской Федерации проводят тестирование услуги «Предоставление доступа к электронным медицинским</w:t>
            </w:r>
            <w:proofErr w:type="gramEnd"/>
            <w:r w:rsidRPr="00FE6194">
              <w:rPr>
                <w:rFonts w:eastAsia="Times New Roman"/>
                <w:sz w:val="20"/>
                <w:szCs w:val="20"/>
              </w:rPr>
              <w:t xml:space="preserve"> документам» и 13 субъектов Российской Федерации - услуги «Запись для прохождения профилактических медицинс</w:t>
            </w:r>
            <w:r w:rsidR="008B6112">
              <w:rPr>
                <w:rFonts w:eastAsia="Times New Roman"/>
                <w:sz w:val="20"/>
                <w:szCs w:val="20"/>
              </w:rPr>
              <w:t>ких осмотров, диспансеризации»)</w:t>
            </w:r>
          </w:p>
        </w:tc>
      </w:tr>
      <w:tr w:rsidR="00D979B1" w:rsidRPr="00FE6194" w:rsidTr="00BD6E99">
        <w:tc>
          <w:tcPr>
            <w:tcW w:w="817" w:type="dxa"/>
          </w:tcPr>
          <w:p w:rsidR="00D979B1" w:rsidRPr="00FE6194" w:rsidRDefault="001C4885" w:rsidP="0005610B">
            <w:pPr>
              <w:ind w:left="0" w:right="0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3119" w:type="dxa"/>
          </w:tcPr>
          <w:p w:rsidR="00D979B1" w:rsidRPr="00FE6194" w:rsidRDefault="00D979B1" w:rsidP="0005610B">
            <w:pPr>
              <w:spacing w:line="240" w:lineRule="auto"/>
              <w:ind w:left="0" w:right="0" w:firstLine="0"/>
              <w:rPr>
                <w:sz w:val="20"/>
                <w:szCs w:val="20"/>
                <w:highlight w:val="yellow"/>
                <w:lang w:eastAsia="en-US"/>
              </w:rPr>
            </w:pPr>
            <w:r w:rsidRPr="00FE6194">
              <w:rPr>
                <w:sz w:val="20"/>
                <w:szCs w:val="24"/>
              </w:rPr>
              <w:t>«Обеспечение здравоохранения квалифицированными специалистами»</w:t>
            </w:r>
          </w:p>
        </w:tc>
        <w:tc>
          <w:tcPr>
            <w:tcW w:w="5635" w:type="dxa"/>
          </w:tcPr>
          <w:p w:rsidR="00D979B1" w:rsidRPr="00FE6194" w:rsidRDefault="00D979B1" w:rsidP="0005610B">
            <w:pPr>
              <w:spacing w:line="240" w:lineRule="auto"/>
              <w:ind w:left="0" w:right="0"/>
              <w:textAlignment w:val="auto"/>
              <w:rPr>
                <w:sz w:val="20"/>
                <w:szCs w:val="24"/>
              </w:rPr>
            </w:pPr>
            <w:r w:rsidRPr="00FE6194">
              <w:rPr>
                <w:sz w:val="20"/>
                <w:szCs w:val="24"/>
              </w:rPr>
              <w:t xml:space="preserve">В 2018 году по приоритетному проекту предусматривалась реализация </w:t>
            </w:r>
            <w:r w:rsidRPr="00FE6194">
              <w:rPr>
                <w:b/>
                <w:sz w:val="20"/>
                <w:szCs w:val="24"/>
              </w:rPr>
              <w:t xml:space="preserve">7 </w:t>
            </w:r>
            <w:r w:rsidRPr="00FE6194">
              <w:rPr>
                <w:sz w:val="20"/>
                <w:szCs w:val="24"/>
              </w:rPr>
              <w:t xml:space="preserve">контрольных точек. </w:t>
            </w:r>
            <w:proofErr w:type="gramStart"/>
            <w:r w:rsidRPr="00FE6194">
              <w:rPr>
                <w:sz w:val="20"/>
                <w:szCs w:val="24"/>
              </w:rPr>
              <w:t xml:space="preserve">По состоянию на 1 января 2019 года выполнено </w:t>
            </w:r>
            <w:r w:rsidRPr="00FE6194">
              <w:rPr>
                <w:b/>
                <w:sz w:val="20"/>
                <w:szCs w:val="24"/>
              </w:rPr>
              <w:t>5</w:t>
            </w:r>
            <w:r w:rsidRPr="00FE6194">
              <w:rPr>
                <w:sz w:val="20"/>
                <w:szCs w:val="24"/>
              </w:rPr>
              <w:t xml:space="preserve"> контрольных точек, из них </w:t>
            </w:r>
            <w:r w:rsidRPr="00FE6194">
              <w:rPr>
                <w:b/>
                <w:sz w:val="20"/>
                <w:szCs w:val="24"/>
              </w:rPr>
              <w:t>2</w:t>
            </w:r>
            <w:r w:rsidR="00544695">
              <w:rPr>
                <w:sz w:val="20"/>
                <w:szCs w:val="24"/>
              </w:rPr>
              <w:t xml:space="preserve"> </w:t>
            </w:r>
            <w:r w:rsidRPr="00FE6194">
              <w:rPr>
                <w:sz w:val="20"/>
                <w:szCs w:val="24"/>
              </w:rPr>
              <w:t xml:space="preserve">исполнены с нарушением сроков. </w:t>
            </w:r>
            <w:proofErr w:type="gramEnd"/>
          </w:p>
          <w:p w:rsidR="00D979B1" w:rsidRPr="00FE6194" w:rsidRDefault="00D979B1" w:rsidP="0005610B">
            <w:pPr>
              <w:spacing w:line="240" w:lineRule="auto"/>
              <w:ind w:left="0" w:right="0"/>
              <w:rPr>
                <w:bCs/>
                <w:sz w:val="20"/>
                <w:szCs w:val="24"/>
              </w:rPr>
            </w:pPr>
            <w:proofErr w:type="gramStart"/>
            <w:r w:rsidRPr="00FE6194">
              <w:rPr>
                <w:b/>
                <w:bCs/>
                <w:sz w:val="20"/>
                <w:szCs w:val="24"/>
              </w:rPr>
              <w:t>Не выполнены мероприятия по контрольной точке</w:t>
            </w:r>
            <w:r w:rsidRPr="00FE6194">
              <w:rPr>
                <w:bCs/>
                <w:sz w:val="20"/>
                <w:szCs w:val="24"/>
              </w:rPr>
              <w:t xml:space="preserve"> «Проведено дооснащение 97 </w:t>
            </w:r>
            <w:proofErr w:type="spellStart"/>
            <w:r w:rsidRPr="00FE6194">
              <w:rPr>
                <w:bCs/>
                <w:sz w:val="20"/>
                <w:szCs w:val="24"/>
              </w:rPr>
              <w:t>симуляционных</w:t>
            </w:r>
            <w:proofErr w:type="spellEnd"/>
            <w:r w:rsidRPr="00FE6194">
              <w:rPr>
                <w:bCs/>
                <w:sz w:val="20"/>
                <w:szCs w:val="24"/>
              </w:rPr>
              <w:t xml:space="preserve"> центров образовательных и научных организаций до </w:t>
            </w:r>
            <w:proofErr w:type="spellStart"/>
            <w:r w:rsidRPr="00FE6194">
              <w:rPr>
                <w:bCs/>
                <w:sz w:val="20"/>
                <w:szCs w:val="24"/>
              </w:rPr>
              <w:t>аккредитационно-симуляционных</w:t>
            </w:r>
            <w:proofErr w:type="spellEnd"/>
            <w:r w:rsidRPr="00FE6194">
              <w:rPr>
                <w:bCs/>
                <w:sz w:val="20"/>
                <w:szCs w:val="24"/>
              </w:rPr>
              <w:t xml:space="preserve"> центров в целях их использования при проведении на регулярной основе первичной и первичной специализированной аккредитации специалистов» (срок реализации – 1 июня 2018 года), что связано с различной ведомственной принадлежностью образовательных организаций</w:t>
            </w:r>
            <w:r w:rsidR="00544695">
              <w:rPr>
                <w:bCs/>
                <w:sz w:val="20"/>
                <w:szCs w:val="24"/>
              </w:rPr>
              <w:t>,</w:t>
            </w:r>
            <w:r w:rsidRPr="00FE6194">
              <w:rPr>
                <w:bCs/>
                <w:sz w:val="20"/>
                <w:szCs w:val="24"/>
              </w:rPr>
              <w:t xml:space="preserve"> </w:t>
            </w:r>
            <w:proofErr w:type="spellStart"/>
            <w:r w:rsidRPr="00FE6194">
              <w:rPr>
                <w:bCs/>
                <w:sz w:val="20"/>
                <w:szCs w:val="24"/>
              </w:rPr>
              <w:t>симуляционные</w:t>
            </w:r>
            <w:proofErr w:type="spellEnd"/>
            <w:r w:rsidRPr="00FE6194">
              <w:rPr>
                <w:bCs/>
                <w:sz w:val="20"/>
                <w:szCs w:val="24"/>
              </w:rPr>
              <w:t xml:space="preserve"> центры которых будут подлежать дооснащению.</w:t>
            </w:r>
            <w:proofErr w:type="gramEnd"/>
            <w:r w:rsidRPr="00FE6194">
              <w:rPr>
                <w:bCs/>
                <w:sz w:val="20"/>
                <w:szCs w:val="24"/>
              </w:rPr>
              <w:t xml:space="preserve"> Отбор данных центров планируется </w:t>
            </w:r>
            <w:r w:rsidRPr="00FE6194">
              <w:rPr>
                <w:bCs/>
                <w:sz w:val="20"/>
                <w:szCs w:val="24"/>
              </w:rPr>
              <w:lastRenderedPageBreak/>
              <w:t xml:space="preserve">осуществлять в рамках открытого конкурса. В целях организации и проведения конкурсных процедур Минздравом России осуществлена разработка конкурсной документации и проекта постановления Правительства Российской Федерации «Об утверждении Правил предоставления субсидий федеральным государственным бюджетным и автономным образовательным организациям высшего образования для создания на их базе </w:t>
            </w:r>
            <w:proofErr w:type="spellStart"/>
            <w:r w:rsidRPr="00FE6194">
              <w:rPr>
                <w:bCs/>
                <w:sz w:val="20"/>
                <w:szCs w:val="24"/>
              </w:rPr>
              <w:t>аккредитационно-симуляционных</w:t>
            </w:r>
            <w:proofErr w:type="spellEnd"/>
            <w:r w:rsidRPr="00FE6194">
              <w:rPr>
                <w:bCs/>
                <w:sz w:val="20"/>
                <w:szCs w:val="24"/>
              </w:rPr>
              <w:t xml:space="preserve"> центров».</w:t>
            </w:r>
          </w:p>
          <w:p w:rsidR="00D979B1" w:rsidRPr="00FE6194" w:rsidRDefault="00D979B1" w:rsidP="0005610B">
            <w:pPr>
              <w:spacing w:line="240" w:lineRule="auto"/>
              <w:ind w:left="0" w:right="0"/>
              <w:textAlignment w:val="auto"/>
              <w:rPr>
                <w:sz w:val="20"/>
                <w:szCs w:val="20"/>
                <w:highlight w:val="yellow"/>
                <w:lang w:eastAsia="en-US"/>
              </w:rPr>
            </w:pPr>
            <w:r w:rsidRPr="00FE6194">
              <w:rPr>
                <w:bCs/>
                <w:sz w:val="20"/>
                <w:szCs w:val="24"/>
              </w:rPr>
              <w:t>По информации Минздрава России</w:t>
            </w:r>
            <w:r w:rsidR="00544695">
              <w:rPr>
                <w:bCs/>
                <w:sz w:val="20"/>
                <w:szCs w:val="24"/>
              </w:rPr>
              <w:t>,</w:t>
            </w:r>
            <w:r w:rsidRPr="00FE6194">
              <w:rPr>
                <w:bCs/>
                <w:sz w:val="20"/>
                <w:szCs w:val="24"/>
              </w:rPr>
              <w:t xml:space="preserve"> выполнение указанной контрольной точки предусматривается в рамках федерального проекта «Обеспечение медицинских организаций системы здравоохранения квалифицированными кадрами» к 1 декабря 2019 год</w:t>
            </w:r>
            <w:r w:rsidR="00544695">
              <w:rPr>
                <w:bCs/>
                <w:sz w:val="20"/>
                <w:szCs w:val="24"/>
              </w:rPr>
              <w:t>а</w:t>
            </w:r>
          </w:p>
        </w:tc>
      </w:tr>
      <w:tr w:rsidR="00BD6E99" w:rsidRPr="00FE6194" w:rsidTr="00BD6E99">
        <w:tc>
          <w:tcPr>
            <w:tcW w:w="817" w:type="dxa"/>
          </w:tcPr>
          <w:p w:rsidR="00BD6E99" w:rsidRPr="00FE6194" w:rsidRDefault="001C4885" w:rsidP="00DD05A4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9" w:type="dxa"/>
          </w:tcPr>
          <w:p w:rsidR="00BD6E99" w:rsidRPr="00FE6194" w:rsidRDefault="00BD6E99" w:rsidP="00BD6E9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>«Вузы как центры пространства создания инноваций»</w:t>
            </w:r>
          </w:p>
        </w:tc>
        <w:tc>
          <w:tcPr>
            <w:tcW w:w="5635" w:type="dxa"/>
          </w:tcPr>
          <w:p w:rsidR="00BD6E99" w:rsidRPr="00FE6194" w:rsidRDefault="00544695" w:rsidP="00BD6E99">
            <w:pPr>
              <w:spacing w:line="240" w:lineRule="auto"/>
              <w:ind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приоритетному проекту</w:t>
            </w:r>
            <w:r w:rsidR="00BD6E99" w:rsidRPr="00FE6194">
              <w:rPr>
                <w:sz w:val="20"/>
                <w:szCs w:val="20"/>
              </w:rPr>
              <w:t xml:space="preserve"> еще по итогам </w:t>
            </w:r>
            <w:r w:rsidR="00BD6E99" w:rsidRPr="00FE6194">
              <w:rPr>
                <w:sz w:val="20"/>
                <w:szCs w:val="20"/>
                <w:lang w:val="en-US"/>
              </w:rPr>
              <w:t>I</w:t>
            </w:r>
            <w:r w:rsidR="00BD6E99" w:rsidRPr="00FE6194">
              <w:rPr>
                <w:sz w:val="20"/>
                <w:szCs w:val="20"/>
              </w:rPr>
              <w:t xml:space="preserve"> квартала 2018 года плановые значения 2 показателей паспорта приоритетного проекта перевыполнены и 2 были практически достигнуты, что свидетельствует о недостатках их планирования.</w:t>
            </w:r>
          </w:p>
          <w:p w:rsidR="00D979B1" w:rsidRPr="00FE6194" w:rsidRDefault="00BD6E99" w:rsidP="00D979B1">
            <w:pPr>
              <w:spacing w:line="240" w:lineRule="auto"/>
              <w:ind w:left="0" w:right="0"/>
              <w:rPr>
                <w:rFonts w:eastAsia="Times New Roman"/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 xml:space="preserve">Так, показатель «Количество ведущих российских университетов, входящих не менее двух лет подряд в ТОП-100 мировых рейтингов университетов, единиц» на 2018 год запланирован на уровне </w:t>
            </w:r>
            <w:r w:rsidRPr="00FE6194">
              <w:rPr>
                <w:b/>
                <w:sz w:val="20"/>
                <w:szCs w:val="20"/>
              </w:rPr>
              <w:t>5 единиц</w:t>
            </w:r>
            <w:r w:rsidRPr="00FE6194">
              <w:rPr>
                <w:sz w:val="20"/>
                <w:szCs w:val="20"/>
              </w:rPr>
              <w:t xml:space="preserve">, значение указанного показателя составило </w:t>
            </w:r>
            <w:r w:rsidRPr="00FE6194">
              <w:rPr>
                <w:b/>
                <w:sz w:val="20"/>
                <w:szCs w:val="20"/>
              </w:rPr>
              <w:t>7 единиц</w:t>
            </w:r>
            <w:r w:rsidRPr="00FE6194">
              <w:rPr>
                <w:sz w:val="20"/>
                <w:szCs w:val="20"/>
              </w:rPr>
              <w:t xml:space="preserve"> (или 140 % предусмотренного показателя). Показатель «Количество ведущих российских университетов, входящих не менее двух лет подряд в ТОП-300 мировых рейтингов университетов, единиц» на 2018 год запланирован на уровне </w:t>
            </w:r>
            <w:r w:rsidRPr="00FE6194">
              <w:rPr>
                <w:b/>
                <w:sz w:val="20"/>
                <w:szCs w:val="20"/>
              </w:rPr>
              <w:t>10 единиц</w:t>
            </w:r>
            <w:r w:rsidRPr="00FE6194">
              <w:rPr>
                <w:sz w:val="20"/>
                <w:szCs w:val="20"/>
              </w:rPr>
              <w:t xml:space="preserve">, значение указанного показателя составило </w:t>
            </w:r>
            <w:r w:rsidRPr="00FE6194">
              <w:rPr>
                <w:b/>
                <w:sz w:val="20"/>
                <w:szCs w:val="20"/>
              </w:rPr>
              <w:t>13 единиц</w:t>
            </w:r>
            <w:r w:rsidRPr="00FE6194">
              <w:rPr>
                <w:sz w:val="20"/>
                <w:szCs w:val="20"/>
              </w:rPr>
              <w:t xml:space="preserve"> (или 130 % предусмотренного показателя). Показатель «Количество субъектов, на территории которых функционирует не менее одного университетского центра» на 2018 год запланирован на уровне </w:t>
            </w:r>
            <w:r w:rsidRPr="00FE6194">
              <w:rPr>
                <w:b/>
                <w:sz w:val="20"/>
                <w:szCs w:val="20"/>
              </w:rPr>
              <w:t>40</w:t>
            </w:r>
            <w:r w:rsidRPr="00FE6194">
              <w:rPr>
                <w:sz w:val="20"/>
                <w:szCs w:val="20"/>
              </w:rPr>
              <w:t xml:space="preserve">, значение указанного показателя составило </w:t>
            </w:r>
            <w:r w:rsidRPr="00FE6194">
              <w:rPr>
                <w:b/>
                <w:sz w:val="20"/>
                <w:szCs w:val="20"/>
              </w:rPr>
              <w:t>39</w:t>
            </w:r>
            <w:r w:rsidRPr="00FE6194">
              <w:rPr>
                <w:sz w:val="20"/>
                <w:szCs w:val="20"/>
              </w:rPr>
              <w:t xml:space="preserve"> (97,5 % предусмотренного показателя). </w:t>
            </w:r>
            <w:proofErr w:type="gramStart"/>
            <w:r w:rsidRPr="00FE6194">
              <w:rPr>
                <w:sz w:val="20"/>
                <w:szCs w:val="20"/>
              </w:rPr>
              <w:t xml:space="preserve">Показатель «Количество университетских центров инновационного, технологического и социального развития регионов, реализующих в отчетном году в своих технопарках, инжиниринговых центрах, бизнес-инкубаторах не менее 10 технологических и социальных проектов за счет средств предприятий, организаций региональной экономики и (или) регионального и муниципального бюджетов, единиц» на 2018 год запланирован на уровне </w:t>
            </w:r>
            <w:r w:rsidRPr="00FE6194">
              <w:rPr>
                <w:b/>
                <w:sz w:val="20"/>
                <w:szCs w:val="20"/>
              </w:rPr>
              <w:t>55 единиц</w:t>
            </w:r>
            <w:r w:rsidRPr="00FE6194">
              <w:rPr>
                <w:sz w:val="20"/>
                <w:szCs w:val="20"/>
              </w:rPr>
              <w:t xml:space="preserve">, значение указанного показателя составило </w:t>
            </w:r>
            <w:r w:rsidRPr="00FE6194">
              <w:rPr>
                <w:b/>
                <w:sz w:val="20"/>
                <w:szCs w:val="20"/>
              </w:rPr>
              <w:t>51 единицу</w:t>
            </w:r>
            <w:r w:rsidRPr="00FE6194">
              <w:rPr>
                <w:sz w:val="20"/>
                <w:szCs w:val="20"/>
              </w:rPr>
              <w:t xml:space="preserve"> (92,7</w:t>
            </w:r>
            <w:r w:rsidR="00544695">
              <w:rPr>
                <w:sz w:val="20"/>
                <w:szCs w:val="20"/>
              </w:rPr>
              <w:t xml:space="preserve"> % предусмотренного показателя)</w:t>
            </w:r>
            <w:proofErr w:type="gramEnd"/>
          </w:p>
        </w:tc>
      </w:tr>
      <w:tr w:rsidR="00D979B1" w:rsidRPr="00FE6194" w:rsidTr="00BD6E99">
        <w:tc>
          <w:tcPr>
            <w:tcW w:w="817" w:type="dxa"/>
          </w:tcPr>
          <w:p w:rsidR="00D979B1" w:rsidRPr="00FE6194" w:rsidRDefault="001C4885" w:rsidP="0005610B">
            <w:pPr>
              <w:ind w:left="0" w:right="0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119" w:type="dxa"/>
          </w:tcPr>
          <w:p w:rsidR="00D979B1" w:rsidRPr="00FE6194" w:rsidRDefault="00D979B1" w:rsidP="0005610B">
            <w:pPr>
              <w:spacing w:line="240" w:lineRule="auto"/>
              <w:ind w:left="0" w:right="0" w:firstLine="0"/>
              <w:rPr>
                <w:sz w:val="20"/>
                <w:szCs w:val="20"/>
                <w:highlight w:val="yellow"/>
                <w:lang w:eastAsia="en-US"/>
              </w:rPr>
            </w:pPr>
            <w:r w:rsidRPr="00FE6194">
              <w:rPr>
                <w:sz w:val="20"/>
                <w:szCs w:val="24"/>
              </w:rPr>
              <w:t>«Современная цифровая образовательная среда в Российской Федерации»</w:t>
            </w:r>
          </w:p>
        </w:tc>
        <w:tc>
          <w:tcPr>
            <w:tcW w:w="5635" w:type="dxa"/>
          </w:tcPr>
          <w:p w:rsidR="00D979B1" w:rsidRPr="00FE6194" w:rsidRDefault="00D979B1" w:rsidP="0005610B">
            <w:pPr>
              <w:spacing w:line="240" w:lineRule="auto"/>
              <w:ind w:left="0" w:right="0"/>
              <w:textAlignment w:val="auto"/>
              <w:rPr>
                <w:sz w:val="20"/>
                <w:szCs w:val="24"/>
              </w:rPr>
            </w:pPr>
            <w:r w:rsidRPr="00FE6194">
              <w:rPr>
                <w:sz w:val="20"/>
                <w:szCs w:val="24"/>
              </w:rPr>
              <w:t xml:space="preserve">В 2018 году по приоритетному проекту </w:t>
            </w:r>
            <w:r w:rsidRPr="00FE6194">
              <w:rPr>
                <w:b/>
                <w:sz w:val="20"/>
                <w:szCs w:val="24"/>
              </w:rPr>
              <w:t>не выполнены контрольные точки</w:t>
            </w:r>
            <w:r w:rsidRPr="00FE6194">
              <w:rPr>
                <w:sz w:val="20"/>
                <w:szCs w:val="24"/>
              </w:rPr>
              <w:t>:</w:t>
            </w:r>
          </w:p>
          <w:p w:rsidR="00D979B1" w:rsidRPr="00FE6194" w:rsidRDefault="00D979B1" w:rsidP="0005610B">
            <w:pPr>
              <w:spacing w:line="240" w:lineRule="auto"/>
              <w:ind w:left="0" w:right="0"/>
              <w:rPr>
                <w:sz w:val="20"/>
                <w:szCs w:val="24"/>
              </w:rPr>
            </w:pPr>
            <w:r w:rsidRPr="00FE6194">
              <w:rPr>
                <w:sz w:val="20"/>
                <w:szCs w:val="24"/>
              </w:rPr>
              <w:t>«Утверждено постановление Правительства Российской Федерации «О проведении в 2018 - 2021 годах эксперимента по апробации механизма финансового обеспечения академической мобильности обучающихся в процессе освоения образовательных программ высшего образования» (срок реализации 1 августа 2018 года)</w:t>
            </w:r>
            <w:r w:rsidR="00544695">
              <w:rPr>
                <w:sz w:val="20"/>
                <w:szCs w:val="24"/>
              </w:rPr>
              <w:t xml:space="preserve">, направленное на </w:t>
            </w:r>
            <w:proofErr w:type="gramStart"/>
            <w:r w:rsidR="00544695">
              <w:rPr>
                <w:sz w:val="20"/>
                <w:szCs w:val="24"/>
              </w:rPr>
              <w:t>регулирование</w:t>
            </w:r>
            <w:proofErr w:type="gramEnd"/>
            <w:r w:rsidRPr="00FE6194">
              <w:rPr>
                <w:sz w:val="20"/>
                <w:szCs w:val="24"/>
              </w:rPr>
              <w:t xml:space="preserve"> в том числе освоения образовательных программ высшего образования, финансируемых в рамках государственного задания образовательной организации на реализацию основной образовательной программы, с использованием онлайн-курсов». По информации </w:t>
            </w:r>
            <w:proofErr w:type="spellStart"/>
            <w:r w:rsidRPr="00FE6194">
              <w:rPr>
                <w:sz w:val="20"/>
                <w:szCs w:val="24"/>
              </w:rPr>
              <w:t>Минпросвещения</w:t>
            </w:r>
            <w:proofErr w:type="spellEnd"/>
            <w:r w:rsidRPr="00FE6194">
              <w:rPr>
                <w:sz w:val="20"/>
                <w:szCs w:val="24"/>
              </w:rPr>
              <w:t xml:space="preserve"> России по состоянию на 1 ноября 2018 года невыполнение указанной контрольной точки обусловлено проведением реорганизационных процедур в соответствии с Указом Президента Российской Федерации от 15 мая 2018 г. № 215 «</w:t>
            </w:r>
            <w:r w:rsidRPr="00FE6194">
              <w:rPr>
                <w:rFonts w:eastAsiaTheme="minorHAnsi"/>
                <w:sz w:val="20"/>
                <w:szCs w:val="24"/>
                <w:lang w:eastAsia="en-US"/>
              </w:rPr>
              <w:t xml:space="preserve">О </w:t>
            </w:r>
            <w:r w:rsidRPr="00FE6194">
              <w:rPr>
                <w:rFonts w:eastAsiaTheme="minorHAnsi"/>
                <w:sz w:val="20"/>
                <w:szCs w:val="24"/>
                <w:lang w:eastAsia="en-US"/>
              </w:rPr>
              <w:lastRenderedPageBreak/>
              <w:t>структуре федеральных органов исполнительной власти»</w:t>
            </w:r>
            <w:r w:rsidRPr="00FE6194">
              <w:rPr>
                <w:sz w:val="20"/>
                <w:szCs w:val="24"/>
              </w:rPr>
              <w:t xml:space="preserve">; </w:t>
            </w:r>
          </w:p>
          <w:p w:rsidR="00D979B1" w:rsidRPr="00FE6194" w:rsidRDefault="00D979B1" w:rsidP="0005610B">
            <w:pPr>
              <w:spacing w:line="240" w:lineRule="auto"/>
              <w:ind w:left="0" w:right="0"/>
              <w:rPr>
                <w:sz w:val="20"/>
                <w:szCs w:val="24"/>
              </w:rPr>
            </w:pPr>
            <w:r w:rsidRPr="00FE6194">
              <w:rPr>
                <w:sz w:val="20"/>
                <w:szCs w:val="24"/>
              </w:rPr>
              <w:t>«Регистрация обучающихся как минимум на одной платформе онлайн-обучения доступ</w:t>
            </w:r>
            <w:r w:rsidR="006043C4">
              <w:rPr>
                <w:sz w:val="20"/>
                <w:szCs w:val="24"/>
              </w:rPr>
              <w:t>на с применением Единой системы</w:t>
            </w:r>
            <w:bookmarkStart w:id="0" w:name="_GoBack"/>
            <w:bookmarkEnd w:id="0"/>
            <w:r w:rsidRPr="00FE6194">
              <w:rPr>
                <w:sz w:val="20"/>
                <w:szCs w:val="24"/>
              </w:rPr>
              <w:t xml:space="preserve"> идентификац</w:t>
            </w:r>
            <w:proofErr w:type="gramStart"/>
            <w:r w:rsidRPr="00FE6194">
              <w:rPr>
                <w:sz w:val="20"/>
                <w:szCs w:val="24"/>
              </w:rPr>
              <w:t>ии и ау</w:t>
            </w:r>
            <w:proofErr w:type="gramEnd"/>
            <w:r w:rsidRPr="00FE6194">
              <w:rPr>
                <w:sz w:val="20"/>
                <w:szCs w:val="24"/>
              </w:rPr>
              <w:t xml:space="preserve">тентификации и ГИС «Контингент» (срок реализации 1 сентября 2018 года). </w:t>
            </w:r>
            <w:proofErr w:type="gramStart"/>
            <w:r w:rsidRPr="00FE6194">
              <w:rPr>
                <w:sz w:val="20"/>
                <w:szCs w:val="24"/>
              </w:rPr>
              <w:t>Невыполнение указанной контрольной точки связано с тем, что на основании постановления Государственной Думы Федерального Собрания Российской Федерации от 24 мая 2018 г. № 4080-7 регистрация обучающихся как минимум на одной платформе с использованием ГИС «Континге</w:t>
            </w:r>
            <w:r w:rsidR="00544695">
              <w:rPr>
                <w:sz w:val="20"/>
                <w:szCs w:val="24"/>
              </w:rPr>
              <w:t>нт» не представляется возможной</w:t>
            </w:r>
            <w:r w:rsidRPr="00FE6194">
              <w:rPr>
                <w:sz w:val="20"/>
                <w:szCs w:val="24"/>
              </w:rPr>
              <w:t xml:space="preserve"> в связи со снятием с </w:t>
            </w:r>
            <w:r w:rsidR="00E817C1">
              <w:rPr>
                <w:sz w:val="20"/>
                <w:szCs w:val="24"/>
              </w:rPr>
              <w:t>дальнейшего рассмотрения проектов</w:t>
            </w:r>
            <w:r w:rsidRPr="00FE6194">
              <w:rPr>
                <w:sz w:val="20"/>
                <w:szCs w:val="24"/>
              </w:rPr>
              <w:t xml:space="preserve"> федера</w:t>
            </w:r>
            <w:r w:rsidR="00E817C1">
              <w:rPr>
                <w:sz w:val="20"/>
                <w:szCs w:val="24"/>
              </w:rPr>
              <w:t>льных законов</w:t>
            </w:r>
            <w:r w:rsidRPr="00FE6194">
              <w:rPr>
                <w:sz w:val="20"/>
                <w:szCs w:val="24"/>
              </w:rPr>
              <w:t xml:space="preserve"> «О внесении изменений в статьи 15 и 16 Федерального закона </w:t>
            </w:r>
            <w:r w:rsidR="00D32407">
              <w:rPr>
                <w:sz w:val="20"/>
                <w:szCs w:val="24"/>
              </w:rPr>
              <w:t>от 6 октября</w:t>
            </w:r>
            <w:proofErr w:type="gramEnd"/>
            <w:r w:rsidR="00D32407">
              <w:rPr>
                <w:sz w:val="20"/>
                <w:szCs w:val="24"/>
              </w:rPr>
              <w:t xml:space="preserve"> 2003 г. № 131-ФЗ </w:t>
            </w:r>
            <w:r w:rsidRPr="00FE6194">
              <w:rPr>
                <w:sz w:val="20"/>
                <w:szCs w:val="24"/>
              </w:rPr>
              <w:t xml:space="preserve">«Об общих принципах организации местного самоуправления в Российской Федерации» и </w:t>
            </w:r>
            <w:r w:rsidR="00E817C1">
              <w:rPr>
                <w:sz w:val="20"/>
                <w:szCs w:val="24"/>
              </w:rPr>
              <w:t xml:space="preserve">в </w:t>
            </w:r>
            <w:r w:rsidRPr="00FE6194">
              <w:rPr>
                <w:sz w:val="20"/>
                <w:szCs w:val="24"/>
              </w:rPr>
              <w:t xml:space="preserve">Федеральный закон </w:t>
            </w:r>
            <w:r w:rsidR="00D32407">
              <w:rPr>
                <w:sz w:val="20"/>
                <w:szCs w:val="24"/>
              </w:rPr>
              <w:t xml:space="preserve">от 29 декабря 2012 г. № 273-ФЗ </w:t>
            </w:r>
            <w:r w:rsidRPr="00FE6194">
              <w:rPr>
                <w:sz w:val="20"/>
                <w:szCs w:val="24"/>
              </w:rPr>
              <w:t xml:space="preserve">«Об образовании в Российской Федерации». </w:t>
            </w:r>
          </w:p>
          <w:p w:rsidR="00D979B1" w:rsidRPr="00FE6194" w:rsidRDefault="00D979B1" w:rsidP="0005610B">
            <w:pPr>
              <w:spacing w:line="240" w:lineRule="auto"/>
              <w:ind w:left="0" w:right="0"/>
              <w:rPr>
                <w:sz w:val="20"/>
                <w:szCs w:val="20"/>
                <w:highlight w:val="yellow"/>
                <w:lang w:eastAsia="en-US"/>
              </w:rPr>
            </w:pPr>
            <w:r w:rsidRPr="00FE6194">
              <w:rPr>
                <w:sz w:val="20"/>
                <w:szCs w:val="24"/>
              </w:rPr>
              <w:t xml:space="preserve">Следует отметить, что указанные </w:t>
            </w:r>
            <w:r w:rsidRPr="00FE6194">
              <w:rPr>
                <w:b/>
                <w:sz w:val="20"/>
                <w:szCs w:val="24"/>
              </w:rPr>
              <w:t>контрольные точки отсутствуют</w:t>
            </w:r>
            <w:r w:rsidRPr="00FE6194">
              <w:rPr>
                <w:sz w:val="20"/>
                <w:szCs w:val="24"/>
              </w:rPr>
              <w:t xml:space="preserve"> </w:t>
            </w:r>
            <w:r w:rsidRPr="00FE6194">
              <w:rPr>
                <w:b/>
                <w:sz w:val="20"/>
                <w:szCs w:val="24"/>
              </w:rPr>
              <w:t>в перечне контрольных точек планов федеральных проектов</w:t>
            </w:r>
            <w:r w:rsidRPr="00FE6194">
              <w:rPr>
                <w:sz w:val="20"/>
                <w:szCs w:val="24"/>
              </w:rPr>
              <w:t>, входящих в состав национального проекта «Образование», утвержденного на заседании президиума Совета при Президенте Российской Федерации по стратегическому развитию и национальным проектам (протокол от</w:t>
            </w:r>
            <w:r w:rsidR="00544695">
              <w:rPr>
                <w:sz w:val="20"/>
                <w:szCs w:val="24"/>
              </w:rPr>
              <w:t xml:space="preserve"> 24 декабря 2018 г. № 16)</w:t>
            </w:r>
          </w:p>
        </w:tc>
      </w:tr>
      <w:tr w:rsidR="00D979B1" w:rsidRPr="00FE6194" w:rsidTr="00BD6E99">
        <w:tc>
          <w:tcPr>
            <w:tcW w:w="817" w:type="dxa"/>
          </w:tcPr>
          <w:p w:rsidR="00D979B1" w:rsidRPr="00FE6194" w:rsidRDefault="001C4885" w:rsidP="0005610B">
            <w:pPr>
              <w:ind w:left="0" w:right="0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3119" w:type="dxa"/>
          </w:tcPr>
          <w:p w:rsidR="00D979B1" w:rsidRPr="00FE6194" w:rsidRDefault="00D979B1" w:rsidP="0005610B">
            <w:pPr>
              <w:spacing w:line="240" w:lineRule="auto"/>
              <w:ind w:left="0" w:right="0" w:firstLine="0"/>
              <w:rPr>
                <w:sz w:val="20"/>
                <w:szCs w:val="20"/>
                <w:highlight w:val="yellow"/>
                <w:lang w:eastAsia="en-US"/>
              </w:rPr>
            </w:pPr>
            <w:r w:rsidRPr="00FE6194">
              <w:rPr>
                <w:sz w:val="20"/>
                <w:szCs w:val="24"/>
              </w:rPr>
              <w:t>«Подготовка высококвалифицированных специалистов и рабочих кадров с учетом современных стандартов и передовых технологий»</w:t>
            </w:r>
          </w:p>
        </w:tc>
        <w:tc>
          <w:tcPr>
            <w:tcW w:w="5635" w:type="dxa"/>
          </w:tcPr>
          <w:p w:rsidR="00D979B1" w:rsidRPr="00FE6194" w:rsidRDefault="00D979B1" w:rsidP="00544695">
            <w:pPr>
              <w:spacing w:line="240" w:lineRule="auto"/>
              <w:ind w:left="0" w:right="0"/>
              <w:rPr>
                <w:sz w:val="20"/>
                <w:szCs w:val="20"/>
                <w:highlight w:val="yellow"/>
                <w:lang w:eastAsia="en-US"/>
              </w:rPr>
            </w:pPr>
            <w:r w:rsidRPr="00FE6194">
              <w:rPr>
                <w:rFonts w:eastAsia="Times New Roman"/>
                <w:sz w:val="20"/>
                <w:szCs w:val="24"/>
              </w:rPr>
              <w:t xml:space="preserve">В 2018 году по </w:t>
            </w:r>
            <w:r w:rsidRPr="00FE6194">
              <w:rPr>
                <w:sz w:val="20"/>
                <w:szCs w:val="24"/>
              </w:rPr>
              <w:t>приоритетному проекту</w:t>
            </w:r>
            <w:r w:rsidRPr="00FE6194">
              <w:rPr>
                <w:i/>
                <w:sz w:val="20"/>
                <w:szCs w:val="24"/>
              </w:rPr>
              <w:t xml:space="preserve"> </w:t>
            </w:r>
            <w:r w:rsidRPr="00FE6194">
              <w:rPr>
                <w:b/>
                <w:sz w:val="20"/>
                <w:szCs w:val="24"/>
              </w:rPr>
              <w:t>не выполнена контрольная точка</w:t>
            </w:r>
            <w:r w:rsidRPr="00FE6194">
              <w:rPr>
                <w:sz w:val="20"/>
                <w:szCs w:val="24"/>
              </w:rPr>
              <w:t xml:space="preserve"> «Построен и введен в эксплуатацию выставочный комплекс для проведения мирового чемпионата по профессиональному мастерству» (срок реализации 1 июля 2018 года).</w:t>
            </w:r>
            <w:r w:rsidRPr="00FE6194">
              <w:rPr>
                <w:b/>
                <w:sz w:val="20"/>
                <w:szCs w:val="24"/>
              </w:rPr>
              <w:t xml:space="preserve"> </w:t>
            </w:r>
            <w:r w:rsidRPr="00FE6194">
              <w:rPr>
                <w:sz w:val="20"/>
                <w:szCs w:val="24"/>
              </w:rPr>
              <w:t xml:space="preserve">По информации </w:t>
            </w:r>
            <w:proofErr w:type="spellStart"/>
            <w:r w:rsidRPr="00FE6194">
              <w:rPr>
                <w:sz w:val="20"/>
                <w:szCs w:val="24"/>
              </w:rPr>
              <w:t>Минпросвещения</w:t>
            </w:r>
            <w:proofErr w:type="spellEnd"/>
            <w:r w:rsidRPr="00FE6194">
              <w:rPr>
                <w:sz w:val="20"/>
                <w:szCs w:val="24"/>
              </w:rPr>
              <w:t xml:space="preserve"> России</w:t>
            </w:r>
            <w:r w:rsidR="00544695">
              <w:rPr>
                <w:sz w:val="20"/>
                <w:szCs w:val="24"/>
              </w:rPr>
              <w:t>,</w:t>
            </w:r>
            <w:r w:rsidRPr="00FE6194">
              <w:rPr>
                <w:sz w:val="20"/>
                <w:szCs w:val="24"/>
              </w:rPr>
              <w:t xml:space="preserve"> получено разрешение на ввод в эксплуатацию объекта «Международный выставочный центр «КАЗАНЬ ЭКСПО». Этап 1.2, первая очередь» от 15 октября 2018 г.</w:t>
            </w:r>
            <w:r w:rsidR="00544695">
              <w:rPr>
                <w:sz w:val="20"/>
                <w:szCs w:val="24"/>
              </w:rPr>
              <w:t xml:space="preserve"> </w:t>
            </w:r>
            <w:r w:rsidR="00544695">
              <w:rPr>
                <w:sz w:val="20"/>
                <w:szCs w:val="24"/>
              </w:rPr>
              <w:br/>
              <w:t>№ RU 16-24-123-2018. В рамках э</w:t>
            </w:r>
            <w:r w:rsidRPr="00FE6194">
              <w:rPr>
                <w:sz w:val="20"/>
                <w:szCs w:val="24"/>
              </w:rPr>
              <w:t xml:space="preserve">тапа 1.1 на объекте завершались </w:t>
            </w:r>
            <w:proofErr w:type="spellStart"/>
            <w:r w:rsidRPr="00FE6194">
              <w:rPr>
                <w:sz w:val="20"/>
                <w:szCs w:val="24"/>
              </w:rPr>
              <w:t>пусконаладка</w:t>
            </w:r>
            <w:proofErr w:type="spellEnd"/>
            <w:r w:rsidRPr="00FE6194">
              <w:rPr>
                <w:sz w:val="20"/>
                <w:szCs w:val="24"/>
              </w:rPr>
              <w:t xml:space="preserve"> внутренних инженерных сетей, по павильону №</w:t>
            </w:r>
            <w:r w:rsidR="00544695">
              <w:rPr>
                <w:sz w:val="20"/>
                <w:szCs w:val="24"/>
              </w:rPr>
              <w:t> </w:t>
            </w:r>
            <w:r w:rsidRPr="00FE6194">
              <w:rPr>
                <w:sz w:val="20"/>
                <w:szCs w:val="24"/>
              </w:rPr>
              <w:t>3 завершались работы по устройству внутренних инженерных сетей, отделочные работы, пусконаладочные работы. Заказчиком строительства Международного выставочного комплекса «Казань ЭКСПО» является ООО «КАЗАНЬ ЭКСПО», техническим заказчиком – ГКУ «</w:t>
            </w:r>
            <w:proofErr w:type="spellStart"/>
            <w:r w:rsidRPr="00FE6194">
              <w:rPr>
                <w:sz w:val="20"/>
                <w:szCs w:val="24"/>
              </w:rPr>
              <w:t>Главинвестстрой</w:t>
            </w:r>
            <w:proofErr w:type="spellEnd"/>
            <w:r w:rsidRPr="00FE6194">
              <w:rPr>
                <w:sz w:val="20"/>
                <w:szCs w:val="24"/>
              </w:rPr>
              <w:t xml:space="preserve"> РТ», генподрядчиком – ООО «ПСО «Казань». Завершение работ и ввод объекта в эксплуатацию планировались в ноябре 2018 года. При этом срок ввода в эксплуатацию объекта не соответствовал плановому сроку контрольной точки (изменения в паспорт не вносились). По состоянию на 31</w:t>
            </w:r>
            <w:r w:rsidR="00544695">
              <w:rPr>
                <w:sz w:val="20"/>
                <w:szCs w:val="24"/>
              </w:rPr>
              <w:t> </w:t>
            </w:r>
            <w:r w:rsidRPr="00FE6194">
              <w:rPr>
                <w:sz w:val="20"/>
                <w:szCs w:val="24"/>
              </w:rPr>
              <w:t>декабря 2018 года информации о введении в эксплуатацию выстав</w:t>
            </w:r>
            <w:r w:rsidR="00544695">
              <w:rPr>
                <w:sz w:val="20"/>
                <w:szCs w:val="24"/>
              </w:rPr>
              <w:t>очного комплекса не имеется</w:t>
            </w:r>
          </w:p>
        </w:tc>
      </w:tr>
      <w:tr w:rsidR="00D979B1" w:rsidRPr="00FE6194" w:rsidTr="00BD6E99">
        <w:tc>
          <w:tcPr>
            <w:tcW w:w="817" w:type="dxa"/>
          </w:tcPr>
          <w:p w:rsidR="00D979B1" w:rsidRPr="00FE6194" w:rsidRDefault="001C4885" w:rsidP="0005610B">
            <w:pPr>
              <w:ind w:left="0" w:right="0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119" w:type="dxa"/>
          </w:tcPr>
          <w:p w:rsidR="00D979B1" w:rsidRPr="00FE6194" w:rsidRDefault="00D979B1" w:rsidP="0005610B">
            <w:pPr>
              <w:spacing w:line="240" w:lineRule="auto"/>
              <w:ind w:left="0" w:right="0" w:firstLine="0"/>
              <w:rPr>
                <w:sz w:val="20"/>
                <w:szCs w:val="20"/>
                <w:highlight w:val="yellow"/>
                <w:lang w:eastAsia="en-US"/>
              </w:rPr>
            </w:pPr>
            <w:r w:rsidRPr="00FE6194">
              <w:rPr>
                <w:sz w:val="20"/>
                <w:szCs w:val="24"/>
              </w:rPr>
              <w:t>«Доступное дополнительное образование для детей»</w:t>
            </w:r>
          </w:p>
        </w:tc>
        <w:tc>
          <w:tcPr>
            <w:tcW w:w="5635" w:type="dxa"/>
          </w:tcPr>
          <w:p w:rsidR="00D979B1" w:rsidRPr="00FE6194" w:rsidRDefault="00D979B1" w:rsidP="0005610B">
            <w:pPr>
              <w:spacing w:line="240" w:lineRule="auto"/>
              <w:ind w:left="0" w:right="0"/>
              <w:rPr>
                <w:sz w:val="20"/>
                <w:szCs w:val="24"/>
              </w:rPr>
            </w:pPr>
            <w:r w:rsidRPr="00FE6194">
              <w:rPr>
                <w:sz w:val="20"/>
                <w:szCs w:val="24"/>
              </w:rPr>
              <w:t xml:space="preserve">В 2018 году по приоритетному проекту </w:t>
            </w:r>
            <w:r w:rsidRPr="00FE6194">
              <w:rPr>
                <w:b/>
                <w:sz w:val="20"/>
                <w:szCs w:val="24"/>
              </w:rPr>
              <w:t>не выполнены отдельные контрольных точки</w:t>
            </w:r>
            <w:r w:rsidRPr="00FE6194">
              <w:rPr>
                <w:sz w:val="20"/>
                <w:szCs w:val="24"/>
              </w:rPr>
              <w:t>, их реализация предусматривается с 2019 года в рамках федеральных проектов национального проекта «Образование».</w:t>
            </w:r>
          </w:p>
          <w:p w:rsidR="00D979B1" w:rsidRPr="00FE6194" w:rsidRDefault="00D979B1" w:rsidP="0005610B">
            <w:pPr>
              <w:spacing w:line="240" w:lineRule="auto"/>
              <w:ind w:left="0" w:right="0"/>
              <w:rPr>
                <w:sz w:val="20"/>
                <w:szCs w:val="24"/>
              </w:rPr>
            </w:pPr>
            <w:r w:rsidRPr="00FE6194">
              <w:rPr>
                <w:sz w:val="20"/>
                <w:szCs w:val="24"/>
              </w:rPr>
              <w:t xml:space="preserve">Так, </w:t>
            </w:r>
            <w:r w:rsidRPr="00FE6194">
              <w:rPr>
                <w:b/>
                <w:sz w:val="20"/>
                <w:szCs w:val="24"/>
              </w:rPr>
              <w:t>не выполнена контрольная точка</w:t>
            </w:r>
            <w:r w:rsidRPr="00FE6194">
              <w:rPr>
                <w:sz w:val="20"/>
                <w:szCs w:val="24"/>
              </w:rPr>
              <w:t xml:space="preserve"> «Уточнены механизмы реализации дополнительных общеобразовательных программ в сетевой форме, в том числе финансовые с учетом специфики субъектов Российской Федерации, при необходимости внесены изменения в нормативн</w:t>
            </w:r>
            <w:r w:rsidR="00914789">
              <w:rPr>
                <w:sz w:val="20"/>
                <w:szCs w:val="24"/>
              </w:rPr>
              <w:t>ые</w:t>
            </w:r>
            <w:r w:rsidR="000A4B15">
              <w:rPr>
                <w:sz w:val="20"/>
                <w:szCs w:val="24"/>
              </w:rPr>
              <w:t xml:space="preserve"> </w:t>
            </w:r>
            <w:r w:rsidRPr="00FE6194">
              <w:rPr>
                <w:sz w:val="20"/>
                <w:szCs w:val="24"/>
              </w:rPr>
              <w:t xml:space="preserve">правовые акты» со сроком реализации 1 августа 2018 года. Мероприятия по развитию сетевой формы реализации дополнительных общеобразовательных программ предусматривается продолжить в рамках достижения результата 1.10 «Во всех субъектах Российской Федерации внедрена целевая модель развития региональных систем дополнительного образования </w:t>
            </w:r>
            <w:r w:rsidRPr="00FE6194">
              <w:rPr>
                <w:sz w:val="20"/>
                <w:szCs w:val="24"/>
              </w:rPr>
              <w:lastRenderedPageBreak/>
              <w:t>детей» федерального проекта «Успех каждого ребенка» национального проекта «Образование» (срок реализации установлен 31 декабря 2021 года).</w:t>
            </w:r>
          </w:p>
          <w:p w:rsidR="00D979B1" w:rsidRPr="00FE6194" w:rsidRDefault="00D979B1" w:rsidP="0005610B">
            <w:pPr>
              <w:spacing w:line="240" w:lineRule="auto"/>
              <w:ind w:left="0" w:right="0"/>
              <w:rPr>
                <w:sz w:val="20"/>
                <w:szCs w:val="20"/>
                <w:highlight w:val="yellow"/>
                <w:lang w:eastAsia="en-US"/>
              </w:rPr>
            </w:pPr>
            <w:r w:rsidRPr="00FE6194">
              <w:rPr>
                <w:b/>
                <w:sz w:val="20"/>
                <w:szCs w:val="24"/>
              </w:rPr>
              <w:t>Не выполнена контрольная точка</w:t>
            </w:r>
            <w:r w:rsidR="00914789">
              <w:rPr>
                <w:sz w:val="20"/>
                <w:szCs w:val="24"/>
              </w:rPr>
              <w:t xml:space="preserve"> «Утвержден с</w:t>
            </w:r>
            <w:r w:rsidRPr="00FE6194">
              <w:rPr>
                <w:sz w:val="20"/>
                <w:szCs w:val="24"/>
              </w:rPr>
              <w:t xml:space="preserve">тандарт целевой модели региональной системы дополнительного образования детей» со сроком реализации 1 </w:t>
            </w:r>
            <w:r w:rsidR="008E16B9">
              <w:rPr>
                <w:sz w:val="20"/>
                <w:szCs w:val="24"/>
              </w:rPr>
              <w:t>октября 2018 года. Утверждение с</w:t>
            </w:r>
            <w:r w:rsidRPr="00FE6194">
              <w:rPr>
                <w:sz w:val="20"/>
                <w:szCs w:val="24"/>
              </w:rPr>
              <w:t>тандарта целевой модели планируется в ра</w:t>
            </w:r>
            <w:r w:rsidR="00914789">
              <w:rPr>
                <w:sz w:val="20"/>
                <w:szCs w:val="24"/>
              </w:rPr>
              <w:t>мках достижения результата 1.10</w:t>
            </w:r>
            <w:r w:rsidRPr="00FE6194">
              <w:rPr>
                <w:sz w:val="20"/>
                <w:szCs w:val="24"/>
              </w:rPr>
              <w:t xml:space="preserve"> «Во всех субъектах Российской Федерации внедрена целевая модель развития региональных систем дополнительного образования детей» федерального проекта «Успех каждого ребенка» наци</w:t>
            </w:r>
            <w:r w:rsidR="008E16B9">
              <w:rPr>
                <w:sz w:val="20"/>
                <w:szCs w:val="24"/>
              </w:rPr>
              <w:t>онального проекта «Образование»</w:t>
            </w:r>
          </w:p>
        </w:tc>
      </w:tr>
      <w:tr w:rsidR="00D979B1" w:rsidRPr="00FE6194" w:rsidTr="00BD6E99">
        <w:tc>
          <w:tcPr>
            <w:tcW w:w="817" w:type="dxa"/>
          </w:tcPr>
          <w:p w:rsidR="00D979B1" w:rsidRPr="00FE6194" w:rsidRDefault="001C4885" w:rsidP="00DD05A4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119" w:type="dxa"/>
          </w:tcPr>
          <w:p w:rsidR="00D979B1" w:rsidRPr="00FE6194" w:rsidRDefault="00D979B1" w:rsidP="00BD6E9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0"/>
              </w:rPr>
            </w:pPr>
            <w:r w:rsidRPr="00FE6194">
              <w:rPr>
                <w:rFonts w:eastAsia="Times New Roman"/>
                <w:sz w:val="20"/>
                <w:szCs w:val="20"/>
              </w:rPr>
              <w:t>«Формирование комфортной городской среды»</w:t>
            </w:r>
          </w:p>
        </w:tc>
        <w:tc>
          <w:tcPr>
            <w:tcW w:w="5635" w:type="dxa"/>
          </w:tcPr>
          <w:p w:rsidR="00D979B1" w:rsidRPr="00FE6194" w:rsidRDefault="00D979B1" w:rsidP="00BD6E99">
            <w:pPr>
              <w:spacing w:line="240" w:lineRule="auto"/>
              <w:ind w:left="0" w:right="0"/>
              <w:contextualSpacing/>
              <w:rPr>
                <w:rFonts w:eastAsia="Times New Roman"/>
                <w:i/>
                <w:sz w:val="20"/>
                <w:szCs w:val="20"/>
              </w:rPr>
            </w:pPr>
            <w:r w:rsidRPr="00FE6194">
              <w:rPr>
                <w:rFonts w:eastAsia="Times New Roman"/>
                <w:sz w:val="20"/>
                <w:szCs w:val="20"/>
              </w:rPr>
              <w:t xml:space="preserve">По предварительным данным Минстроя России, по состоянию на 1 ноября 2018 года фактическое значение показателя «Количество благоустроенных дворовых территорий» составило </w:t>
            </w:r>
            <w:r w:rsidRPr="00FE6194">
              <w:rPr>
                <w:rFonts w:eastAsia="Times New Roman"/>
                <w:b/>
                <w:sz w:val="20"/>
                <w:szCs w:val="20"/>
              </w:rPr>
              <w:t>12 894 единиц</w:t>
            </w:r>
            <w:r w:rsidR="008E16B9">
              <w:rPr>
                <w:rFonts w:eastAsia="Times New Roman"/>
                <w:b/>
                <w:sz w:val="20"/>
                <w:szCs w:val="20"/>
              </w:rPr>
              <w:t>ы</w:t>
            </w:r>
            <w:r w:rsidRPr="00FE6194">
              <w:rPr>
                <w:rFonts w:eastAsia="Times New Roman"/>
                <w:sz w:val="20"/>
                <w:szCs w:val="20"/>
              </w:rPr>
              <w:t xml:space="preserve"> при установленном на 2018 год плановом значении </w:t>
            </w:r>
            <w:r w:rsidRPr="00FE6194">
              <w:rPr>
                <w:rFonts w:eastAsia="Times New Roman"/>
                <w:b/>
                <w:sz w:val="20"/>
                <w:szCs w:val="20"/>
              </w:rPr>
              <w:t>18 191 единица</w:t>
            </w:r>
            <w:r w:rsidRPr="00FE6194">
              <w:rPr>
                <w:rFonts w:eastAsia="Times New Roman"/>
                <w:sz w:val="20"/>
                <w:szCs w:val="20"/>
              </w:rPr>
              <w:t>.</w:t>
            </w:r>
          </w:p>
          <w:p w:rsidR="00D979B1" w:rsidRPr="00FE6194" w:rsidRDefault="00D979B1" w:rsidP="00BD6E99">
            <w:pPr>
              <w:spacing w:line="240" w:lineRule="auto"/>
              <w:ind w:left="0" w:right="0"/>
              <w:rPr>
                <w:i/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 xml:space="preserve">Фактическое значение показателя «Количество благоустроенных общественных территорий» составило </w:t>
            </w:r>
            <w:r w:rsidR="008E16B9">
              <w:rPr>
                <w:b/>
                <w:sz w:val="20"/>
                <w:szCs w:val="20"/>
              </w:rPr>
              <w:t>2 169 единиц</w:t>
            </w:r>
            <w:r w:rsidRPr="00FE6194">
              <w:rPr>
                <w:sz w:val="20"/>
                <w:szCs w:val="20"/>
              </w:rPr>
              <w:t xml:space="preserve"> при установленном плановом значении показателя на 2018 год </w:t>
            </w:r>
            <w:r w:rsidRPr="00FE6194">
              <w:rPr>
                <w:b/>
                <w:sz w:val="20"/>
                <w:szCs w:val="20"/>
              </w:rPr>
              <w:t>3 747</w:t>
            </w:r>
            <w:r w:rsidRPr="00FE6194">
              <w:rPr>
                <w:sz w:val="20"/>
                <w:szCs w:val="20"/>
              </w:rPr>
              <w:t xml:space="preserve"> единиц.</w:t>
            </w:r>
          </w:p>
          <w:p w:rsidR="00D979B1" w:rsidRPr="00FE6194" w:rsidRDefault="00D979B1" w:rsidP="00BD6E99">
            <w:pPr>
              <w:spacing w:line="240" w:lineRule="auto"/>
              <w:ind w:left="0" w:right="0"/>
              <w:rPr>
                <w:rFonts w:eastAsia="Times New Roman"/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 xml:space="preserve">Фактическое значение показателя «Количество городских парков, благоустроенных с участием средств федерального бюджета» составило </w:t>
            </w:r>
            <w:r w:rsidRPr="00FE6194">
              <w:rPr>
                <w:b/>
                <w:sz w:val="20"/>
                <w:szCs w:val="20"/>
              </w:rPr>
              <w:t>203 единицы</w:t>
            </w:r>
            <w:r w:rsidRPr="00FE6194">
              <w:rPr>
                <w:sz w:val="20"/>
                <w:szCs w:val="20"/>
              </w:rPr>
              <w:t xml:space="preserve"> при установленном плановом значении показателя на 2018 год </w:t>
            </w:r>
            <w:r w:rsidRPr="00FE6194">
              <w:rPr>
                <w:b/>
                <w:sz w:val="20"/>
                <w:szCs w:val="20"/>
              </w:rPr>
              <w:t>203 единицы</w:t>
            </w:r>
          </w:p>
        </w:tc>
      </w:tr>
      <w:tr w:rsidR="00D979B1" w:rsidRPr="00FE6194" w:rsidTr="00BD6E99">
        <w:tc>
          <w:tcPr>
            <w:tcW w:w="817" w:type="dxa"/>
          </w:tcPr>
          <w:p w:rsidR="00D979B1" w:rsidRPr="00FE6194" w:rsidRDefault="001C4885" w:rsidP="00DD05A4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D979B1" w:rsidRPr="00FE6194" w:rsidRDefault="00D979B1" w:rsidP="00010997">
            <w:pPr>
              <w:overflowPunct/>
              <w:autoSpaceDE/>
              <w:autoSpaceDN/>
              <w:adjustRightInd/>
              <w:ind w:left="0" w:right="0" w:firstLine="0"/>
              <w:textAlignment w:val="auto"/>
              <w:rPr>
                <w:rFonts w:eastAsia="Times New Roman"/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>«Ипотека и арендное жилье»</w:t>
            </w:r>
          </w:p>
        </w:tc>
        <w:tc>
          <w:tcPr>
            <w:tcW w:w="5635" w:type="dxa"/>
          </w:tcPr>
          <w:p w:rsidR="00D979B1" w:rsidRPr="00FE6194" w:rsidRDefault="003F269C" w:rsidP="00BD6E99">
            <w:pPr>
              <w:widowControl w:val="0"/>
              <w:spacing w:line="240" w:lineRule="auto"/>
              <w:ind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информации Росстата</w:t>
            </w:r>
            <w:r w:rsidR="008E16B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в 2018 году введено в эксплуатацию 1 070,6 тыс. квартир общей площадью 75,3 млн. кв. метров, что составило 95,1</w:t>
            </w:r>
            <w:r w:rsidR="008E16B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% к предыдущему году (в 2017 году введено 79,2 млн. кв. метров жилья, 98,7 % к 2016 году).</w:t>
            </w:r>
          </w:p>
          <w:p w:rsidR="00D979B1" w:rsidRPr="00FE6194" w:rsidRDefault="00D979B1" w:rsidP="00BD6E99">
            <w:pPr>
              <w:widowControl w:val="0"/>
              <w:spacing w:line="240" w:lineRule="auto"/>
              <w:ind w:left="0" w:right="0"/>
              <w:rPr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 xml:space="preserve">Площадь земельных участков, вовлеченных в оборот </w:t>
            </w:r>
            <w:r w:rsidR="008E16B9">
              <w:rPr>
                <w:sz w:val="20"/>
                <w:szCs w:val="20"/>
              </w:rPr>
              <w:t>АО «</w:t>
            </w:r>
            <w:r w:rsidRPr="00FE6194">
              <w:rPr>
                <w:sz w:val="20"/>
                <w:szCs w:val="20"/>
              </w:rPr>
              <w:t>ДОМ</w:t>
            </w:r>
            <w:proofErr w:type="gramStart"/>
            <w:r w:rsidRPr="00FE6194">
              <w:rPr>
                <w:sz w:val="20"/>
                <w:szCs w:val="20"/>
              </w:rPr>
              <w:t>.Р</w:t>
            </w:r>
            <w:proofErr w:type="gramEnd"/>
            <w:r w:rsidRPr="00FE6194">
              <w:rPr>
                <w:sz w:val="20"/>
                <w:szCs w:val="20"/>
              </w:rPr>
              <w:t>Ф</w:t>
            </w:r>
            <w:r w:rsidR="008E16B9">
              <w:rPr>
                <w:sz w:val="20"/>
                <w:szCs w:val="20"/>
              </w:rPr>
              <w:t>»</w:t>
            </w:r>
            <w:r w:rsidRPr="00FE6194">
              <w:rPr>
                <w:sz w:val="20"/>
                <w:szCs w:val="20"/>
              </w:rPr>
              <w:t>, по состоянию на 31 декабря 2018</w:t>
            </w:r>
            <w:r w:rsidR="00F56898">
              <w:rPr>
                <w:sz w:val="20"/>
                <w:szCs w:val="20"/>
              </w:rPr>
              <w:t> </w:t>
            </w:r>
            <w:r w:rsidRPr="00FE6194">
              <w:rPr>
                <w:sz w:val="20"/>
                <w:szCs w:val="20"/>
              </w:rPr>
              <w:t xml:space="preserve">года составила 3 814 га, или 115,6 % установленного значения. </w:t>
            </w:r>
            <w:r w:rsidRPr="00FE6194">
              <w:rPr>
                <w:b/>
                <w:sz w:val="20"/>
                <w:szCs w:val="20"/>
              </w:rPr>
              <w:t>Годовой объем ввода жилья</w:t>
            </w:r>
            <w:r w:rsidRPr="00FE6194">
              <w:rPr>
                <w:sz w:val="20"/>
                <w:szCs w:val="20"/>
              </w:rPr>
              <w:t xml:space="preserve"> в рамках мероприятий по стимулированию </w:t>
            </w:r>
            <w:proofErr w:type="gramStart"/>
            <w:r w:rsidRPr="00FE6194">
              <w:rPr>
                <w:sz w:val="20"/>
                <w:szCs w:val="20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FE6194">
              <w:rPr>
                <w:sz w:val="20"/>
                <w:szCs w:val="20"/>
              </w:rPr>
              <w:t xml:space="preserve"> по состоянию на 29 декабря 2018 года </w:t>
            </w:r>
            <w:r w:rsidRPr="00FE6194">
              <w:rPr>
                <w:b/>
                <w:sz w:val="20"/>
                <w:szCs w:val="20"/>
              </w:rPr>
              <w:t>составил 3,1 млн. кв. метров, или 59,6 % планового назначения</w:t>
            </w:r>
            <w:r w:rsidRPr="00FE6194">
              <w:rPr>
                <w:sz w:val="20"/>
                <w:szCs w:val="20"/>
              </w:rPr>
              <w:t>.</w:t>
            </w:r>
          </w:p>
          <w:p w:rsidR="00D979B1" w:rsidRPr="00FE6194" w:rsidRDefault="00D979B1" w:rsidP="00BD6E99">
            <w:pPr>
              <w:widowControl w:val="0"/>
              <w:spacing w:line="240" w:lineRule="auto"/>
              <w:ind w:left="0" w:right="0"/>
              <w:rPr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>По состоянию на 1 декабря 2018 года 1 314,6 тысяч семей, или 131,5 %  планового показателя, улучшил</w:t>
            </w:r>
            <w:r w:rsidR="00F56898">
              <w:rPr>
                <w:sz w:val="20"/>
                <w:szCs w:val="20"/>
              </w:rPr>
              <w:t>и</w:t>
            </w:r>
            <w:r w:rsidRPr="00FE6194">
              <w:rPr>
                <w:sz w:val="20"/>
                <w:szCs w:val="20"/>
              </w:rPr>
              <w:t xml:space="preserve"> жилищные условия с помощью ипотеки. </w:t>
            </w:r>
          </w:p>
          <w:p w:rsidR="00D979B1" w:rsidRPr="00FE6194" w:rsidRDefault="00D979B1" w:rsidP="00BD6E99">
            <w:pPr>
              <w:widowControl w:val="0"/>
              <w:spacing w:line="240" w:lineRule="auto"/>
              <w:ind w:left="0" w:right="0"/>
              <w:rPr>
                <w:rFonts w:eastAsia="Times New Roman"/>
                <w:sz w:val="20"/>
                <w:szCs w:val="20"/>
              </w:rPr>
            </w:pPr>
            <w:r w:rsidRPr="00FE6194">
              <w:rPr>
                <w:sz w:val="20"/>
                <w:szCs w:val="20"/>
              </w:rPr>
              <w:t>По состоянию на 1 декабря 2018 года выпущено ипотечных ценных бумаг с поручительством АО «ДОМ</w:t>
            </w:r>
            <w:proofErr w:type="gramStart"/>
            <w:r w:rsidRPr="00FE6194">
              <w:rPr>
                <w:sz w:val="20"/>
                <w:szCs w:val="20"/>
              </w:rPr>
              <w:t>.Р</w:t>
            </w:r>
            <w:proofErr w:type="gramEnd"/>
            <w:r w:rsidRPr="00FE6194">
              <w:rPr>
                <w:sz w:val="20"/>
                <w:szCs w:val="20"/>
              </w:rPr>
              <w:t>Ф» на общую сумму 126,6 млрд. рублей, что составляет 126,6 % планового показателя, выдано ипотечных жилищных кредитов на общую сумму 2,67 трлн. рублей, или 140,5</w:t>
            </w:r>
            <w:r w:rsidR="00F56898">
              <w:rPr>
                <w:sz w:val="20"/>
                <w:szCs w:val="20"/>
              </w:rPr>
              <w:t> </w:t>
            </w:r>
            <w:r w:rsidRPr="00FE6194">
              <w:rPr>
                <w:sz w:val="20"/>
                <w:szCs w:val="20"/>
              </w:rPr>
              <w:t xml:space="preserve">%, профинансировано «пилотных» проектов по созданию арендного жилья и апартаментов на общую сумму 32,8 млрд. рублей, что превышает </w:t>
            </w:r>
            <w:r w:rsidR="00F56898">
              <w:rPr>
                <w:sz w:val="20"/>
                <w:szCs w:val="20"/>
              </w:rPr>
              <w:t>утвержденное значение на 31,2 %</w:t>
            </w:r>
          </w:p>
        </w:tc>
      </w:tr>
      <w:tr w:rsidR="00A8798E" w:rsidRPr="00FE6194" w:rsidTr="00BD6E99">
        <w:tc>
          <w:tcPr>
            <w:tcW w:w="817" w:type="dxa"/>
          </w:tcPr>
          <w:p w:rsidR="00A8798E" w:rsidRPr="00FE6194" w:rsidRDefault="001C4885" w:rsidP="0005610B">
            <w:pPr>
              <w:spacing w:line="240" w:lineRule="auto"/>
              <w:ind w:left="0" w:right="0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119" w:type="dxa"/>
          </w:tcPr>
          <w:p w:rsidR="00A8798E" w:rsidRPr="00FE6194" w:rsidRDefault="00A8798E" w:rsidP="0005610B">
            <w:pPr>
              <w:spacing w:line="240" w:lineRule="auto"/>
              <w:ind w:left="0" w:right="0" w:firstLine="0"/>
              <w:rPr>
                <w:sz w:val="20"/>
                <w:szCs w:val="20"/>
                <w:highlight w:val="yellow"/>
                <w:lang w:eastAsia="en-US"/>
              </w:rPr>
            </w:pPr>
            <w:r w:rsidRPr="00FE6194">
              <w:rPr>
                <w:spacing w:val="6"/>
                <w:sz w:val="20"/>
                <w:szCs w:val="24"/>
              </w:rPr>
              <w:t>«Безопасные и качественные дороги»</w:t>
            </w:r>
          </w:p>
        </w:tc>
        <w:tc>
          <w:tcPr>
            <w:tcW w:w="5635" w:type="dxa"/>
          </w:tcPr>
          <w:p w:rsidR="00A8798E" w:rsidRPr="00FE6194" w:rsidRDefault="00A8798E" w:rsidP="0005610B">
            <w:pPr>
              <w:spacing w:line="240" w:lineRule="auto"/>
              <w:ind w:left="0" w:right="0"/>
              <w:textAlignment w:val="auto"/>
              <w:rPr>
                <w:rFonts w:eastAsia="Times New Roman"/>
                <w:sz w:val="20"/>
                <w:szCs w:val="24"/>
              </w:rPr>
            </w:pPr>
            <w:r w:rsidRPr="00FE6194">
              <w:rPr>
                <w:rFonts w:eastAsia="Times New Roman"/>
                <w:sz w:val="20"/>
                <w:szCs w:val="24"/>
              </w:rPr>
              <w:t xml:space="preserve">В 2018 году по </w:t>
            </w:r>
            <w:r w:rsidRPr="00FE6194">
              <w:rPr>
                <w:sz w:val="20"/>
                <w:szCs w:val="24"/>
              </w:rPr>
              <w:t xml:space="preserve">приоритетному проекту </w:t>
            </w:r>
            <w:r w:rsidRPr="00FE6194">
              <w:rPr>
                <w:spacing w:val="6"/>
                <w:sz w:val="20"/>
                <w:szCs w:val="24"/>
              </w:rPr>
              <w:t>из 25 контрольных точек, установленных сводным планом приоритетного проекта со сроком исполнения в отчетном периоде, исполнены с нарушением сроков 5 (20</w:t>
            </w:r>
            <w:r w:rsidRPr="00FE6194">
              <w:rPr>
                <w:spacing w:val="6"/>
                <w:sz w:val="20"/>
                <w:szCs w:val="24"/>
                <w:lang w:val="en-US"/>
              </w:rPr>
              <w:t> </w:t>
            </w:r>
            <w:r w:rsidRPr="00FE6194">
              <w:rPr>
                <w:spacing w:val="6"/>
                <w:sz w:val="20"/>
                <w:szCs w:val="24"/>
              </w:rPr>
              <w:t>%), не исполнены 7 контрольных точек (28</w:t>
            </w:r>
            <w:r w:rsidRPr="00FE6194">
              <w:rPr>
                <w:spacing w:val="6"/>
                <w:sz w:val="20"/>
                <w:szCs w:val="24"/>
                <w:lang w:val="en-US"/>
              </w:rPr>
              <w:t> </w:t>
            </w:r>
            <w:r w:rsidRPr="00FE6194">
              <w:rPr>
                <w:spacing w:val="6"/>
                <w:sz w:val="20"/>
                <w:szCs w:val="24"/>
              </w:rPr>
              <w:t>%).</w:t>
            </w:r>
          </w:p>
          <w:p w:rsidR="00A8798E" w:rsidRPr="00FE6194" w:rsidRDefault="00A8798E" w:rsidP="0005610B">
            <w:pPr>
              <w:spacing w:line="240" w:lineRule="auto"/>
              <w:ind w:left="0" w:right="0"/>
              <w:textAlignment w:val="auto"/>
              <w:rPr>
                <w:sz w:val="20"/>
                <w:szCs w:val="20"/>
                <w:highlight w:val="yellow"/>
                <w:lang w:eastAsia="en-US"/>
              </w:rPr>
            </w:pPr>
            <w:proofErr w:type="gramStart"/>
            <w:r w:rsidRPr="00FE6194">
              <w:rPr>
                <w:rFonts w:eastAsia="Times New Roman"/>
                <w:b/>
                <w:sz w:val="20"/>
                <w:szCs w:val="24"/>
              </w:rPr>
              <w:t>Не выполнена контрольная точка</w:t>
            </w:r>
            <w:r w:rsidRPr="00FE6194">
              <w:rPr>
                <w:rFonts w:eastAsia="Times New Roman"/>
                <w:sz w:val="20"/>
                <w:szCs w:val="24"/>
              </w:rPr>
              <w:t xml:space="preserve"> «На заседании проектного комитета рассмотрены итоги реализации Плана мероприятий («дорожной карты») по разработке документов, необходимых для проведения в рамках приоритетного проекта мероприятий, направленных на оптимизацию транспортных потоков и синхронизацию развития всех видов транспорта в части мероприятий со сроком исполнения в первом квартале </w:t>
            </w:r>
            <w:r w:rsidRPr="00FE6194">
              <w:rPr>
                <w:rFonts w:eastAsia="Times New Roman"/>
                <w:sz w:val="20"/>
                <w:szCs w:val="24"/>
              </w:rPr>
              <w:lastRenderedPageBreak/>
              <w:t>2018 года (II пакет)» со сроком реализации 30 апреля 2018 года.</w:t>
            </w:r>
            <w:proofErr w:type="gramEnd"/>
            <w:r w:rsidRPr="00FE6194">
              <w:rPr>
                <w:rFonts w:eastAsia="Times New Roman"/>
                <w:sz w:val="20"/>
                <w:szCs w:val="24"/>
              </w:rPr>
              <w:t xml:space="preserve"> Утвержден паспорт национального проекта «Безопасные и качественные автомобильные дороги»</w:t>
            </w:r>
            <w:r w:rsidR="00B74733">
              <w:rPr>
                <w:rFonts w:eastAsia="Times New Roman"/>
                <w:sz w:val="20"/>
                <w:szCs w:val="24"/>
              </w:rPr>
              <w:t>,</w:t>
            </w:r>
            <w:r w:rsidRPr="00FE6194">
              <w:rPr>
                <w:rFonts w:eastAsia="Times New Roman"/>
                <w:sz w:val="20"/>
                <w:szCs w:val="24"/>
              </w:rPr>
              <w:t xml:space="preserve"> в рамках которого в том числе будут продолжены и расширены ме</w:t>
            </w:r>
            <w:r w:rsidR="00F56898">
              <w:rPr>
                <w:rFonts w:eastAsia="Times New Roman"/>
                <w:sz w:val="20"/>
                <w:szCs w:val="24"/>
              </w:rPr>
              <w:t>роприятия приоритетного проекта</w:t>
            </w:r>
          </w:p>
        </w:tc>
      </w:tr>
      <w:tr w:rsidR="00A8798E" w:rsidRPr="00FE6194" w:rsidTr="00BD6E99">
        <w:tc>
          <w:tcPr>
            <w:tcW w:w="817" w:type="dxa"/>
          </w:tcPr>
          <w:p w:rsidR="00A8798E" w:rsidRPr="00FE6194" w:rsidRDefault="001C4885" w:rsidP="0005610B">
            <w:pPr>
              <w:ind w:left="0" w:right="0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15</w:t>
            </w:r>
          </w:p>
        </w:tc>
        <w:tc>
          <w:tcPr>
            <w:tcW w:w="3119" w:type="dxa"/>
          </w:tcPr>
          <w:p w:rsidR="00A8798E" w:rsidRPr="00DD05A4" w:rsidRDefault="00A8798E" w:rsidP="0005610B">
            <w:pPr>
              <w:spacing w:line="240" w:lineRule="auto"/>
              <w:ind w:left="0" w:right="0" w:firstLine="0"/>
              <w:rPr>
                <w:sz w:val="20"/>
                <w:szCs w:val="20"/>
                <w:highlight w:val="yellow"/>
                <w:lang w:eastAsia="en-US"/>
              </w:rPr>
            </w:pPr>
            <w:r w:rsidRPr="00DD05A4">
              <w:rPr>
                <w:rFonts w:eastAsia="Times New Roman"/>
                <w:sz w:val="20"/>
                <w:szCs w:val="24"/>
              </w:rPr>
              <w:t>«Реформа контрольной и надзорной деятельности»</w:t>
            </w:r>
          </w:p>
        </w:tc>
        <w:tc>
          <w:tcPr>
            <w:tcW w:w="5635" w:type="dxa"/>
          </w:tcPr>
          <w:p w:rsidR="00A8798E" w:rsidRPr="00FE6194" w:rsidRDefault="00A8798E" w:rsidP="00F56898">
            <w:pPr>
              <w:spacing w:line="240" w:lineRule="auto"/>
              <w:ind w:left="0" w:right="0"/>
              <w:rPr>
                <w:sz w:val="20"/>
                <w:szCs w:val="20"/>
                <w:highlight w:val="yellow"/>
                <w:lang w:eastAsia="en-US"/>
              </w:rPr>
            </w:pPr>
            <w:r w:rsidRPr="00DD05A4">
              <w:rPr>
                <w:rFonts w:eastAsia="Times New Roman"/>
                <w:sz w:val="20"/>
                <w:szCs w:val="24"/>
              </w:rPr>
              <w:t xml:space="preserve">По итогам 2018 года отмечается </w:t>
            </w:r>
            <w:r w:rsidRPr="00DD05A4">
              <w:rPr>
                <w:rFonts w:eastAsia="Times New Roman"/>
                <w:b/>
                <w:sz w:val="20"/>
                <w:szCs w:val="24"/>
              </w:rPr>
              <w:t>низкий уровень достижения контрольных точек</w:t>
            </w:r>
            <w:r w:rsidRPr="00DD05A4">
              <w:rPr>
                <w:rFonts w:eastAsia="Times New Roman"/>
                <w:sz w:val="20"/>
                <w:szCs w:val="24"/>
              </w:rPr>
              <w:t xml:space="preserve"> приоритетной программы. </w:t>
            </w:r>
            <w:proofErr w:type="gramStart"/>
            <w:r w:rsidRPr="00DD05A4">
              <w:rPr>
                <w:rFonts w:eastAsia="Times New Roman"/>
                <w:sz w:val="20"/>
                <w:szCs w:val="24"/>
              </w:rPr>
              <w:t>Так, в соответствии с паспортом приоритетной программы и с учетом запросов на его изменение, утвержденных президиумом Совета при Президенте Российской Федерации по стратегическому развитию и приоритетным проектам, в 2018 году предусмотрено достижение 57 контрольных точек, из которых выполнено 14 (24,6 %), в том числе 8 выполнен</w:t>
            </w:r>
            <w:r w:rsidR="00F56898">
              <w:rPr>
                <w:rFonts w:eastAsia="Times New Roman"/>
                <w:sz w:val="20"/>
                <w:szCs w:val="24"/>
              </w:rPr>
              <w:t>о</w:t>
            </w:r>
            <w:r w:rsidRPr="00DD05A4">
              <w:rPr>
                <w:rFonts w:eastAsia="Times New Roman"/>
                <w:sz w:val="20"/>
                <w:szCs w:val="24"/>
              </w:rPr>
              <w:t xml:space="preserve"> с нарушением срока, не выполнен</w:t>
            </w:r>
            <w:r w:rsidR="00F56898">
              <w:rPr>
                <w:rFonts w:eastAsia="Times New Roman"/>
                <w:sz w:val="20"/>
                <w:szCs w:val="24"/>
              </w:rPr>
              <w:t>о 43 контрольные точки (75,4 %)</w:t>
            </w:r>
            <w:proofErr w:type="gramEnd"/>
          </w:p>
        </w:tc>
      </w:tr>
    </w:tbl>
    <w:p w:rsidR="00FE6194" w:rsidRDefault="00FE6194" w:rsidP="00A8798E">
      <w:pPr>
        <w:ind w:left="0" w:right="0"/>
        <w:rPr>
          <w:sz w:val="24"/>
          <w:highlight w:val="yellow"/>
          <w:lang w:eastAsia="en-US"/>
        </w:rPr>
      </w:pPr>
    </w:p>
    <w:sectPr w:rsidR="00FE6194" w:rsidSect="00294B82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79" w:rsidRDefault="00EC1F79" w:rsidP="005F22FB">
      <w:pPr>
        <w:spacing w:line="240" w:lineRule="auto"/>
      </w:pPr>
      <w:r>
        <w:separator/>
      </w:r>
    </w:p>
  </w:endnote>
  <w:endnote w:type="continuationSeparator" w:id="0">
    <w:p w:rsidR="00EC1F79" w:rsidRDefault="00EC1F79" w:rsidP="005F22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79" w:rsidRDefault="00EC1F79" w:rsidP="005F22FB">
      <w:pPr>
        <w:spacing w:line="240" w:lineRule="auto"/>
      </w:pPr>
      <w:r>
        <w:separator/>
      </w:r>
    </w:p>
  </w:footnote>
  <w:footnote w:type="continuationSeparator" w:id="0">
    <w:p w:rsidR="00EC1F79" w:rsidRDefault="00EC1F79" w:rsidP="005F22FB">
      <w:pPr>
        <w:spacing w:line="240" w:lineRule="auto"/>
      </w:pPr>
      <w:r>
        <w:continuationSeparator/>
      </w:r>
    </w:p>
  </w:footnote>
  <w:footnote w:id="1">
    <w:p w:rsidR="00EF5709" w:rsidRDefault="00EF5709" w:rsidP="00EF5709">
      <w:pPr>
        <w:pStyle w:val="a3"/>
      </w:pPr>
      <w:r>
        <w:rPr>
          <w:rStyle w:val="a5"/>
          <w:rFonts w:eastAsia="Calibri"/>
        </w:rPr>
        <w:footnoteRef/>
      </w:r>
      <w:r>
        <w:t xml:space="preserve"> С</w:t>
      </w:r>
      <w:r w:rsidRPr="00662FAD">
        <w:t xml:space="preserve">оглашение о предоставлении субсидии </w:t>
      </w:r>
      <w:r>
        <w:t xml:space="preserve">между </w:t>
      </w:r>
      <w:r w:rsidRPr="00662FAD">
        <w:t>Минэкономразвития Росс</w:t>
      </w:r>
      <w:proofErr w:type="gramStart"/>
      <w:r w:rsidRPr="00662FAD">
        <w:t xml:space="preserve">ии </w:t>
      </w:r>
      <w:r>
        <w:t>и</w:t>
      </w:r>
      <w:r w:rsidRPr="00662FAD">
        <w:t xml:space="preserve"> АО</w:t>
      </w:r>
      <w:proofErr w:type="gramEnd"/>
      <w:r w:rsidRPr="00662FAD">
        <w:t xml:space="preserve"> «Деловая среда» от 28 июля 2017 г. № 139-11-024 в сумме 300 млн. рублей.</w:t>
      </w:r>
    </w:p>
  </w:footnote>
  <w:footnote w:id="2">
    <w:p w:rsidR="00BD6E99" w:rsidRDefault="00BD6E99" w:rsidP="00BD6E99">
      <w:pPr>
        <w:pStyle w:val="a3"/>
      </w:pPr>
      <w:r>
        <w:rPr>
          <w:rStyle w:val="a5"/>
        </w:rPr>
        <w:footnoteRef/>
      </w:r>
      <w:r>
        <w:t xml:space="preserve"> По указанному показателю Минздравом России представлены данные по итогам 10 месяцев</w:t>
      </w:r>
      <w:r w:rsidRPr="00E43879">
        <w:t xml:space="preserve"> </w:t>
      </w:r>
      <w:r>
        <w:t xml:space="preserve">2018 года.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724217"/>
      <w:docPartObj>
        <w:docPartGallery w:val="Page Numbers (Top of Page)"/>
        <w:docPartUnique/>
      </w:docPartObj>
    </w:sdtPr>
    <w:sdtEndPr/>
    <w:sdtContent>
      <w:p w:rsidR="00BD6E99" w:rsidRDefault="00BD6E99" w:rsidP="0079142B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3C4">
          <w:rPr>
            <w:noProof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E99" w:rsidRDefault="00BD6E99" w:rsidP="00294B82">
    <w:pPr>
      <w:pStyle w:val="a6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F3730"/>
    <w:multiLevelType w:val="hybridMultilevel"/>
    <w:tmpl w:val="34B2F4FC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2FB"/>
    <w:rsid w:val="00010997"/>
    <w:rsid w:val="00021C57"/>
    <w:rsid w:val="000338BD"/>
    <w:rsid w:val="000350FA"/>
    <w:rsid w:val="00053886"/>
    <w:rsid w:val="0006264E"/>
    <w:rsid w:val="00072E71"/>
    <w:rsid w:val="00074A63"/>
    <w:rsid w:val="00084B51"/>
    <w:rsid w:val="00090DB0"/>
    <w:rsid w:val="00091609"/>
    <w:rsid w:val="000A4B15"/>
    <w:rsid w:val="000E0C3B"/>
    <w:rsid w:val="000E3734"/>
    <w:rsid w:val="000E6A62"/>
    <w:rsid w:val="000F3162"/>
    <w:rsid w:val="00101E2A"/>
    <w:rsid w:val="0010797D"/>
    <w:rsid w:val="0012572E"/>
    <w:rsid w:val="00136CFD"/>
    <w:rsid w:val="001424C3"/>
    <w:rsid w:val="001439CD"/>
    <w:rsid w:val="0016741F"/>
    <w:rsid w:val="0016773C"/>
    <w:rsid w:val="00167922"/>
    <w:rsid w:val="0017465E"/>
    <w:rsid w:val="00192FF9"/>
    <w:rsid w:val="001A3675"/>
    <w:rsid w:val="001C4885"/>
    <w:rsid w:val="001C6139"/>
    <w:rsid w:val="001D6631"/>
    <w:rsid w:val="001F39D5"/>
    <w:rsid w:val="00220EF8"/>
    <w:rsid w:val="00226D56"/>
    <w:rsid w:val="00230A19"/>
    <w:rsid w:val="00256728"/>
    <w:rsid w:val="00282FE2"/>
    <w:rsid w:val="00294B82"/>
    <w:rsid w:val="002A549F"/>
    <w:rsid w:val="002C35D8"/>
    <w:rsid w:val="002F0CA6"/>
    <w:rsid w:val="0035084D"/>
    <w:rsid w:val="0037145F"/>
    <w:rsid w:val="0037695E"/>
    <w:rsid w:val="00384E53"/>
    <w:rsid w:val="003B4801"/>
    <w:rsid w:val="003C5E5F"/>
    <w:rsid w:val="003E3195"/>
    <w:rsid w:val="003F269C"/>
    <w:rsid w:val="00424C9E"/>
    <w:rsid w:val="00453662"/>
    <w:rsid w:val="00464C09"/>
    <w:rsid w:val="004729E9"/>
    <w:rsid w:val="00475031"/>
    <w:rsid w:val="0048540D"/>
    <w:rsid w:val="00491582"/>
    <w:rsid w:val="00493EB5"/>
    <w:rsid w:val="004B63DD"/>
    <w:rsid w:val="004B679D"/>
    <w:rsid w:val="004D0876"/>
    <w:rsid w:val="004D3830"/>
    <w:rsid w:val="004E488E"/>
    <w:rsid w:val="00505CD7"/>
    <w:rsid w:val="00515F15"/>
    <w:rsid w:val="00526BBA"/>
    <w:rsid w:val="00526E8F"/>
    <w:rsid w:val="00544695"/>
    <w:rsid w:val="00553EC7"/>
    <w:rsid w:val="00556D59"/>
    <w:rsid w:val="005572B6"/>
    <w:rsid w:val="005702C3"/>
    <w:rsid w:val="00570D4F"/>
    <w:rsid w:val="005C4799"/>
    <w:rsid w:val="005F22FB"/>
    <w:rsid w:val="006043C4"/>
    <w:rsid w:val="00653BDD"/>
    <w:rsid w:val="00654665"/>
    <w:rsid w:val="00657455"/>
    <w:rsid w:val="006641B5"/>
    <w:rsid w:val="006907AF"/>
    <w:rsid w:val="006A17F4"/>
    <w:rsid w:val="006E24F3"/>
    <w:rsid w:val="007038AA"/>
    <w:rsid w:val="00737E54"/>
    <w:rsid w:val="00745468"/>
    <w:rsid w:val="007701E5"/>
    <w:rsid w:val="0079142B"/>
    <w:rsid w:val="00795B4C"/>
    <w:rsid w:val="007A37E7"/>
    <w:rsid w:val="007B099C"/>
    <w:rsid w:val="007C65D8"/>
    <w:rsid w:val="007E0ACC"/>
    <w:rsid w:val="007F30A6"/>
    <w:rsid w:val="00817F4C"/>
    <w:rsid w:val="00820447"/>
    <w:rsid w:val="008236AA"/>
    <w:rsid w:val="00830DC8"/>
    <w:rsid w:val="00871290"/>
    <w:rsid w:val="0087721A"/>
    <w:rsid w:val="008A1802"/>
    <w:rsid w:val="008A3764"/>
    <w:rsid w:val="008B6112"/>
    <w:rsid w:val="008E16B9"/>
    <w:rsid w:val="008F151A"/>
    <w:rsid w:val="008F152B"/>
    <w:rsid w:val="008F24BB"/>
    <w:rsid w:val="00914789"/>
    <w:rsid w:val="00937ED5"/>
    <w:rsid w:val="00940570"/>
    <w:rsid w:val="009869A2"/>
    <w:rsid w:val="00995A29"/>
    <w:rsid w:val="009C01FB"/>
    <w:rsid w:val="009F2053"/>
    <w:rsid w:val="00A247CC"/>
    <w:rsid w:val="00A768CC"/>
    <w:rsid w:val="00A854D4"/>
    <w:rsid w:val="00A8798E"/>
    <w:rsid w:val="00AB08CB"/>
    <w:rsid w:val="00AB3196"/>
    <w:rsid w:val="00AB4EEC"/>
    <w:rsid w:val="00AB76D3"/>
    <w:rsid w:val="00AC1C16"/>
    <w:rsid w:val="00AC57C2"/>
    <w:rsid w:val="00AD53D1"/>
    <w:rsid w:val="00AD5E2D"/>
    <w:rsid w:val="00AD7BBC"/>
    <w:rsid w:val="00AD7C73"/>
    <w:rsid w:val="00AF0F27"/>
    <w:rsid w:val="00B05830"/>
    <w:rsid w:val="00B34B0C"/>
    <w:rsid w:val="00B4277E"/>
    <w:rsid w:val="00B47551"/>
    <w:rsid w:val="00B60630"/>
    <w:rsid w:val="00B635C2"/>
    <w:rsid w:val="00B719D6"/>
    <w:rsid w:val="00B74733"/>
    <w:rsid w:val="00B87840"/>
    <w:rsid w:val="00B879DA"/>
    <w:rsid w:val="00BA094F"/>
    <w:rsid w:val="00BC4925"/>
    <w:rsid w:val="00BD646A"/>
    <w:rsid w:val="00BD6E99"/>
    <w:rsid w:val="00BE617D"/>
    <w:rsid w:val="00C042E8"/>
    <w:rsid w:val="00C24D0A"/>
    <w:rsid w:val="00C46774"/>
    <w:rsid w:val="00C538EB"/>
    <w:rsid w:val="00C62B86"/>
    <w:rsid w:val="00C94D35"/>
    <w:rsid w:val="00CB054E"/>
    <w:rsid w:val="00CC018F"/>
    <w:rsid w:val="00CC1D53"/>
    <w:rsid w:val="00CD0057"/>
    <w:rsid w:val="00D27516"/>
    <w:rsid w:val="00D32407"/>
    <w:rsid w:val="00D6096C"/>
    <w:rsid w:val="00D86A6B"/>
    <w:rsid w:val="00D86E8F"/>
    <w:rsid w:val="00D979B1"/>
    <w:rsid w:val="00DC3B08"/>
    <w:rsid w:val="00DD05A4"/>
    <w:rsid w:val="00DF4CA4"/>
    <w:rsid w:val="00E32228"/>
    <w:rsid w:val="00E35E74"/>
    <w:rsid w:val="00E43E1B"/>
    <w:rsid w:val="00E4635D"/>
    <w:rsid w:val="00E60E35"/>
    <w:rsid w:val="00E70DE4"/>
    <w:rsid w:val="00E77F31"/>
    <w:rsid w:val="00E80A6C"/>
    <w:rsid w:val="00E817C1"/>
    <w:rsid w:val="00E97A93"/>
    <w:rsid w:val="00EC1F79"/>
    <w:rsid w:val="00ED4768"/>
    <w:rsid w:val="00EE3822"/>
    <w:rsid w:val="00EF2027"/>
    <w:rsid w:val="00EF5709"/>
    <w:rsid w:val="00F277AD"/>
    <w:rsid w:val="00F36A0B"/>
    <w:rsid w:val="00F500E6"/>
    <w:rsid w:val="00F55AB2"/>
    <w:rsid w:val="00F56898"/>
    <w:rsid w:val="00FB39D0"/>
    <w:rsid w:val="00FB4C80"/>
    <w:rsid w:val="00FC75E2"/>
    <w:rsid w:val="00FD5C50"/>
    <w:rsid w:val="00FE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2FB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5F22F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5F22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5F22F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F22F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22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2FB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5F22FB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5F2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F22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294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038AA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2FB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5F22F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5F22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5F22F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F22F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22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2FB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5F22FB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5F2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F22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294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038AA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8</Pages>
  <Words>3437</Words>
  <Characters>19595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Берестовенко М.В.</cp:lastModifiedBy>
  <cp:revision>184</cp:revision>
  <cp:lastPrinted>2019-02-15T12:50:00Z</cp:lastPrinted>
  <dcterms:created xsi:type="dcterms:W3CDTF">2019-01-25T08:53:00Z</dcterms:created>
  <dcterms:modified xsi:type="dcterms:W3CDTF">2019-02-15T12:56:00Z</dcterms:modified>
</cp:coreProperties>
</file>