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41" w:rsidRPr="00484E17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F1B72">
        <w:rPr>
          <w:rFonts w:ascii="Times New Roman" w:hAnsi="Times New Roman" w:cs="Times New Roman"/>
          <w:sz w:val="24"/>
          <w:szCs w:val="24"/>
        </w:rPr>
        <w:t>1</w:t>
      </w:r>
      <w:r w:rsidR="00DE4A82">
        <w:rPr>
          <w:rFonts w:ascii="Times New Roman" w:hAnsi="Times New Roman" w:cs="Times New Roman"/>
          <w:sz w:val="24"/>
          <w:szCs w:val="24"/>
        </w:rPr>
        <w:t>3</w:t>
      </w:r>
    </w:p>
    <w:p w:rsidR="00A35541" w:rsidRPr="00140570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76EF" w:rsidRPr="00D076EF" w:rsidRDefault="00D076EF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D076EF">
        <w:rPr>
          <w:rFonts w:ascii="Times New Roman" w:hAnsi="Times New Roman" w:cs="Times New Roman"/>
          <w:sz w:val="24"/>
          <w:szCs w:val="24"/>
        </w:rPr>
        <w:t>Таблица 1</w:t>
      </w:r>
    </w:p>
    <w:p w:rsidR="00AA1D4A" w:rsidRPr="007D56B2" w:rsidRDefault="00AA1D4A" w:rsidP="007D56B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B2">
        <w:rPr>
          <w:rFonts w:ascii="Times New Roman" w:hAnsi="Times New Roman" w:cs="Times New Roman"/>
          <w:b/>
          <w:sz w:val="24"/>
          <w:szCs w:val="24"/>
        </w:rPr>
        <w:t xml:space="preserve">Информация о главных распорядителях с низким уровнем исполнения либо </w:t>
      </w:r>
      <w:r w:rsidR="001B597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7D56B2">
        <w:rPr>
          <w:rFonts w:ascii="Times New Roman" w:hAnsi="Times New Roman" w:cs="Times New Roman"/>
          <w:b/>
          <w:sz w:val="24"/>
          <w:szCs w:val="24"/>
        </w:rPr>
        <w:t>отсутствием исполнения расходов на предоставление субсидий отдельным юридическим лицам (включая бюджетные ассигнования, увеличенные в связи с принятием Федеральн</w:t>
      </w:r>
      <w:r w:rsidR="001B5975">
        <w:rPr>
          <w:rFonts w:ascii="Times New Roman" w:hAnsi="Times New Roman" w:cs="Times New Roman"/>
          <w:b/>
          <w:sz w:val="24"/>
          <w:szCs w:val="24"/>
        </w:rPr>
        <w:t>ого</w:t>
      </w:r>
      <w:r w:rsidRPr="007D56B2">
        <w:rPr>
          <w:rFonts w:ascii="Times New Roman" w:hAnsi="Times New Roman" w:cs="Times New Roman"/>
          <w:b/>
          <w:sz w:val="24"/>
          <w:szCs w:val="24"/>
        </w:rPr>
        <w:t xml:space="preserve"> закон</w:t>
      </w:r>
      <w:r w:rsidR="001B5975">
        <w:rPr>
          <w:rFonts w:ascii="Times New Roman" w:hAnsi="Times New Roman" w:cs="Times New Roman"/>
          <w:b/>
          <w:sz w:val="24"/>
          <w:szCs w:val="24"/>
        </w:rPr>
        <w:t>а</w:t>
      </w:r>
      <w:r w:rsidRPr="007D56B2">
        <w:rPr>
          <w:rFonts w:ascii="Times New Roman" w:hAnsi="Times New Roman" w:cs="Times New Roman"/>
          <w:b/>
          <w:sz w:val="24"/>
          <w:szCs w:val="24"/>
        </w:rPr>
        <w:t xml:space="preserve"> № 458-ФЗ)</w:t>
      </w:r>
    </w:p>
    <w:p w:rsidR="00FD7026" w:rsidRPr="00AA1D4A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58C6" w:rsidRPr="007376C8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521"/>
        <w:gridCol w:w="1701"/>
      </w:tblGrid>
      <w:tr w:rsidR="00AA1D4A" w:rsidRPr="00C3684F" w:rsidTr="001B5975">
        <w:trPr>
          <w:tblHeader/>
        </w:trPr>
        <w:tc>
          <w:tcPr>
            <w:tcW w:w="1843" w:type="dxa"/>
            <w:vAlign w:val="center"/>
          </w:tcPr>
          <w:p w:rsidR="00AA1D4A" w:rsidRPr="001B5975" w:rsidRDefault="00AA1D4A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521" w:type="dxa"/>
            <w:vAlign w:val="center"/>
          </w:tcPr>
          <w:p w:rsidR="00AA1D4A" w:rsidRPr="001B5975" w:rsidRDefault="007F3ED5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Неисп</w:t>
            </w:r>
            <w:r w:rsidR="00D076EF"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олненные бюджетные ассигнования</w:t>
            </w:r>
          </w:p>
        </w:tc>
        <w:tc>
          <w:tcPr>
            <w:tcW w:w="1701" w:type="dxa"/>
            <w:vAlign w:val="center"/>
          </w:tcPr>
          <w:p w:rsidR="00AA1D4A" w:rsidRPr="001B5975" w:rsidRDefault="00AA1D4A" w:rsidP="00FA1C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Объем неисполненных бюджетных ассигнований на 1 января 2019 г</w:t>
            </w:r>
            <w:r w:rsidR="00FA1C51"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ода</w:t>
            </w:r>
          </w:p>
        </w:tc>
      </w:tr>
      <w:tr w:rsidR="00EA533A" w:rsidRPr="00C3684F" w:rsidTr="001B5975">
        <w:tc>
          <w:tcPr>
            <w:tcW w:w="1843" w:type="dxa"/>
          </w:tcPr>
          <w:p w:rsidR="00EA533A" w:rsidRPr="00C3684F" w:rsidRDefault="00EA533A" w:rsidP="00113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Минтранс России</w:t>
            </w:r>
          </w:p>
        </w:tc>
        <w:tc>
          <w:tcPr>
            <w:tcW w:w="6521" w:type="dxa"/>
          </w:tcPr>
          <w:p w:rsidR="00EA533A" w:rsidRPr="00C3684F" w:rsidRDefault="00EA533A" w:rsidP="00A34F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Не осуществлялось исполнение расходов на предоставление субсидии ПАО «Государственная транспортная лизинговая компания», г. Салехард, Ямало-Ненецкий автономный округ, в целях лизинга (аренды) гражданских судов водного транспорта, предусмотренных Федеральным законом № 458-ФЗ по Минтрансу России в сумме 5 900,0 млн. рублей, что в основном связано с заключением соглашения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между 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Минтранс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России и ПАО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ГТЛК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лишь 29 декабря 2018 года (в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с соглашением достижение показателя результативности использования субсидии зап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ланировано начиная с 2019 года)</w:t>
            </w:r>
          </w:p>
        </w:tc>
        <w:tc>
          <w:tcPr>
            <w:tcW w:w="1701" w:type="dxa"/>
          </w:tcPr>
          <w:p w:rsidR="00EA533A" w:rsidRPr="00C3684F" w:rsidRDefault="00EA533A" w:rsidP="00113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5 900,0</w:t>
            </w:r>
          </w:p>
        </w:tc>
      </w:tr>
      <w:tr w:rsidR="00EA533A" w:rsidRPr="00C3684F" w:rsidTr="001B5975">
        <w:tc>
          <w:tcPr>
            <w:tcW w:w="1843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Минфин России</w:t>
            </w:r>
          </w:p>
        </w:tc>
        <w:tc>
          <w:tcPr>
            <w:tcW w:w="6521" w:type="dxa"/>
          </w:tcPr>
          <w:p w:rsidR="00EA533A" w:rsidRPr="00AA1D4A" w:rsidRDefault="00EA533A" w:rsidP="00AA1D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предоставление субсидий российским кредитным организациям и акционерному обществу «Агентство ипотечного жилищного кредитования», г. Москва, на возмещение недополученных доходов по выданным (приобретенным) жилищным (ипотечным) кредитам (займам), предусмотренные сводной росписью с изменениями по Минфину России в сумме 5 900,0 млн. рублей, исполнены на уровне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1 % показателя сводной росписи с изменениями (неисполнение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млн. рублей), что связано с низкой потребностью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кредитных организаций и АО «ДОМ</w:t>
            </w: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Ф».</w:t>
            </w:r>
          </w:p>
          <w:p w:rsidR="00EA533A" w:rsidRPr="00AA1D4A" w:rsidRDefault="00EA533A" w:rsidP="00AA1D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Приказом Минфина России от 19 февраля 2018 г. № 88 утверждено распределение лимита средств 46 кредитным организациям, включая АО «ДОМ</w:t>
            </w: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Ф», на выдачу (приобретение) жилищных (ипотечных) кредитов (займов) для предоставления им субсидий из федерального бюджета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детей, в общем объеме 600 000,0 млн. рублей.</w:t>
            </w:r>
          </w:p>
          <w:p w:rsidR="00EA533A" w:rsidRPr="00C3684F" w:rsidRDefault="00EA533A" w:rsidP="00A34F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По данным Минфина России, в феврале – октябре 2018 года из 46 организаций, участвующих в программе, 17 кредитных организаций не предоставляли жилищные (ипотечные) кредиты. Остальными 28 банками и АО «ДОМ</w:t>
            </w: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Ф» было выдано 2 514 жилищных (ипотечных) кредитов на общую сумму лишь 5 909,8 млн. рублей, что обусловило низкий уровень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на во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змещение недополученных доходов</w:t>
            </w:r>
          </w:p>
        </w:tc>
        <w:tc>
          <w:tcPr>
            <w:tcW w:w="1701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5 842,7</w:t>
            </w:r>
          </w:p>
        </w:tc>
      </w:tr>
      <w:tr w:rsidR="00EA533A" w:rsidRPr="00C3684F" w:rsidTr="001B5975">
        <w:tc>
          <w:tcPr>
            <w:tcW w:w="1843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EA533A" w:rsidRPr="00AA1D4A" w:rsidRDefault="00EA533A" w:rsidP="00AA1D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предоставление субсидий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 внедрением сервисных бюллетеней на воздушные суда нового типа, за счет средств резервного фонда Правительства Российской Федерации, предусмотренные сводной росписью с изменениями по </w:t>
            </w:r>
            <w:proofErr w:type="spell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Минпромторгу</w:t>
            </w:r>
            <w:proofErr w:type="spell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России в сумме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005,9 млн. рублей, исполнены на уровне 0,3 % показателя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сводной росп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иси с изменениями (неисполнение - 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3 992,3 млн. рублей), что связано с поздним внесением (25 декабря 2018 года) в сводную роспись</w:t>
            </w:r>
            <w:r w:rsidR="00A34FA9"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изменений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, предусматривающих предоставление указанных субсидий, а также</w:t>
            </w:r>
            <w:r w:rsidR="006C2491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длительностью проведения процедур конвертации, связанных с необходимостью оплаты расходов в иностранной валюте.</w:t>
            </w:r>
          </w:p>
          <w:p w:rsidR="00EA533A" w:rsidRPr="00C3684F" w:rsidRDefault="00EA533A" w:rsidP="00A34F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предоставления в 2018 году субсидий утверждены постановлением Правительства Российской Федерации от 21 декабря 2018 г. № 1621. По данным Единого портала бюджетной системы соглашение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между </w:t>
            </w:r>
            <w:proofErr w:type="spell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proofErr w:type="spell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Росс</w:t>
            </w: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ии и АО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«Гражданские самолеты Сухого» закл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ючено лишь 27 декабря 2018 года</w:t>
            </w:r>
          </w:p>
        </w:tc>
        <w:tc>
          <w:tcPr>
            <w:tcW w:w="1701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3 992,3</w:t>
            </w:r>
          </w:p>
        </w:tc>
      </w:tr>
      <w:tr w:rsidR="00EA533A" w:rsidRPr="00C3684F" w:rsidTr="001B5975">
        <w:tc>
          <w:tcPr>
            <w:tcW w:w="1843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Минэконом</w:t>
            </w:r>
            <w:proofErr w:type="spellEnd"/>
            <w:r w:rsidR="00A34F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EA533A" w:rsidRPr="00C3684F" w:rsidRDefault="00EA533A" w:rsidP="00A34F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предоставление субсидии некоммерческой организации «Фонд развития моногородов», предусмотренные сводной росписью с изменениями по Минэкономразвития России в сумме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9 634,2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рублей, исполнены на уровне 60,5 % показателя сводной росписи с измен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ениями (неисполнение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– 3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806,0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рублей), что в основном связано с осуществлением расходов в рамках подтвержденной потребности в не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использованной в 2017 году субсидии, а также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поздним заключением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(лишь 19 декабря 2018 года) соглашения 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между 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Минэкономразвития России и Фонд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моногородов о предоставлении субсидии за счет бюджетных ассигнований, предусмотренных Федеральным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 xml:space="preserve"> законом № 362-ФЗ с изменениями</w:t>
            </w:r>
          </w:p>
        </w:tc>
        <w:tc>
          <w:tcPr>
            <w:tcW w:w="1701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3 806,0</w:t>
            </w:r>
          </w:p>
        </w:tc>
      </w:tr>
      <w:tr w:rsidR="00EA533A" w:rsidRPr="00C3684F" w:rsidTr="001B5975">
        <w:tc>
          <w:tcPr>
            <w:tcW w:w="1843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Минприроды России</w:t>
            </w:r>
          </w:p>
        </w:tc>
        <w:tc>
          <w:tcPr>
            <w:tcW w:w="6521" w:type="dxa"/>
          </w:tcPr>
          <w:p w:rsidR="00EA533A" w:rsidRPr="00C3684F" w:rsidRDefault="00EA533A" w:rsidP="00A34F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Не осуществлялось исполнение бюджетных ассигнований на предоставление субсидии АО «</w:t>
            </w:r>
            <w:proofErr w:type="spell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Росгеология</w:t>
            </w:r>
            <w:proofErr w:type="spell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», г. Москва, на финансовое обеспечение затрат на опытно-промышленные работы и проектирование, предусмотренных Федеральным законом № 458-ФЗ по Минприроды России в сумме 395,0 млн. рублей, что в основном связано с утверждением правил предоставления субсиди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лишь 28 декабря 2018 года (постановление Правительства Российской Федерации от 28 декабря 2018 г. № 1701 «Об утверждении Правил</w:t>
            </w:r>
            <w:proofErr w:type="gram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из федерального бюджета субсидии акционерному обществу «</w:t>
            </w:r>
            <w:proofErr w:type="spellStart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Росгеология</w:t>
            </w:r>
            <w:proofErr w:type="spellEnd"/>
            <w:r w:rsidRPr="00AA1D4A">
              <w:rPr>
                <w:rFonts w:ascii="Times New Roman" w:hAnsi="Times New Roman" w:cs="Times New Roman"/>
                <w:sz w:val="20"/>
                <w:szCs w:val="20"/>
              </w:rPr>
              <w:t>», г. Москва, на финансовое обеспечение затрат на опытно-промышл</w:t>
            </w:r>
            <w:r w:rsidR="00A34FA9">
              <w:rPr>
                <w:rFonts w:ascii="Times New Roman" w:hAnsi="Times New Roman" w:cs="Times New Roman"/>
                <w:sz w:val="20"/>
                <w:szCs w:val="20"/>
              </w:rPr>
              <w:t>енные работы и проектирование»)</w:t>
            </w:r>
          </w:p>
        </w:tc>
        <w:tc>
          <w:tcPr>
            <w:tcW w:w="1701" w:type="dxa"/>
          </w:tcPr>
          <w:p w:rsidR="00EA533A" w:rsidRPr="00C3684F" w:rsidRDefault="00EA533A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</w:tr>
    </w:tbl>
    <w:p w:rsidR="00832282" w:rsidRDefault="00832282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D076EF" w:rsidRPr="00D076EF" w:rsidRDefault="00D076EF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D076EF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15C89" w:rsidRPr="007D56B2" w:rsidRDefault="00E15C89" w:rsidP="007D56B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B2">
        <w:rPr>
          <w:rFonts w:ascii="Times New Roman" w:hAnsi="Times New Roman" w:cs="Times New Roman"/>
          <w:b/>
          <w:sz w:val="24"/>
          <w:szCs w:val="24"/>
        </w:rPr>
        <w:t>Информация об остатках по состоянию на 1 января 2019 года не использованных юридическими лицами субсидий</w:t>
      </w:r>
    </w:p>
    <w:p w:rsidR="00FD7026" w:rsidRPr="007D56B2" w:rsidRDefault="00FD7026" w:rsidP="007D56B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026" w:rsidRPr="007376C8" w:rsidRDefault="00FD7026" w:rsidP="00FD70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521"/>
        <w:gridCol w:w="1842"/>
      </w:tblGrid>
      <w:tr w:rsidR="00E15C89" w:rsidRPr="00C3684F" w:rsidTr="004C585A">
        <w:trPr>
          <w:tblHeader/>
        </w:trPr>
        <w:tc>
          <w:tcPr>
            <w:tcW w:w="1843" w:type="dxa"/>
            <w:vAlign w:val="center"/>
          </w:tcPr>
          <w:p w:rsidR="00E15C89" w:rsidRPr="00C0705F" w:rsidRDefault="00E15C89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05F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521" w:type="dxa"/>
            <w:vAlign w:val="center"/>
          </w:tcPr>
          <w:p w:rsidR="00E15C89" w:rsidRPr="00C0705F" w:rsidRDefault="004C585A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05F">
              <w:rPr>
                <w:rFonts w:ascii="Times New Roman" w:hAnsi="Times New Roman" w:cs="Times New Roman"/>
                <w:b/>
                <w:sz w:val="20"/>
                <w:szCs w:val="20"/>
              </w:rPr>
              <w:t>Не использованные юридическими лицами остатки субсидий</w:t>
            </w:r>
          </w:p>
        </w:tc>
        <w:tc>
          <w:tcPr>
            <w:tcW w:w="1842" w:type="dxa"/>
            <w:vAlign w:val="center"/>
          </w:tcPr>
          <w:p w:rsidR="00E15C89" w:rsidRPr="00C0705F" w:rsidRDefault="00E15C89" w:rsidP="004C58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705F">
              <w:rPr>
                <w:rFonts w:ascii="Times New Roman" w:hAnsi="Times New Roman" w:cs="Times New Roman"/>
                <w:b/>
                <w:sz w:val="20"/>
                <w:szCs w:val="20"/>
              </w:rPr>
              <w:t>Объем не</w:t>
            </w:r>
            <w:r w:rsidR="004C585A" w:rsidRPr="00C070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использованных юридическими лицами остатков субсидий</w:t>
            </w:r>
            <w:r w:rsidRPr="00C070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1 января 2019 г</w:t>
            </w:r>
            <w:r w:rsidR="004C585A" w:rsidRPr="00C0705F">
              <w:rPr>
                <w:rFonts w:ascii="Times New Roman" w:hAnsi="Times New Roman" w:cs="Times New Roman"/>
                <w:b/>
                <w:sz w:val="20"/>
                <w:szCs w:val="20"/>
              </w:rPr>
              <w:t>ода</w:t>
            </w:r>
          </w:p>
        </w:tc>
      </w:tr>
      <w:tr w:rsidR="00FD7026" w:rsidRPr="00C3684F" w:rsidTr="004C585A">
        <w:tc>
          <w:tcPr>
            <w:tcW w:w="1843" w:type="dxa"/>
          </w:tcPr>
          <w:p w:rsidR="00FD7026" w:rsidRPr="00C3684F" w:rsidRDefault="00FD7026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 Президента Российской Федерации</w:t>
            </w:r>
          </w:p>
        </w:tc>
        <w:tc>
          <w:tcPr>
            <w:tcW w:w="6521" w:type="dxa"/>
          </w:tcPr>
          <w:p w:rsidR="00FD7026" w:rsidRDefault="00FD7026" w:rsidP="00DE0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Управлением делами Президента Российской Федерации предоставлен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субсиди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на поддержку некоммерческих неправительственных организаций, участвующих в развитии институтов гражданского общества, в полном объеме (8 016,8 млн. рублей). По данным Управления делами Президента Российской Федерации, на счетах 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онда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оператора президентских грантов по развитию гражданского общества, которому предоставлена указанная субсидия, сложился остаток средств в объеме 3 805,0 млн. рублей, включая остаток средств, перечисленных в 2017 году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– 5,0 млн. рублей.</w:t>
            </w:r>
          </w:p>
          <w:p w:rsidR="00FD7026" w:rsidRPr="00C3684F" w:rsidRDefault="00FD7026" w:rsidP="005F65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пунктом 15 Порядка предоставления из федерального бюджета субсидии 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онду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оператору президентских грантов по развитию гражданского общества, утвержденного приказом Управления делами Президента Российской Федерации от 16 марта 2018 г. № 110, 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отчетность об осуществлении расходов, источником финансового обеспечения которых является субсидия, представляется 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ондом главному распорядителю средств федерального бюджета ежеквартально, не позднее 30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-го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числа месяца, следующего за отчетным кварталом.</w:t>
            </w:r>
            <w:proofErr w:type="gramEnd"/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на 30 января 2019 года соответствующая отчетность в 2018 году на Едином портале бюджетной системы Росс</w:t>
            </w:r>
            <w:r w:rsidR="005F655F">
              <w:rPr>
                <w:rFonts w:ascii="Times New Roman" w:hAnsi="Times New Roman" w:cs="Times New Roman"/>
                <w:sz w:val="20"/>
                <w:szCs w:val="20"/>
              </w:rPr>
              <w:t>ийской Федерации не размещалась</w:t>
            </w:r>
          </w:p>
        </w:tc>
        <w:tc>
          <w:tcPr>
            <w:tcW w:w="1842" w:type="dxa"/>
          </w:tcPr>
          <w:p w:rsidR="00FD7026" w:rsidRPr="00C3684F" w:rsidRDefault="00FD7026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3 805,0</w:t>
            </w:r>
          </w:p>
        </w:tc>
      </w:tr>
      <w:tr w:rsidR="00FD7026" w:rsidRPr="00C3684F" w:rsidTr="004C585A">
        <w:tc>
          <w:tcPr>
            <w:tcW w:w="1843" w:type="dxa"/>
          </w:tcPr>
          <w:p w:rsidR="00FD7026" w:rsidRPr="00C3684F" w:rsidRDefault="00FD7026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FD7026" w:rsidRPr="00FD7026" w:rsidRDefault="00FD7026" w:rsidP="00DE0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Минпромторгом</w:t>
            </w:r>
            <w:proofErr w:type="spellEnd"/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России предоставлена субсидия АО «РОСЭКСИМБАНК» в целях компенсации недополученных доходов по кредитам, выдаваемым в рамках поддержки производства высокотехнологичной продукции, в объеме 2 501,4 млн. рублей (99,3 % показателя сводной росписи с изменениями).</w:t>
            </w:r>
          </w:p>
          <w:p w:rsidR="00FD7026" w:rsidRPr="00C3684F" w:rsidRDefault="00FD7026" w:rsidP="00DE0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Следует отметить, что по оперативным данным, на счете АО «РОСЭКСИМБАНК» по состоянию на 1 января 2019 года сложился неиспользованный остаток субсидии, предоставленной в 2015 году из федерального бюджета за счет антикризисного фонда в объеме 3,0 млрд. рублей, который составляет 1 136,8 млн. рублей.</w:t>
            </w:r>
          </w:p>
        </w:tc>
        <w:tc>
          <w:tcPr>
            <w:tcW w:w="1842" w:type="dxa"/>
          </w:tcPr>
          <w:p w:rsidR="00FD7026" w:rsidRPr="00C3684F" w:rsidRDefault="00FD7026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1 136,8</w:t>
            </w:r>
          </w:p>
        </w:tc>
      </w:tr>
      <w:tr w:rsidR="00FD7026" w:rsidRPr="00C3684F" w:rsidTr="004C585A">
        <w:tc>
          <w:tcPr>
            <w:tcW w:w="1843" w:type="dxa"/>
          </w:tcPr>
          <w:p w:rsidR="00FD7026" w:rsidRPr="00C3684F" w:rsidRDefault="00FD7026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521" w:type="dxa"/>
          </w:tcPr>
          <w:p w:rsidR="00FD7026" w:rsidRPr="00C3684F" w:rsidRDefault="00FD7026" w:rsidP="001F45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России по подразделу «</w:t>
            </w:r>
            <w:r w:rsidR="001F452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ополнительное образование детей» предоставлена субсидия </w:t>
            </w:r>
            <w:r w:rsidR="001F452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>онду «Талант и успех», г. Сочи, Краснодарский край</w:t>
            </w:r>
            <w:r w:rsidR="001F4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632,2 млн. рублей, или 98 % показателя сводной росписи с изменениями. По состоянию на 1 января 2019 года указанная субсидия использована </w:t>
            </w:r>
            <w:r w:rsidR="001F452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ондом не в полном объеме: остаток субсидии на счете </w:t>
            </w:r>
            <w:r w:rsidR="001F4524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D7026">
              <w:rPr>
                <w:rFonts w:ascii="Times New Roman" w:hAnsi="Times New Roman" w:cs="Times New Roman"/>
                <w:sz w:val="20"/>
                <w:szCs w:val="20"/>
              </w:rPr>
              <w:t xml:space="preserve">онда сложился в объеме 215,1 млн. рублей, или 34 </w:t>
            </w:r>
            <w:r w:rsidR="001F4524">
              <w:rPr>
                <w:rFonts w:ascii="Times New Roman" w:hAnsi="Times New Roman" w:cs="Times New Roman"/>
                <w:sz w:val="20"/>
                <w:szCs w:val="20"/>
              </w:rPr>
              <w:t>% объема перечисленной субсидии</w:t>
            </w:r>
          </w:p>
        </w:tc>
        <w:tc>
          <w:tcPr>
            <w:tcW w:w="1842" w:type="dxa"/>
          </w:tcPr>
          <w:p w:rsidR="00FD7026" w:rsidRPr="00C3684F" w:rsidRDefault="00FD7026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215,1</w:t>
            </w:r>
          </w:p>
        </w:tc>
      </w:tr>
    </w:tbl>
    <w:p w:rsidR="00E15C89" w:rsidRDefault="00E15C89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801E6" w:rsidRDefault="001801E6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076EF" w:rsidRPr="00D076EF" w:rsidRDefault="00D076EF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D076EF">
        <w:rPr>
          <w:rFonts w:ascii="Times New Roman" w:hAnsi="Times New Roman" w:cs="Times New Roman"/>
          <w:sz w:val="24"/>
          <w:szCs w:val="24"/>
        </w:rPr>
        <w:t>Таблица 3</w:t>
      </w:r>
    </w:p>
    <w:p w:rsidR="006E3567" w:rsidRPr="007D56B2" w:rsidRDefault="006E3567" w:rsidP="007D56B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B2">
        <w:rPr>
          <w:rFonts w:ascii="Times New Roman" w:hAnsi="Times New Roman" w:cs="Times New Roman"/>
          <w:b/>
          <w:sz w:val="24"/>
          <w:szCs w:val="24"/>
        </w:rPr>
        <w:t xml:space="preserve">Информация о главных распорядителях с низким уровнем исполнения либо </w:t>
      </w:r>
      <w:r w:rsidR="00AB769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7D56B2">
        <w:rPr>
          <w:rFonts w:ascii="Times New Roman" w:hAnsi="Times New Roman" w:cs="Times New Roman"/>
          <w:b/>
          <w:sz w:val="24"/>
          <w:szCs w:val="24"/>
        </w:rPr>
        <w:t>отсутствием исполнения расходов на предоставление взносов в уставны</w:t>
      </w:r>
      <w:r w:rsidR="00AB7695">
        <w:rPr>
          <w:rFonts w:ascii="Times New Roman" w:hAnsi="Times New Roman" w:cs="Times New Roman"/>
          <w:b/>
          <w:sz w:val="24"/>
          <w:szCs w:val="24"/>
        </w:rPr>
        <w:t>е</w:t>
      </w:r>
      <w:r w:rsidRPr="007D56B2">
        <w:rPr>
          <w:rFonts w:ascii="Times New Roman" w:hAnsi="Times New Roman" w:cs="Times New Roman"/>
          <w:b/>
          <w:sz w:val="24"/>
          <w:szCs w:val="24"/>
        </w:rPr>
        <w:t xml:space="preserve"> капитал</w:t>
      </w:r>
      <w:r w:rsidR="00AB7695">
        <w:rPr>
          <w:rFonts w:ascii="Times New Roman" w:hAnsi="Times New Roman" w:cs="Times New Roman"/>
          <w:b/>
          <w:sz w:val="24"/>
          <w:szCs w:val="24"/>
        </w:rPr>
        <w:t>ы</w:t>
      </w:r>
      <w:r w:rsidRPr="007D56B2">
        <w:rPr>
          <w:rFonts w:ascii="Times New Roman" w:hAnsi="Times New Roman" w:cs="Times New Roman"/>
          <w:b/>
          <w:sz w:val="24"/>
          <w:szCs w:val="24"/>
        </w:rPr>
        <w:t xml:space="preserve"> АО, имущественных взносов и субсидий государственным корпорациям, публично-правовой компании и государственной компании</w:t>
      </w:r>
    </w:p>
    <w:p w:rsidR="001801E6" w:rsidRPr="00AF031C" w:rsidRDefault="001801E6" w:rsidP="001801E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1801E6" w:rsidRPr="007376C8" w:rsidRDefault="001801E6" w:rsidP="001801E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379"/>
        <w:gridCol w:w="1984"/>
      </w:tblGrid>
      <w:tr w:rsidR="001801E6" w:rsidRPr="00C3684F" w:rsidTr="002915BC">
        <w:trPr>
          <w:tblHeader/>
        </w:trPr>
        <w:tc>
          <w:tcPr>
            <w:tcW w:w="1843" w:type="dxa"/>
            <w:vAlign w:val="center"/>
          </w:tcPr>
          <w:p w:rsidR="001801E6" w:rsidRPr="00AB7695" w:rsidRDefault="001801E6" w:rsidP="00BE6C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379" w:type="dxa"/>
            <w:vAlign w:val="center"/>
          </w:tcPr>
          <w:p w:rsidR="001801E6" w:rsidRPr="00AB7695" w:rsidRDefault="001801E6" w:rsidP="00BE6C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предоставлении и</w:t>
            </w:r>
            <w:r w:rsidR="00AB7695"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</w:t>
            </w:r>
            <w:r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использовании взносов (субсидий)</w:t>
            </w:r>
          </w:p>
        </w:tc>
        <w:tc>
          <w:tcPr>
            <w:tcW w:w="1984" w:type="dxa"/>
            <w:vAlign w:val="center"/>
          </w:tcPr>
          <w:p w:rsidR="001801E6" w:rsidRPr="00AB7695" w:rsidRDefault="001801E6" w:rsidP="00BE6C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</w:t>
            </w:r>
            <w:proofErr w:type="gramStart"/>
            <w:r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>неисполненных</w:t>
            </w:r>
            <w:proofErr w:type="gramEnd"/>
          </w:p>
          <w:p w:rsidR="001801E6" w:rsidRPr="00AB7695" w:rsidRDefault="006E3567" w:rsidP="006E35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бюджетных ассигнований</w:t>
            </w:r>
            <w:r w:rsidR="001801E6" w:rsidRPr="00AB76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1 января 2019 года</w:t>
            </w:r>
          </w:p>
        </w:tc>
      </w:tr>
      <w:tr w:rsidR="001801E6" w:rsidRPr="00C3684F" w:rsidTr="00BE6C84">
        <w:tc>
          <w:tcPr>
            <w:tcW w:w="10206" w:type="dxa"/>
            <w:gridSpan w:val="3"/>
          </w:tcPr>
          <w:p w:rsidR="001801E6" w:rsidRPr="004F15C8" w:rsidRDefault="001801E6" w:rsidP="00534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5C8">
              <w:rPr>
                <w:rFonts w:ascii="Times New Roman" w:hAnsi="Times New Roman" w:cs="Times New Roman"/>
                <w:b/>
                <w:sz w:val="20"/>
                <w:szCs w:val="20"/>
              </w:rPr>
              <w:t>Взносы в уставны</w:t>
            </w:r>
            <w:r w:rsidR="00534DBC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4F15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капитал</w:t>
            </w:r>
            <w:r w:rsidR="00534DB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4F15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АО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Минэнерго России</w:t>
            </w:r>
          </w:p>
        </w:tc>
        <w:tc>
          <w:tcPr>
            <w:tcW w:w="6379" w:type="dxa"/>
          </w:tcPr>
          <w:p w:rsidR="001801E6" w:rsidRPr="00C3684F" w:rsidRDefault="001801E6" w:rsidP="00534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рамках ФЦП «Социально-экономическое развитие Республики Крым и г. Севастополя до 2020 года» Минэнерго России не осуществ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 взнос в уставный капитал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АО «</w:t>
            </w:r>
            <w:proofErr w:type="spellStart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Крымэнерго</w:t>
            </w:r>
            <w:proofErr w:type="spellEnd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на иные мероприятия по строительству электросетевых объектов на территории Крымского полуострова в 2018 году в объеме 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251,87 млн. рублей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, предусмотренный 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 законом 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№ 458-ФЗ, в связи с поздним заключением договора о предоста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влении бюджетных инвестиций (20 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декабря 2018 года</w:t>
            </w:r>
            <w:proofErr w:type="gram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) и отсутствием согласованного 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пообъектного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распр</w:t>
            </w:r>
            <w:r w:rsidR="00534DBC">
              <w:rPr>
                <w:rFonts w:ascii="Times New Roman" w:hAnsi="Times New Roman" w:cs="Times New Roman"/>
                <w:sz w:val="20"/>
                <w:szCs w:val="20"/>
              </w:rPr>
              <w:t>еделения бюджетных ассигнований</w:t>
            </w:r>
          </w:p>
        </w:tc>
        <w:tc>
          <w:tcPr>
            <w:tcW w:w="1984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251,9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9" w:type="dxa"/>
          </w:tcPr>
          <w:p w:rsidR="001801E6" w:rsidRPr="001329A8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По итогам 2018 года 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 не исполнены в полном объе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 взносы в уставны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капитал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АО «Конструкторское бюро «Арсенал» имени </w:t>
            </w:r>
            <w:proofErr w:type="spellStart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М.В.Фрунзе</w:t>
            </w:r>
            <w:proofErr w:type="spellEnd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АО «Сибирские приборы и системы»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4845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="00AF03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млн. рублей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40,0</w:t>
            </w:r>
            <w:r w:rsidR="00AF03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млн. рублей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соответственно).</w:t>
            </w:r>
          </w:p>
          <w:p w:rsidR="001801E6" w:rsidRPr="001329A8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АО «Конструкторское бюро «Арсенал» имени М.В. Фрунзе» в течение 2018</w:t>
            </w:r>
            <w:r w:rsidR="00326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года не устранены замечания, выданные 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Росимуществом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на отчет об оценке рыночной стоимости акций АО «Конструкторское бюро 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«Арсенал». Следует отметить, что по итогам 2017 года 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» также не был исполнен в полном объеме взнос в уставный капитал АО «Конструкторское бюро «Арсенал» имени 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М.В.Фрунзе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 в сумме 46,4</w:t>
            </w:r>
            <w:r w:rsidR="00326F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млн. рублей.</w:t>
            </w:r>
          </w:p>
          <w:p w:rsidR="001801E6" w:rsidRPr="001329A8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3 июля 2018 г. № 193-ФЗ 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 были предусмотрены бюджетные ассигнования на предоставление взноса в уставный капитал АО «Сибирские приборы и системы» в сумме 40,0 млн. рублей. В течение второго полугодия 2018 года АО «Сибирские приборы и системы» не проведена эмиссия акций, соответствующие документы в 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 не представлены, в результате чего по итогам 2018 года не заключен договор об участии Российской Федерации в собственности субъекта инвестиций при осуществлении взносов в уставные капиталы акционерных обществ.</w:t>
            </w:r>
          </w:p>
          <w:p w:rsidR="001801E6" w:rsidRPr="00C3684F" w:rsidRDefault="001801E6" w:rsidP="00975B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законом № 458-ФЗ взнос в уставный капитал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АО «Государственный космический научно-пр</w:t>
            </w:r>
            <w:r w:rsidR="006C2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оизводственный центр имени </w:t>
            </w:r>
            <w:proofErr w:type="spellStart"/>
            <w:r w:rsidR="006C2491">
              <w:rPr>
                <w:rFonts w:ascii="Times New Roman" w:hAnsi="Times New Roman" w:cs="Times New Roman"/>
                <w:b/>
                <w:sz w:val="20"/>
                <w:szCs w:val="20"/>
              </w:rPr>
              <w:t>М.В.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Хруничева</w:t>
            </w:r>
            <w:proofErr w:type="spellEnd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(ГК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») </w:t>
            </w:r>
            <w:r w:rsidR="00975B1D"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уменьшен 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на 194,0 млн. рублей, или на 37,3 %, до 326,0 млн. рублей (по итогам 2018 года кассовое исполнение составило 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212,7 млн. рублей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, или 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65,3</w:t>
            </w:r>
            <w:r w:rsidR="006E356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сводной бюджетной росписи с изменениями в связи с отказом акционерного общества от получения средств по объекту «Реконструкция</w:t>
            </w:r>
            <w:proofErr w:type="gram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техническое перевооружение корпуса по производст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>ву кузнечно-прессовых изделий»)</w:t>
            </w:r>
          </w:p>
        </w:tc>
        <w:tc>
          <w:tcPr>
            <w:tcW w:w="1984" w:type="dxa"/>
          </w:tcPr>
          <w:p w:rsidR="001801E6" w:rsidRPr="00C3684F" w:rsidRDefault="00591644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235,8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Минпромторг</w:t>
            </w:r>
            <w:proofErr w:type="spellEnd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1801E6" w:rsidRPr="00C3684F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Минпромторгом</w:t>
            </w:r>
            <w:proofErr w:type="spellEnd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России не в полном объеме исполнены расходы по осуществлению одного из девяти взносов в уставные капиталы АО. </w:t>
            </w:r>
            <w:proofErr w:type="gramStart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Так, взнос в уставный капитал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ПАО 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«Объединенная авиастроительная корпорация»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в целях последующих взносов в уставные капиталы дочерних обществ на финансирование объектов производственной инфраструктуры самолет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Ил-96-400М исполнен в сумме 1 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170,0 млн. рублей, или 88,6 % показателя сводной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жетной росписи с изменениями (1 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320,0 млн. рублей)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со снижением сметной стоимости объекта на </w:t>
            </w:r>
            <w:r w:rsidRPr="00B3542E">
              <w:rPr>
                <w:rFonts w:ascii="Times New Roman" w:hAnsi="Times New Roman" w:cs="Times New Roman"/>
                <w:b/>
                <w:sz w:val="20"/>
                <w:szCs w:val="20"/>
              </w:rPr>
              <w:t>150,0 млн. рублей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проверки достоверности сметной</w:t>
            </w:r>
            <w:proofErr w:type="gramEnd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стоимости, проведенной ФАУ «</w:t>
            </w:r>
            <w:proofErr w:type="spellStart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Главгосэкспертиза</w:t>
            </w:r>
            <w:proofErr w:type="spellEnd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Росс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>ии»</w:t>
            </w:r>
          </w:p>
        </w:tc>
        <w:tc>
          <w:tcPr>
            <w:tcW w:w="1984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801E6" w:rsidRPr="00C3684F" w:rsidTr="00BE6C84">
        <w:tc>
          <w:tcPr>
            <w:tcW w:w="10206" w:type="dxa"/>
            <w:gridSpan w:val="3"/>
          </w:tcPr>
          <w:p w:rsidR="001801E6" w:rsidRPr="00963AF7" w:rsidRDefault="001801E6" w:rsidP="00BE6C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Имущественные взносы и субсидии</w:t>
            </w:r>
            <w:r w:rsidRPr="00963A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государственным корпорациям, публично-правовой компании и государственной компании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Минстрой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1801E6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о итогам 2018 года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не осуществлен имущественный взнос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в публично-правовую компанию «Фонд защиты прав граждан – участников долевого строительства»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5 000,0 млн. рублей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предусмотренный Минстрою России Федеральным законом № 458-ФЗ. </w:t>
            </w:r>
          </w:p>
          <w:p w:rsidR="001801E6" w:rsidRPr="00C3684F" w:rsidRDefault="001801E6" w:rsidP="00326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Из выделенных Минстрою России в соответствии с распоряжением Правительства Российской Федерации от 6 августа 2018 г. № 1630-р из резервного фонда Правительства Российской Федерации бюджетных ассигнований в сумме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3 000,0 млн. рублей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публично-правовой компании «Фонд защиты прав граждан – участников долевого строительства»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предоставлено только 43,5 млн. рублей, или 1,5</w:t>
            </w:r>
            <w:r w:rsidR="00326F3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сводной бюджетной росписи, в виде имущественного взноса Российской Федерации для осуществления мероприятий</w:t>
            </w:r>
            <w:proofErr w:type="gramEnd"/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по финансированию завершения строительства объектов незавершенного строит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>ельства - многоквартирных домов</w:t>
            </w:r>
          </w:p>
        </w:tc>
        <w:tc>
          <w:tcPr>
            <w:tcW w:w="1984" w:type="dxa"/>
          </w:tcPr>
          <w:p w:rsidR="001801E6" w:rsidRPr="00C3684F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7 956,5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563DB4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>Минтранс России</w:t>
            </w:r>
          </w:p>
        </w:tc>
        <w:tc>
          <w:tcPr>
            <w:tcW w:w="6379" w:type="dxa"/>
          </w:tcPr>
          <w:p w:rsidR="001801E6" w:rsidRDefault="001801E6" w:rsidP="00975B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0CE9">
              <w:rPr>
                <w:rFonts w:ascii="Times New Roman" w:hAnsi="Times New Roman" w:cs="Times New Roman"/>
                <w:sz w:val="20"/>
                <w:szCs w:val="20"/>
              </w:rPr>
              <w:t xml:space="preserve">Минтрансом России не в полном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объеме перечислена субсидия </w:t>
            </w:r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ГК «</w:t>
            </w:r>
            <w:proofErr w:type="spellStart"/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Автодор</w:t>
            </w:r>
            <w:proofErr w:type="spellEnd"/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 xml:space="preserve"> на осуществление деятельности по строительству и реконструкции автомобильных дорог </w:t>
            </w:r>
            <w:r w:rsidR="00975B1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 xml:space="preserve">в размере </w:t>
            </w:r>
            <w:r w:rsidRPr="00C20CE9">
              <w:rPr>
                <w:rFonts w:ascii="Times New Roman" w:hAnsi="Times New Roman" w:cs="Times New Roman"/>
                <w:b/>
                <w:sz w:val="20"/>
                <w:szCs w:val="20"/>
              </w:rPr>
              <w:t>99,1</w:t>
            </w:r>
            <w:r w:rsidR="00AF03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C20CE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сводной бюджетной росписи (</w:t>
            </w:r>
            <w:r w:rsidRPr="006E103C">
              <w:rPr>
                <w:rFonts w:ascii="Times New Roman" w:hAnsi="Times New Roman" w:cs="Times New Roman"/>
                <w:b/>
                <w:sz w:val="20"/>
                <w:szCs w:val="20"/>
              </w:rPr>
              <w:t>77 080,5 млн. рублей</w:t>
            </w: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>), что обусловлено отсутствием положительного заключения государственной экспертизы по ряду проектов строительства (реконструкции) автомобильных дорог, переносом изъятия земельных участков на 2019 год по причине судебных разбирательств, переносом срока выполнения работ на</w:t>
            </w:r>
            <w:proofErr w:type="gramEnd"/>
            <w:r w:rsidRPr="00C20CE9">
              <w:rPr>
                <w:rFonts w:ascii="Times New Roman" w:hAnsi="Times New Roman" w:cs="Times New Roman"/>
                <w:sz w:val="20"/>
                <w:szCs w:val="20"/>
              </w:rPr>
              <w:t xml:space="preserve"> бол</w:t>
            </w:r>
            <w:r w:rsidR="00212DB2">
              <w:rPr>
                <w:rFonts w:ascii="Times New Roman" w:hAnsi="Times New Roman" w:cs="Times New Roman"/>
                <w:sz w:val="20"/>
                <w:szCs w:val="20"/>
              </w:rPr>
              <w:t>ее поздний период по причине не</w:t>
            </w: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соблюдения собственником </w:t>
            </w:r>
            <w:r w:rsidRPr="00C20C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коммуникаций (газопроводов) согласованных сроков освидетельствования работ по переустройству коммуникаци</w:t>
            </w:r>
            <w:r w:rsidR="00212DB2">
              <w:rPr>
                <w:rFonts w:ascii="Times New Roman" w:hAnsi="Times New Roman" w:cs="Times New Roman"/>
                <w:sz w:val="20"/>
                <w:szCs w:val="20"/>
              </w:rPr>
              <w:t>й и задержке производства работ</w:t>
            </w:r>
          </w:p>
        </w:tc>
        <w:tc>
          <w:tcPr>
            <w:tcW w:w="1984" w:type="dxa"/>
          </w:tcPr>
          <w:p w:rsidR="001801E6" w:rsidRPr="00563DB4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719,0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563DB4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Минтранс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1801E6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Минтрансом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России не в полном объеме (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98,7 %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) доведен имущественный взнос Российской Федерации в </w:t>
            </w:r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ГК «</w:t>
            </w:r>
            <w:proofErr w:type="spellStart"/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Автодор</w:t>
            </w:r>
            <w:proofErr w:type="spellEnd"/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(сводной бюдж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етной росписью предусмотрено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1 996,8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. рублей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) по при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 xml:space="preserve">чине </w:t>
            </w:r>
            <w:proofErr w:type="spellStart"/>
            <w:r w:rsidR="0069178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завершения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2018 году 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ряда работ по регистрации объектов автомобил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ьных дорог и земельных участков</w:t>
            </w:r>
          </w:p>
        </w:tc>
        <w:tc>
          <w:tcPr>
            <w:tcW w:w="1984" w:type="dxa"/>
          </w:tcPr>
          <w:p w:rsidR="001801E6" w:rsidRPr="00563DB4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</w:tr>
      <w:tr w:rsidR="001801E6" w:rsidRPr="00C3684F" w:rsidTr="002915BC">
        <w:tc>
          <w:tcPr>
            <w:tcW w:w="1843" w:type="dxa"/>
          </w:tcPr>
          <w:p w:rsidR="001801E6" w:rsidRPr="00563DB4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1801E6" w:rsidRDefault="001801E6" w:rsidP="00BE6C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В 2018 году субсидия </w:t>
            </w:r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ГК «ВЭБ</w:t>
            </w:r>
            <w:proofErr w:type="gramStart"/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0D3863">
              <w:rPr>
                <w:rFonts w:ascii="Times New Roman" w:hAnsi="Times New Roman" w:cs="Times New Roman"/>
                <w:b/>
                <w:sz w:val="20"/>
                <w:szCs w:val="20"/>
              </w:rPr>
              <w:t>Ф»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в сумме 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19,2 млн. рублей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не предоставлялась, соглашение о предоставлении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указанной субсидии между ГК 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«ВЭБ.РФ» и </w:t>
            </w:r>
            <w:proofErr w:type="spellStart"/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нпромторгом</w:t>
            </w:r>
            <w:proofErr w:type="spellEnd"/>
            <w:r w:rsidR="0069178D">
              <w:rPr>
                <w:rFonts w:ascii="Times New Roman" w:hAnsi="Times New Roman" w:cs="Times New Roman"/>
                <w:sz w:val="20"/>
                <w:szCs w:val="20"/>
              </w:rPr>
              <w:t xml:space="preserve"> России не заключено</w:t>
            </w:r>
          </w:p>
        </w:tc>
        <w:tc>
          <w:tcPr>
            <w:tcW w:w="1984" w:type="dxa"/>
          </w:tcPr>
          <w:p w:rsidR="001801E6" w:rsidRPr="00563DB4" w:rsidRDefault="001801E6" w:rsidP="00BE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</w:tr>
    </w:tbl>
    <w:p w:rsidR="005F459E" w:rsidRDefault="005F459E" w:rsidP="006E356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5F459E" w:rsidRDefault="005F459E" w:rsidP="006E356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6E3567" w:rsidRDefault="006E3567" w:rsidP="006E356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D076EF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3567" w:rsidRPr="007D56B2" w:rsidRDefault="006E3567" w:rsidP="007D56B2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7D56B2">
        <w:rPr>
          <w:rFonts w:ascii="Times New Roman" w:hAnsi="Times New Roman" w:cs="Times New Roman"/>
          <w:b/>
          <w:sz w:val="24"/>
          <w:szCs w:val="24"/>
        </w:rPr>
        <w:t>Информация об остатках по состоянию на 1 января 2019 года не использованных акционерными обществами взносов в их уставные капиталы</w:t>
      </w:r>
    </w:p>
    <w:p w:rsidR="006E3567" w:rsidRDefault="006E3567" w:rsidP="006E356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6E3567" w:rsidRPr="007376C8" w:rsidRDefault="006E3567" w:rsidP="006E356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379"/>
        <w:gridCol w:w="1984"/>
      </w:tblGrid>
      <w:tr w:rsidR="006E3567" w:rsidRPr="00C3684F" w:rsidTr="007C1F3D">
        <w:trPr>
          <w:tblHeader/>
        </w:trPr>
        <w:tc>
          <w:tcPr>
            <w:tcW w:w="1843" w:type="dxa"/>
            <w:vAlign w:val="center"/>
          </w:tcPr>
          <w:p w:rsidR="006E3567" w:rsidRPr="0069178D" w:rsidRDefault="006E3567" w:rsidP="007C1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78D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379" w:type="dxa"/>
            <w:vAlign w:val="center"/>
          </w:tcPr>
          <w:p w:rsidR="006E3567" w:rsidRPr="0069178D" w:rsidRDefault="006E3567" w:rsidP="006E35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7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Информация о предоставлении и </w:t>
            </w:r>
            <w:r w:rsidR="0069178D" w:rsidRPr="006917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 </w:t>
            </w:r>
            <w:r w:rsidRPr="0069178D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использовании взносов</w:t>
            </w:r>
          </w:p>
        </w:tc>
        <w:tc>
          <w:tcPr>
            <w:tcW w:w="1984" w:type="dxa"/>
            <w:vAlign w:val="center"/>
          </w:tcPr>
          <w:p w:rsidR="006E3567" w:rsidRPr="0069178D" w:rsidRDefault="006E3567" w:rsidP="006E35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178D">
              <w:rPr>
                <w:rFonts w:ascii="Times New Roman" w:hAnsi="Times New Roman" w:cs="Times New Roman"/>
                <w:b/>
                <w:sz w:val="20"/>
                <w:szCs w:val="20"/>
              </w:rPr>
              <w:t>Объем не использованных юридическими лицами взносов на 1 января 2019 года</w:t>
            </w:r>
          </w:p>
        </w:tc>
      </w:tr>
      <w:tr w:rsidR="006E3567" w:rsidRPr="00C3684F" w:rsidTr="007C1F3D">
        <w:tc>
          <w:tcPr>
            <w:tcW w:w="1843" w:type="dxa"/>
          </w:tcPr>
          <w:p w:rsidR="006E3567" w:rsidRPr="00C3684F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Минсельхоз</w:t>
            </w:r>
            <w:r w:rsidRPr="00963AF7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6E3567" w:rsidRPr="00C3684F" w:rsidRDefault="006E3567" w:rsidP="007C1F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В связи с поздним заключением договора о предоставлении бюджетных инвестиций между Минсельхозом России и АО «</w:t>
            </w:r>
            <w:proofErr w:type="spellStart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Росагролизинг</w:t>
            </w:r>
            <w:proofErr w:type="spellEnd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» (заключен 24 декабря 2018 год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взнос в уставный капитал АО </w:t>
            </w:r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Росагролизинг</w:t>
            </w:r>
            <w:proofErr w:type="spellEnd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 xml:space="preserve">» в сумме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</w:t>
            </w:r>
            <w:r w:rsidRPr="00963AF7">
              <w:rPr>
                <w:rFonts w:ascii="Times New Roman" w:hAnsi="Times New Roman" w:cs="Times New Roman"/>
                <w:b/>
                <w:sz w:val="20"/>
                <w:szCs w:val="20"/>
              </w:rPr>
              <w:t>000,0 млн. рублей</w:t>
            </w:r>
            <w:r w:rsidRPr="00963AF7">
              <w:rPr>
                <w:rFonts w:ascii="Times New Roman" w:hAnsi="Times New Roman" w:cs="Times New Roman"/>
                <w:sz w:val="20"/>
                <w:szCs w:val="20"/>
              </w:rPr>
              <w:t xml:space="preserve"> был перечислен только 27 декабря 2018 года,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результате на лицевом счете АО </w:t>
            </w:r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Росагролизинг</w:t>
            </w:r>
            <w:proofErr w:type="spellEnd"/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» на 1 января 2019 года образов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ался остаток средств в объеме 4 000,0 млн</w:t>
            </w:r>
            <w:proofErr w:type="gramEnd"/>
            <w:r w:rsidR="0069178D">
              <w:rPr>
                <w:rFonts w:ascii="Times New Roman" w:hAnsi="Times New Roman" w:cs="Times New Roman"/>
                <w:sz w:val="20"/>
                <w:szCs w:val="20"/>
              </w:rPr>
              <w:t>. рублей</w:t>
            </w:r>
          </w:p>
        </w:tc>
        <w:tc>
          <w:tcPr>
            <w:tcW w:w="1984" w:type="dxa"/>
          </w:tcPr>
          <w:p w:rsidR="006E3567" w:rsidRPr="00C3684F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AF7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</w:tr>
      <w:tr w:rsidR="006E3567" w:rsidRPr="00C3684F" w:rsidTr="007C1F3D">
        <w:tc>
          <w:tcPr>
            <w:tcW w:w="1843" w:type="dxa"/>
          </w:tcPr>
          <w:p w:rsidR="006E3567" w:rsidRPr="00C3684F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9" w:type="dxa"/>
          </w:tcPr>
          <w:p w:rsidR="006E3567" w:rsidRDefault="006E3567" w:rsidP="007C1F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о состоянию на 1 января 2019 года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не использованы взносы в уставный капитал АО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, перечисленные ГК «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» в последние рабочие дни 2018 года, в сумме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711,5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что составляет 52,6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% общего объема предоставленных ГК «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» взносов в 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ставные капиталы АО в 2018 году.</w:t>
            </w:r>
          </w:p>
          <w:p w:rsidR="006E3567" w:rsidRPr="00C3684F" w:rsidRDefault="006E3567" w:rsidP="005266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данным 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втоматизированной си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стемы Федерального казначейства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 по сос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тоянию на 1 января 2019 года АО</w:t>
            </w:r>
            <w:r w:rsidR="002B5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«Информационные спутниковые системы» имени академика 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М.Ф.Решетнёва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», АО</w:t>
            </w:r>
            <w:r w:rsidR="002B5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«Научно-производс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твенное предприятие «Квант», 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«Научно-производственное пред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приятие «Геофизика-Космос» и 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«Научно-производственная корпорация «Космические системы мониторинга, информационно-управляющие и электромеханические комплексы» имени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178D">
              <w:rPr>
                <w:rFonts w:ascii="Times New Roman" w:hAnsi="Times New Roman" w:cs="Times New Roman"/>
                <w:sz w:val="20"/>
                <w:szCs w:val="20"/>
              </w:rPr>
              <w:t>А.Г.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Иосифьяна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АО</w:t>
            </w:r>
            <w:r w:rsidR="002B5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«Научно-исследовательский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электромеханики», ПАО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«Ракетно-космическая корпорация «Энергия» имени 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С.П.Королева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 не использованы взно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уставный капитал в сумме 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1 337,5 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677,3 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225,0 млн. рублей</w:t>
            </w:r>
            <w:r w:rsidR="0052663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588,2</w:t>
            </w:r>
            <w:r w:rsidR="002B531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455,0 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428,5</w:t>
            </w:r>
            <w:r w:rsidR="0052663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>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соответственно, перечисленные ГК «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 на их счета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лько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 xml:space="preserve"> 27</w:t>
            </w:r>
            <w:r w:rsidR="002B5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9178D">
              <w:rPr>
                <w:rFonts w:ascii="Times New Roman" w:hAnsi="Times New Roman" w:cs="Times New Roman"/>
                <w:sz w:val="20"/>
                <w:szCs w:val="20"/>
              </w:rPr>
              <w:t>и 28</w:t>
            </w:r>
            <w:r w:rsidR="005266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bookmarkStart w:id="0" w:name="_GoBack"/>
            <w:bookmarkEnd w:id="0"/>
            <w:r w:rsidR="0069178D">
              <w:rPr>
                <w:rFonts w:ascii="Times New Roman" w:hAnsi="Times New Roman" w:cs="Times New Roman"/>
                <w:sz w:val="20"/>
                <w:szCs w:val="20"/>
              </w:rPr>
              <w:t>декабря 2018 года</w:t>
            </w:r>
            <w:proofErr w:type="gramEnd"/>
          </w:p>
        </w:tc>
        <w:tc>
          <w:tcPr>
            <w:tcW w:w="1984" w:type="dxa"/>
          </w:tcPr>
          <w:p w:rsidR="006E3567" w:rsidRPr="00C3684F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3 711,5</w:t>
            </w:r>
          </w:p>
        </w:tc>
      </w:tr>
      <w:tr w:rsidR="006E3567" w:rsidRPr="00C3684F" w:rsidTr="007C1F3D">
        <w:tc>
          <w:tcPr>
            <w:tcW w:w="1843" w:type="dxa"/>
          </w:tcPr>
          <w:p w:rsidR="006E3567" w:rsidRPr="00C3684F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Минкомсвяз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6E3567" w:rsidRPr="008D404E" w:rsidRDefault="006E3567" w:rsidP="007C1F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редства в размере </w:t>
            </w:r>
            <w:r w:rsidRPr="008D404E">
              <w:rPr>
                <w:rFonts w:ascii="Times New Roman" w:hAnsi="Times New Roman" w:cs="Times New Roman"/>
                <w:b/>
                <w:sz w:val="20"/>
                <w:szCs w:val="20"/>
              </w:rPr>
              <w:t>1 000,0 млн. рублей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предусмотренные Федеральным законом № 362-ФЗ </w:t>
            </w: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Минкомсвязи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 России на 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взноса в уставный капитал АО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Хайпарк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 Санкт-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Петербургского национального исследовательского университета информационных технологий, механики и оптики» (далее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 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«ИТМО </w:t>
            </w:r>
            <w:proofErr w:type="spellStart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Хайпарк</w:t>
            </w:r>
            <w:proofErr w:type="spellEnd"/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поступили на лицевые счета АО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«ИТМО </w:t>
            </w: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Хайпарк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УФК по г. Санкт-Петербургу 29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декабря 2018 года в соответствии с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говором от 26 декабря 2018 г. №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01-08</w:t>
            </w:r>
            <w:proofErr w:type="gram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/261.</w:t>
            </w:r>
          </w:p>
          <w:p w:rsidR="006E3567" w:rsidRPr="00C3684F" w:rsidRDefault="006E3567" w:rsidP="00AF03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Согласно данным автоматизированной системы Федерального казначейства по состоянию на 1 янва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 2019 года средства в сумме 1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000,0 млн. рублей находились на лицевом счете АО «ИТМО </w:t>
            </w: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Хайпарк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» в УФК по г. Санкт-Петербургу и не использовались на цели предоставления взноса. Аналогичная ситуация наблюдалась по итогам 2017 года, когда АО «ИТМО </w:t>
            </w: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Хайпарк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» по состоянию на 1 января 2018</w:t>
            </w:r>
            <w:r w:rsidR="00AF0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года не были использованы средства фед</w:t>
            </w:r>
            <w:r w:rsidR="00AF031C">
              <w:rPr>
                <w:rFonts w:ascii="Times New Roman" w:hAnsi="Times New Roman" w:cs="Times New Roman"/>
                <w:sz w:val="20"/>
                <w:szCs w:val="20"/>
              </w:rPr>
              <w:t>ерального бюджета в сумме 321,0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млн. рублей, которые по состоянию на 1 января 2019 года также находились на лицевом счете АО «ИТМО </w:t>
            </w:r>
            <w:proofErr w:type="spell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Хайпарк</w:t>
            </w:r>
            <w:proofErr w:type="spellEnd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» в УФК по г.</w:t>
            </w:r>
            <w:r w:rsidR="00AF0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4608F">
              <w:rPr>
                <w:rFonts w:ascii="Times New Roman" w:hAnsi="Times New Roman" w:cs="Times New Roman"/>
                <w:sz w:val="20"/>
                <w:szCs w:val="20"/>
              </w:rPr>
              <w:t>Санкт-Петербургу</w:t>
            </w:r>
          </w:p>
        </w:tc>
        <w:tc>
          <w:tcPr>
            <w:tcW w:w="1984" w:type="dxa"/>
          </w:tcPr>
          <w:p w:rsidR="006E3567" w:rsidRPr="00C3684F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1 000,0</w:t>
            </w:r>
          </w:p>
        </w:tc>
      </w:tr>
      <w:tr w:rsidR="006E3567" w:rsidRPr="00C3684F" w:rsidTr="007C1F3D">
        <w:tc>
          <w:tcPr>
            <w:tcW w:w="1843" w:type="dxa"/>
          </w:tcPr>
          <w:p w:rsidR="006E3567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1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Минприроды России</w:t>
            </w:r>
          </w:p>
        </w:tc>
        <w:tc>
          <w:tcPr>
            <w:tcW w:w="6379" w:type="dxa"/>
          </w:tcPr>
          <w:p w:rsidR="006E3567" w:rsidRPr="00B3542E" w:rsidRDefault="006E3567" w:rsidP="00AF03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710C">
              <w:rPr>
                <w:rFonts w:ascii="Times New Roman" w:hAnsi="Times New Roman" w:cs="Times New Roman"/>
                <w:b/>
                <w:sz w:val="20"/>
                <w:szCs w:val="20"/>
              </w:rPr>
              <w:t>Перечисление взноса</w:t>
            </w:r>
            <w:r w:rsidRPr="004A710C">
              <w:rPr>
                <w:rFonts w:ascii="Times New Roman" w:hAnsi="Times New Roman" w:cs="Times New Roman"/>
                <w:sz w:val="20"/>
                <w:szCs w:val="20"/>
              </w:rPr>
              <w:t xml:space="preserve"> в сумме </w:t>
            </w:r>
            <w:r w:rsidRPr="004A710C">
              <w:rPr>
                <w:rFonts w:ascii="Times New Roman" w:hAnsi="Times New Roman" w:cs="Times New Roman"/>
                <w:b/>
                <w:sz w:val="20"/>
                <w:szCs w:val="20"/>
              </w:rPr>
              <w:t>716,9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лицевой счет </w:t>
            </w:r>
            <w:r w:rsidRPr="004A710C">
              <w:rPr>
                <w:rFonts w:ascii="Times New Roman" w:hAnsi="Times New Roman" w:cs="Times New Roman"/>
                <w:b/>
                <w:sz w:val="20"/>
                <w:szCs w:val="20"/>
              </w:rPr>
              <w:t>АО «</w:t>
            </w:r>
            <w:proofErr w:type="spellStart"/>
            <w:r w:rsidRPr="004A710C">
              <w:rPr>
                <w:rFonts w:ascii="Times New Roman" w:hAnsi="Times New Roman" w:cs="Times New Roman"/>
                <w:b/>
                <w:sz w:val="20"/>
                <w:szCs w:val="20"/>
              </w:rPr>
              <w:t>Росгеология</w:t>
            </w:r>
            <w:proofErr w:type="spellEnd"/>
            <w:r w:rsidRPr="004A710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4A710C">
              <w:rPr>
                <w:rFonts w:ascii="Times New Roman" w:hAnsi="Times New Roman" w:cs="Times New Roman"/>
                <w:sz w:val="20"/>
                <w:szCs w:val="20"/>
              </w:rPr>
              <w:t xml:space="preserve"> с лицевого счета Минприроды России (платежное поручение от 26 декабря 2018 г. № 816975) в соответствии с соглашением от 24 декабря 2018 г. № 01-09/256 </w:t>
            </w:r>
            <w:r w:rsidRPr="004A710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осуществлено до принятия постановления Правительства Российской Федерации</w:t>
            </w:r>
            <w:r w:rsidRPr="004A710C">
              <w:rPr>
                <w:rFonts w:ascii="Times New Roman" w:hAnsi="Times New Roman" w:cs="Times New Roman"/>
                <w:sz w:val="20"/>
                <w:szCs w:val="20"/>
              </w:rPr>
              <w:t xml:space="preserve"> от 28 декабря 2018 г. № 1700 «О предоставлении в 2018 году акционерному обществу «</w:t>
            </w:r>
            <w:proofErr w:type="spellStart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Росгеология</w:t>
            </w:r>
            <w:proofErr w:type="spellEnd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» бюджетных инвестиций из</w:t>
            </w:r>
            <w:proofErr w:type="gramEnd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бюджета», предусматривающег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предоставление в 2018</w:t>
            </w:r>
            <w:r w:rsidR="00AF03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году АО </w:t>
            </w:r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Росгеология</w:t>
            </w:r>
            <w:proofErr w:type="spellEnd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» бюджетных инвестиций за счет средств федерального бюджета в размере 716,9 млн. рублей в виде взноса Российской Федерации в уставный капитал указанного акционерного общества в целях финансирования модернизации устаревшего парка бурового оборудования современными буровыми установками отечественного производства. АО «</w:t>
            </w:r>
            <w:proofErr w:type="spellStart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Росгеология</w:t>
            </w:r>
            <w:proofErr w:type="spellEnd"/>
            <w:r w:rsidRPr="004A710C">
              <w:rPr>
                <w:rFonts w:ascii="Times New Roman" w:hAnsi="Times New Roman" w:cs="Times New Roman"/>
                <w:sz w:val="20"/>
                <w:szCs w:val="20"/>
              </w:rPr>
              <w:t>» средства в сумме 716,9 млн. рублей, источником которых являлся взнос в уставный капитал акционерного общества, осуществленный Минприроды России</w:t>
            </w:r>
            <w:r w:rsidR="0084608F">
              <w:rPr>
                <w:rFonts w:ascii="Times New Roman" w:hAnsi="Times New Roman" w:cs="Times New Roman"/>
                <w:sz w:val="20"/>
                <w:szCs w:val="20"/>
              </w:rPr>
              <w:t>, израсходованы в полном объеме</w:t>
            </w:r>
          </w:p>
        </w:tc>
        <w:tc>
          <w:tcPr>
            <w:tcW w:w="1984" w:type="dxa"/>
          </w:tcPr>
          <w:p w:rsidR="006E3567" w:rsidRDefault="006E3567" w:rsidP="007C1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3567" w:rsidRPr="009576AA" w:rsidRDefault="006E3567" w:rsidP="006E35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6E3567" w:rsidRPr="009576AA" w:rsidSect="00AF031C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E4" w:rsidRDefault="004467E4" w:rsidP="00E15C89">
      <w:pPr>
        <w:spacing w:after="0" w:line="240" w:lineRule="auto"/>
      </w:pPr>
      <w:r>
        <w:separator/>
      </w:r>
    </w:p>
  </w:endnote>
  <w:endnote w:type="continuationSeparator" w:id="0">
    <w:p w:rsidR="004467E4" w:rsidRDefault="004467E4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E4" w:rsidRDefault="004467E4" w:rsidP="00E15C89">
      <w:pPr>
        <w:spacing w:after="0" w:line="240" w:lineRule="auto"/>
      </w:pPr>
      <w:r>
        <w:separator/>
      </w:r>
    </w:p>
  </w:footnote>
  <w:footnote w:type="continuationSeparator" w:id="0">
    <w:p w:rsidR="004467E4" w:rsidRDefault="004467E4" w:rsidP="00E15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526638">
          <w:rPr>
            <w:rFonts w:ascii="Times New Roman" w:hAnsi="Times New Roman" w:cs="Times New Roman"/>
            <w:noProof/>
          </w:rPr>
          <w:t>4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5CBA"/>
    <w:rsid w:val="00055D23"/>
    <w:rsid w:val="00085775"/>
    <w:rsid w:val="000A22CD"/>
    <w:rsid w:val="000C7448"/>
    <w:rsid w:val="000F5265"/>
    <w:rsid w:val="001801E6"/>
    <w:rsid w:val="001B5975"/>
    <w:rsid w:val="001E3B55"/>
    <w:rsid w:val="001F4524"/>
    <w:rsid w:val="00212DB2"/>
    <w:rsid w:val="002915BC"/>
    <w:rsid w:val="00294581"/>
    <w:rsid w:val="002B531C"/>
    <w:rsid w:val="002F0959"/>
    <w:rsid w:val="00325FFC"/>
    <w:rsid w:val="00326F3E"/>
    <w:rsid w:val="004467E4"/>
    <w:rsid w:val="00484577"/>
    <w:rsid w:val="00484E17"/>
    <w:rsid w:val="004C585A"/>
    <w:rsid w:val="004E62FA"/>
    <w:rsid w:val="00526638"/>
    <w:rsid w:val="00534DBC"/>
    <w:rsid w:val="00591644"/>
    <w:rsid w:val="005A6BCF"/>
    <w:rsid w:val="005F459E"/>
    <w:rsid w:val="005F655F"/>
    <w:rsid w:val="006248EF"/>
    <w:rsid w:val="00657994"/>
    <w:rsid w:val="0069178D"/>
    <w:rsid w:val="006C2491"/>
    <w:rsid w:val="006D372B"/>
    <w:rsid w:val="006E3567"/>
    <w:rsid w:val="006E7BCA"/>
    <w:rsid w:val="007064D4"/>
    <w:rsid w:val="007100A4"/>
    <w:rsid w:val="007376C8"/>
    <w:rsid w:val="00766BC0"/>
    <w:rsid w:val="007A5F9E"/>
    <w:rsid w:val="007B2F21"/>
    <w:rsid w:val="007D56B2"/>
    <w:rsid w:val="007F3ED5"/>
    <w:rsid w:val="00832282"/>
    <w:rsid w:val="0084608F"/>
    <w:rsid w:val="008B582E"/>
    <w:rsid w:val="008C69FD"/>
    <w:rsid w:val="009576AA"/>
    <w:rsid w:val="00975B1D"/>
    <w:rsid w:val="009B7E8B"/>
    <w:rsid w:val="00A258C6"/>
    <w:rsid w:val="00A34FA9"/>
    <w:rsid w:val="00A35541"/>
    <w:rsid w:val="00AA1D4A"/>
    <w:rsid w:val="00AB7695"/>
    <w:rsid w:val="00AF031C"/>
    <w:rsid w:val="00B051C4"/>
    <w:rsid w:val="00B707D3"/>
    <w:rsid w:val="00BD177B"/>
    <w:rsid w:val="00BD27F5"/>
    <w:rsid w:val="00C0705F"/>
    <w:rsid w:val="00C115C4"/>
    <w:rsid w:val="00C2588A"/>
    <w:rsid w:val="00C3684F"/>
    <w:rsid w:val="00C46E83"/>
    <w:rsid w:val="00D076EF"/>
    <w:rsid w:val="00DC5D7B"/>
    <w:rsid w:val="00DE4A82"/>
    <w:rsid w:val="00E15C89"/>
    <w:rsid w:val="00E467E3"/>
    <w:rsid w:val="00E62841"/>
    <w:rsid w:val="00E65A65"/>
    <w:rsid w:val="00EA533A"/>
    <w:rsid w:val="00FA1C51"/>
    <w:rsid w:val="00FD7026"/>
    <w:rsid w:val="00FF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2613</Words>
  <Characters>14897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Березкин Д.И.</cp:lastModifiedBy>
  <cp:revision>75</cp:revision>
  <cp:lastPrinted>2019-02-12T13:22:00Z</cp:lastPrinted>
  <dcterms:created xsi:type="dcterms:W3CDTF">2019-02-04T08:26:00Z</dcterms:created>
  <dcterms:modified xsi:type="dcterms:W3CDTF">2019-02-15T14:10:00Z</dcterms:modified>
</cp:coreProperties>
</file>