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50" w:rsidRPr="00687F36" w:rsidRDefault="00785577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 xml:space="preserve">Приложение № </w:t>
      </w:r>
      <w:r w:rsidR="00B26B42" w:rsidRPr="00687F36">
        <w:rPr>
          <w:color w:val="000000" w:themeColor="text1"/>
          <w:sz w:val="24"/>
          <w:szCs w:val="24"/>
        </w:rPr>
        <w:t>1</w:t>
      </w:r>
      <w:r w:rsidR="005A6239">
        <w:rPr>
          <w:color w:val="000000" w:themeColor="text1"/>
          <w:sz w:val="24"/>
          <w:szCs w:val="24"/>
        </w:rPr>
        <w:t>4</w:t>
      </w:r>
    </w:p>
    <w:p w:rsidR="001C6950" w:rsidRPr="00687F36" w:rsidRDefault="006D65E1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>к аналитической записке</w:t>
      </w:r>
    </w:p>
    <w:p w:rsidR="006D65E1" w:rsidRPr="00687F36" w:rsidRDefault="006D65E1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:rsidR="00B83930" w:rsidRPr="004C3CA8" w:rsidRDefault="00B83930" w:rsidP="001A4E3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4C3CA8">
        <w:rPr>
          <w:b/>
          <w:color w:val="000000" w:themeColor="text1"/>
          <w:sz w:val="24"/>
          <w:szCs w:val="24"/>
        </w:rPr>
        <w:t xml:space="preserve">Анализ </w:t>
      </w:r>
      <w:r w:rsidR="00151CFB">
        <w:rPr>
          <w:b/>
          <w:color w:val="000000" w:themeColor="text1"/>
          <w:sz w:val="24"/>
          <w:szCs w:val="24"/>
        </w:rPr>
        <w:t>вы</w:t>
      </w:r>
      <w:r w:rsidR="001A4E3F" w:rsidRPr="004C3CA8">
        <w:rPr>
          <w:b/>
          <w:color w:val="000000" w:themeColor="text1"/>
          <w:sz w:val="24"/>
          <w:szCs w:val="24"/>
        </w:rPr>
        <w:t>полнения Программы государственных внутренних заимствований Российской Федерации на 2018 год и на плановый период 2019 и 2020 годов</w:t>
      </w:r>
    </w:p>
    <w:p w:rsidR="00B83930" w:rsidRPr="00687F36" w:rsidRDefault="00B83930" w:rsidP="00B83930">
      <w:pPr>
        <w:widowControl w:val="0"/>
        <w:spacing w:line="240" w:lineRule="auto"/>
        <w:ind w:left="0" w:right="0"/>
        <w:rPr>
          <w:rFonts w:eastAsia="Times New Roman"/>
          <w:b/>
          <w:color w:val="000000" w:themeColor="text1"/>
          <w:sz w:val="24"/>
          <w:szCs w:val="24"/>
        </w:rPr>
      </w:pPr>
    </w:p>
    <w:p w:rsidR="001A4E3F" w:rsidRPr="00687F36" w:rsidRDefault="001A4E3F" w:rsidP="001A4E3F">
      <w:pPr>
        <w:widowControl w:val="0"/>
        <w:spacing w:line="336" w:lineRule="auto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b/>
          <w:color w:val="000000" w:themeColor="text1"/>
          <w:sz w:val="24"/>
          <w:szCs w:val="24"/>
        </w:rPr>
        <w:t xml:space="preserve">Программа государственных внутренних заимствований Российской Федерации 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на 2018 год и на плановый период 2019 и 2020 годов в части 2018 года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выполнена на 76,7 %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с учетом статьи 113 Бюджетного кодекса Российской Федерации, по привлечению средств за счет размещения государственных ценных бумаг - на 86,9 %, по погашению – на 99,6 %. </w:t>
      </w:r>
    </w:p>
    <w:p w:rsidR="00B83930" w:rsidRPr="00687F36" w:rsidRDefault="00B83930" w:rsidP="00B83930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 xml:space="preserve">Информация об объемах привлечения государственных ценных бумаг в валюте Российской Федерации с учетом статьи 113 Бюджетного кодекса Российской Федерации, а также сальдо размещения и погашения основного долга по ним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по месяцам 2018 года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представлена на следующей диаграмме.</w:t>
      </w:r>
    </w:p>
    <w:p w:rsidR="00B83930" w:rsidRPr="00687F36" w:rsidRDefault="008369ED" w:rsidP="002F2973">
      <w:pPr>
        <w:widowControl w:val="0"/>
        <w:ind w:left="-709" w:right="0" w:firstLine="0"/>
        <w:jc w:val="center"/>
        <w:rPr>
          <w:color w:val="000000" w:themeColor="text1"/>
          <w:sz w:val="24"/>
          <w:szCs w:val="24"/>
        </w:rPr>
      </w:pPr>
      <w:r w:rsidRPr="00687F36">
        <w:rPr>
          <w:noProof/>
          <w:color w:val="000000" w:themeColor="text1"/>
          <w:sz w:val="24"/>
          <w:szCs w:val="24"/>
        </w:rPr>
        <w:drawing>
          <wp:inline distT="0" distB="0" distL="0" distR="0" wp14:anchorId="516B735C" wp14:editId="22356B03">
            <wp:extent cx="6486525" cy="2438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3930" w:rsidRPr="00687F36" w:rsidRDefault="00B83930" w:rsidP="00B83930">
      <w:pPr>
        <w:spacing w:line="336" w:lineRule="auto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>Динамика доходности в 2018 году представлена на следующей диаграмме.</w:t>
      </w:r>
    </w:p>
    <w:p w:rsidR="00B83930" w:rsidRPr="00687F36" w:rsidRDefault="008369ED" w:rsidP="002F2973">
      <w:pPr>
        <w:widowControl w:val="0"/>
        <w:ind w:left="0" w:right="0" w:firstLine="0"/>
        <w:jc w:val="center"/>
        <w:rPr>
          <w:color w:val="000000" w:themeColor="text1"/>
          <w:sz w:val="24"/>
          <w:szCs w:val="24"/>
        </w:rPr>
      </w:pPr>
      <w:r w:rsidRPr="00687F36">
        <w:rPr>
          <w:noProof/>
          <w:color w:val="000000" w:themeColor="text1"/>
          <w:sz w:val="24"/>
          <w:szCs w:val="24"/>
        </w:rPr>
        <w:drawing>
          <wp:inline distT="0" distB="0" distL="0" distR="0" wp14:anchorId="544BAA9C" wp14:editId="75DD0A5F">
            <wp:extent cx="5937885" cy="192659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3930" w:rsidRPr="00687F36" w:rsidRDefault="00B83930" w:rsidP="00B83930">
      <w:pPr>
        <w:widowControl w:val="0"/>
        <w:spacing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 xml:space="preserve">Доходность по </w:t>
      </w:r>
      <w:r w:rsidRPr="00687F36">
        <w:rPr>
          <w:b/>
          <w:color w:val="000000" w:themeColor="text1"/>
          <w:sz w:val="24"/>
          <w:szCs w:val="24"/>
        </w:rPr>
        <w:t>ОФЗ-ПД</w:t>
      </w:r>
      <w:r w:rsidRPr="00687F36">
        <w:rPr>
          <w:color w:val="000000" w:themeColor="text1"/>
          <w:sz w:val="24"/>
          <w:szCs w:val="24"/>
        </w:rPr>
        <w:t xml:space="preserve"> составила от 6,55 % до 8,84 % годовых, что ниже доходности за соответствующий период 2016 года (от 8,05 % до 10,74 % годовых)</w:t>
      </w:r>
      <w:r w:rsidR="00151CFB">
        <w:rPr>
          <w:color w:val="000000" w:themeColor="text1"/>
          <w:sz w:val="24"/>
          <w:szCs w:val="24"/>
        </w:rPr>
        <w:t>,</w:t>
      </w:r>
      <w:r w:rsidRPr="00687F36">
        <w:rPr>
          <w:color w:val="000000" w:themeColor="text1"/>
          <w:sz w:val="24"/>
          <w:szCs w:val="24"/>
        </w:rPr>
        <w:t xml:space="preserve"> и сопоставим</w:t>
      </w:r>
      <w:r w:rsidR="008369ED" w:rsidRPr="00687F36">
        <w:rPr>
          <w:color w:val="000000" w:themeColor="text1"/>
          <w:sz w:val="24"/>
          <w:szCs w:val="24"/>
        </w:rPr>
        <w:t>а</w:t>
      </w:r>
      <w:r w:rsidRPr="00687F36">
        <w:rPr>
          <w:color w:val="000000" w:themeColor="text1"/>
          <w:sz w:val="24"/>
          <w:szCs w:val="24"/>
        </w:rPr>
        <w:t xml:space="preserve"> с доходностью в 2017 году (от 6,90 % до 8,59 % годовых).</w:t>
      </w:r>
    </w:p>
    <w:p w:rsidR="00B83930" w:rsidRPr="00687F36" w:rsidRDefault="00B83930" w:rsidP="00151CFB">
      <w:pPr>
        <w:widowControl w:val="0"/>
        <w:spacing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 xml:space="preserve">В 2018 году проведено </w:t>
      </w:r>
      <w:r w:rsidRPr="00687F36">
        <w:rPr>
          <w:b/>
          <w:color w:val="000000" w:themeColor="text1"/>
          <w:sz w:val="24"/>
          <w:szCs w:val="24"/>
        </w:rPr>
        <w:t xml:space="preserve">5 аукционов </w:t>
      </w:r>
      <w:r w:rsidRPr="00687F36">
        <w:rPr>
          <w:color w:val="000000" w:themeColor="text1"/>
          <w:sz w:val="24"/>
          <w:szCs w:val="24"/>
        </w:rPr>
        <w:t>по размещению</w:t>
      </w:r>
      <w:r w:rsidRPr="00687F36">
        <w:rPr>
          <w:b/>
          <w:color w:val="000000" w:themeColor="text1"/>
          <w:sz w:val="24"/>
          <w:szCs w:val="24"/>
        </w:rPr>
        <w:t xml:space="preserve"> ОФЗ-ПК</w:t>
      </w:r>
      <w:r w:rsidRPr="00687F36">
        <w:rPr>
          <w:color w:val="000000" w:themeColor="text1"/>
          <w:sz w:val="24"/>
          <w:szCs w:val="24"/>
        </w:rPr>
        <w:t xml:space="preserve">, доходность по которым составила от 7,32 % до 8,30 % годовых, что ниже </w:t>
      </w:r>
      <w:r w:rsidR="00151CFB">
        <w:rPr>
          <w:color w:val="000000" w:themeColor="text1"/>
          <w:sz w:val="24"/>
          <w:szCs w:val="24"/>
        </w:rPr>
        <w:t>аналогичной</w:t>
      </w:r>
      <w:r w:rsidRPr="00687F36">
        <w:rPr>
          <w:color w:val="000000" w:themeColor="text1"/>
          <w:sz w:val="24"/>
          <w:szCs w:val="24"/>
        </w:rPr>
        <w:t xml:space="preserve"> доходности 2016 года (от 10,02 % до 14,44 % годовых) и 2017 года (от 9,41 % до 10,48 % годовых).</w:t>
      </w:r>
    </w:p>
    <w:p w:rsidR="00B83930" w:rsidRPr="00687F36" w:rsidRDefault="00B83930" w:rsidP="00151CFB">
      <w:pPr>
        <w:spacing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>Доходность облигаций федерального займа с индексируемым номиналом</w:t>
      </w:r>
      <w:r w:rsidRPr="00687F36">
        <w:rPr>
          <w:rStyle w:val="a8"/>
          <w:color w:val="000000" w:themeColor="text1"/>
          <w:sz w:val="24"/>
          <w:szCs w:val="24"/>
        </w:rPr>
        <w:footnoteReference w:id="1"/>
      </w:r>
      <w:r w:rsidRPr="00687F36">
        <w:rPr>
          <w:color w:val="000000" w:themeColor="text1"/>
          <w:sz w:val="24"/>
          <w:szCs w:val="24"/>
        </w:rPr>
        <w:t xml:space="preserve"> (далее – ОФЗ-ИН), размещенных в 2018 году на общую сумму 77 734,3 млн. рублей по номинальной стоимости, по средн</w:t>
      </w:r>
      <w:r w:rsidR="00760604">
        <w:rPr>
          <w:color w:val="000000" w:themeColor="text1"/>
          <w:sz w:val="24"/>
          <w:szCs w:val="24"/>
        </w:rPr>
        <w:t>евзвешенной цене составила 2,89 - 3,42 </w:t>
      </w:r>
      <w:r w:rsidRPr="00687F36">
        <w:rPr>
          <w:color w:val="000000" w:themeColor="text1"/>
          <w:sz w:val="24"/>
          <w:szCs w:val="24"/>
        </w:rPr>
        <w:t>% годовых (в 2017 году ОФЗ-ИН эмитентом не размещались) и сложилась выше уровня доходности ОФЗ-ИН в 2016 году (от 2,47 % до 2,64 % годовых).</w:t>
      </w:r>
    </w:p>
    <w:p w:rsidR="00B83930" w:rsidRPr="00687F36" w:rsidRDefault="00B83930" w:rsidP="00B83930">
      <w:pPr>
        <w:widowControl w:val="0"/>
        <w:spacing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>Размещение ОФЗ-АД на аукционах в 2018 году не осуществлялось.</w:t>
      </w:r>
    </w:p>
    <w:p w:rsidR="00B83930" w:rsidRPr="00687F36" w:rsidRDefault="00B83930" w:rsidP="00B83930">
      <w:pPr>
        <w:spacing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b/>
          <w:color w:val="000000" w:themeColor="text1"/>
          <w:sz w:val="24"/>
          <w:szCs w:val="24"/>
        </w:rPr>
        <w:t>В условиях ухудшения рыночной конъюнктуры</w:t>
      </w:r>
      <w:r w:rsidRPr="00687F36">
        <w:rPr>
          <w:color w:val="000000" w:themeColor="text1"/>
          <w:sz w:val="24"/>
          <w:szCs w:val="24"/>
        </w:rPr>
        <w:t xml:space="preserve"> с апреля по сентябрь текущего года</w:t>
      </w:r>
      <w:r w:rsidRPr="00687F36">
        <w:rPr>
          <w:b/>
          <w:color w:val="000000" w:themeColor="text1"/>
          <w:sz w:val="24"/>
          <w:szCs w:val="24"/>
        </w:rPr>
        <w:t xml:space="preserve"> </w:t>
      </w:r>
      <w:r w:rsidRPr="00687F36">
        <w:rPr>
          <w:color w:val="000000" w:themeColor="text1"/>
          <w:sz w:val="24"/>
          <w:szCs w:val="24"/>
        </w:rPr>
        <w:t xml:space="preserve">Минфином России в целях содействия дальнейшей стабилизации ситуации на долговом рынке </w:t>
      </w:r>
      <w:r w:rsidRPr="00687F36">
        <w:rPr>
          <w:b/>
          <w:color w:val="000000" w:themeColor="text1"/>
          <w:sz w:val="24"/>
          <w:szCs w:val="24"/>
        </w:rPr>
        <w:t>5 раз отменялись</w:t>
      </w:r>
      <w:r w:rsidRPr="00687F36">
        <w:rPr>
          <w:color w:val="000000" w:themeColor="text1"/>
          <w:sz w:val="24"/>
          <w:szCs w:val="24"/>
        </w:rPr>
        <w:t xml:space="preserve"> аукционы по размещению ОФЗ, </w:t>
      </w:r>
      <w:r w:rsidRPr="00687F36">
        <w:rPr>
          <w:b/>
          <w:color w:val="000000" w:themeColor="text1"/>
          <w:sz w:val="24"/>
          <w:szCs w:val="24"/>
        </w:rPr>
        <w:t>аукцион,</w:t>
      </w:r>
      <w:r w:rsidRPr="00687F36">
        <w:rPr>
          <w:color w:val="000000" w:themeColor="text1"/>
          <w:sz w:val="24"/>
          <w:szCs w:val="24"/>
        </w:rPr>
        <w:t xml:space="preserve"> </w:t>
      </w:r>
      <w:r w:rsidRPr="00687F36">
        <w:rPr>
          <w:b/>
          <w:color w:val="000000" w:themeColor="text1"/>
          <w:sz w:val="24"/>
          <w:szCs w:val="24"/>
        </w:rPr>
        <w:t xml:space="preserve">проводившийся 5 сентября 2018 года, признан несостоявшимся </w:t>
      </w:r>
      <w:r w:rsidRPr="00687F36">
        <w:rPr>
          <w:color w:val="000000" w:themeColor="text1"/>
          <w:sz w:val="24"/>
          <w:szCs w:val="24"/>
        </w:rPr>
        <w:t xml:space="preserve">в связи с резко возросшей волатильностью на финансовом рынке, </w:t>
      </w:r>
      <w:r w:rsidRPr="00687F36">
        <w:rPr>
          <w:b/>
          <w:color w:val="000000" w:themeColor="text1"/>
          <w:sz w:val="24"/>
          <w:szCs w:val="24"/>
        </w:rPr>
        <w:t>аукционы, проводившиеся 3 октября 2018 года и</w:t>
      </w:r>
      <w:r w:rsidRPr="00687F36">
        <w:rPr>
          <w:color w:val="000000" w:themeColor="text1"/>
          <w:sz w:val="24"/>
          <w:szCs w:val="24"/>
        </w:rPr>
        <w:t xml:space="preserve"> </w:t>
      </w:r>
      <w:r w:rsidRPr="00687F36">
        <w:rPr>
          <w:b/>
          <w:color w:val="000000" w:themeColor="text1"/>
          <w:sz w:val="24"/>
          <w:szCs w:val="24"/>
        </w:rPr>
        <w:t>19 декабря 2018 года</w:t>
      </w:r>
      <w:r w:rsidR="00DA287A" w:rsidRPr="00DA287A">
        <w:rPr>
          <w:color w:val="000000" w:themeColor="text1"/>
          <w:sz w:val="24"/>
          <w:szCs w:val="24"/>
        </w:rPr>
        <w:t>,</w:t>
      </w:r>
      <w:r w:rsidRPr="00687F36">
        <w:rPr>
          <w:color w:val="000000" w:themeColor="text1"/>
          <w:sz w:val="24"/>
          <w:szCs w:val="24"/>
        </w:rPr>
        <w:t xml:space="preserve"> – в связи с отсутствием заявок по приемлемым цен</w:t>
      </w:r>
      <w:r w:rsidR="00DA287A">
        <w:rPr>
          <w:color w:val="000000" w:themeColor="text1"/>
          <w:sz w:val="24"/>
          <w:szCs w:val="24"/>
        </w:rPr>
        <w:t>ам</w:t>
      </w:r>
      <w:r w:rsidRPr="00687F36">
        <w:rPr>
          <w:color w:val="000000" w:themeColor="text1"/>
          <w:sz w:val="24"/>
          <w:szCs w:val="24"/>
        </w:rPr>
        <w:t>. Кроме того, сокращались предлагаемые к размещению на аукционах объемы ОФЗ.</w:t>
      </w:r>
    </w:p>
    <w:p w:rsidR="00B83930" w:rsidRPr="00687F36" w:rsidRDefault="00B83930" w:rsidP="00B83930">
      <w:pPr>
        <w:spacing w:line="336" w:lineRule="auto"/>
        <w:ind w:left="0" w:right="0"/>
        <w:rPr>
          <w:iCs/>
          <w:color w:val="000000" w:themeColor="text1"/>
          <w:sz w:val="24"/>
          <w:szCs w:val="24"/>
        </w:rPr>
      </w:pPr>
      <w:r w:rsidRPr="00687F36">
        <w:rPr>
          <w:iCs/>
          <w:color w:val="000000" w:themeColor="text1"/>
          <w:sz w:val="24"/>
          <w:szCs w:val="24"/>
        </w:rPr>
        <w:t xml:space="preserve">По информации Минфина России, </w:t>
      </w:r>
      <w:r w:rsidRPr="00687F36">
        <w:rPr>
          <w:b/>
          <w:iCs/>
          <w:color w:val="000000" w:themeColor="text1"/>
          <w:sz w:val="24"/>
          <w:szCs w:val="24"/>
        </w:rPr>
        <w:t>в связи с неисполнением</w:t>
      </w:r>
      <w:r w:rsidRPr="00687F36">
        <w:rPr>
          <w:iCs/>
          <w:color w:val="000000" w:themeColor="text1"/>
          <w:sz w:val="24"/>
          <w:szCs w:val="24"/>
        </w:rPr>
        <w:t xml:space="preserve"> </w:t>
      </w:r>
      <w:r w:rsidRPr="00687F36">
        <w:rPr>
          <w:b/>
          <w:iCs/>
          <w:color w:val="000000" w:themeColor="text1"/>
          <w:sz w:val="24"/>
          <w:szCs w:val="24"/>
        </w:rPr>
        <w:t>5 декабря 2018 года</w:t>
      </w:r>
      <w:r w:rsidRPr="00687F36">
        <w:rPr>
          <w:iCs/>
          <w:color w:val="000000" w:themeColor="text1"/>
          <w:sz w:val="24"/>
          <w:szCs w:val="24"/>
        </w:rPr>
        <w:t xml:space="preserve"> ПАО Банк Зенит </w:t>
      </w:r>
      <w:r w:rsidRPr="00687F36">
        <w:rPr>
          <w:b/>
          <w:iCs/>
          <w:color w:val="000000" w:themeColor="text1"/>
          <w:sz w:val="24"/>
          <w:szCs w:val="24"/>
        </w:rPr>
        <w:t>двух заявок, поданных на аукционах</w:t>
      </w:r>
      <w:r w:rsidRPr="00687F36">
        <w:rPr>
          <w:iCs/>
          <w:color w:val="000000" w:themeColor="text1"/>
          <w:sz w:val="24"/>
          <w:szCs w:val="24"/>
        </w:rPr>
        <w:t xml:space="preserve"> по размещению ОФЗ-ПД выпуска № 26224RMFS, </w:t>
      </w:r>
      <w:r w:rsidRPr="00687F36">
        <w:rPr>
          <w:b/>
          <w:iCs/>
          <w:color w:val="000000" w:themeColor="text1"/>
          <w:sz w:val="24"/>
          <w:szCs w:val="24"/>
        </w:rPr>
        <w:t>уточнены результаты аукционов</w:t>
      </w:r>
      <w:r w:rsidRPr="00687F36">
        <w:rPr>
          <w:iCs/>
          <w:color w:val="000000" w:themeColor="text1"/>
          <w:sz w:val="24"/>
          <w:szCs w:val="24"/>
        </w:rPr>
        <w:t>.</w:t>
      </w:r>
    </w:p>
    <w:p w:rsidR="00B83930" w:rsidRPr="00687F36" w:rsidRDefault="00B83930" w:rsidP="00B83930">
      <w:pPr>
        <w:widowControl w:val="0"/>
        <w:spacing w:after="120" w:line="336" w:lineRule="auto"/>
        <w:ind w:left="0" w:right="0"/>
        <w:rPr>
          <w:color w:val="000000" w:themeColor="text1"/>
          <w:sz w:val="24"/>
        </w:rPr>
      </w:pPr>
      <w:r w:rsidRPr="00687F36">
        <w:rPr>
          <w:color w:val="000000" w:themeColor="text1"/>
          <w:sz w:val="24"/>
        </w:rPr>
        <w:t>Информация о проведении Минфином России в 2018 году аукционов по размещению выпусков ОФЗ представлена в следующей таблице.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75"/>
        <w:gridCol w:w="1220"/>
        <w:gridCol w:w="900"/>
        <w:gridCol w:w="1060"/>
        <w:gridCol w:w="1000"/>
        <w:gridCol w:w="1490"/>
        <w:gridCol w:w="1275"/>
        <w:gridCol w:w="1134"/>
      </w:tblGrid>
      <w:tr w:rsidR="00687F36" w:rsidRPr="00687F36" w:rsidTr="00BB017D">
        <w:trPr>
          <w:trHeight w:val="615"/>
          <w:tblHeader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Количество аукционов по размещению гос. ценных бумаг в 2018 году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Код  выпуска бумаги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Тип бумаги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Дата погашения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предложе-ния, млн. рублей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Доходность по средневзве- шенной цене, % годовых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размещения по номиналу,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выручки, млн. рублей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25083RMFS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15.12.2021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308 471,9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6,55 до 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274 227,3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279 302,9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26212RMFS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19.01.2028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80 913,6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7,07 до 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78 927,6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79 782,1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26214RMFS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27.05.2020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15 000,0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7,99 до 8,01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6 144,8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6 027,3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26221RMFS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23.03.2033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54 259,2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7,40 до 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54 259,2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57 101,1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26222RMFS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16.10.2024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60 000,0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6,97 до 7,22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60 000,0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61 481,9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26223RMFS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28.02.2024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265 000,0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6,77 до 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223 251,8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217 627,7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26224RMFS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23.05.2029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135 000,0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7,12 до 8,84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119 214,1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114 150,3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26225RMFS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10.05.2034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125 000,0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7,37 до 8,68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119 186,3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117 249,9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29012RMFS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16.11.2022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40 000,0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7,32 до 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22 191,8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22 785,9</w:t>
            </w:r>
          </w:p>
        </w:tc>
      </w:tr>
      <w:tr w:rsidR="00687F36" w:rsidRPr="00687F36" w:rsidTr="00BB017D">
        <w:trPr>
          <w:trHeight w:val="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52002RMFS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02.02.2028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80 588,8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от 2,89 до 3,42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77 734,3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75 202,4</w:t>
            </w:r>
          </w:p>
        </w:tc>
      </w:tr>
      <w:tr w:rsidR="00687F36" w:rsidRPr="00687F36" w:rsidTr="00BB017D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1 164 233,4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от 2,89 до 8,84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1 035 137,1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930" w:rsidRPr="00687F36" w:rsidRDefault="00B83930" w:rsidP="00BB01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687F3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1 030 711,3</w:t>
            </w:r>
          </w:p>
        </w:tc>
      </w:tr>
    </w:tbl>
    <w:p w:rsidR="00B83930" w:rsidRPr="00687F36" w:rsidRDefault="00B83930" w:rsidP="00B83930">
      <w:pPr>
        <w:spacing w:before="120"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 xml:space="preserve">Совокупный объем спроса на государственные ценные бумаги в 2018 году со стороны участников рынка на их условиях составил 2 868 349,8 млн. рублей, что </w:t>
      </w:r>
      <w:r w:rsidRPr="00687F36">
        <w:rPr>
          <w:b/>
          <w:color w:val="000000" w:themeColor="text1"/>
          <w:sz w:val="24"/>
          <w:szCs w:val="24"/>
        </w:rPr>
        <w:t>на 28,4 % меньше</w:t>
      </w:r>
      <w:r w:rsidRPr="00687F36">
        <w:rPr>
          <w:color w:val="000000" w:themeColor="text1"/>
          <w:sz w:val="24"/>
          <w:szCs w:val="24"/>
        </w:rPr>
        <w:t xml:space="preserve"> соответствующего показателя 2017 года, объем </w:t>
      </w:r>
      <w:r w:rsidRPr="00687F36">
        <w:rPr>
          <w:b/>
          <w:color w:val="000000" w:themeColor="text1"/>
          <w:sz w:val="24"/>
          <w:szCs w:val="24"/>
        </w:rPr>
        <w:t>предложения</w:t>
      </w:r>
      <w:r w:rsidRPr="00687F36">
        <w:rPr>
          <w:color w:val="000000" w:themeColor="text1"/>
          <w:sz w:val="24"/>
          <w:szCs w:val="24"/>
        </w:rPr>
        <w:t xml:space="preserve"> Минфина России – 1 164 233,4 млн. рублей, что </w:t>
      </w:r>
      <w:r w:rsidRPr="00687F36">
        <w:rPr>
          <w:b/>
          <w:color w:val="000000" w:themeColor="text1"/>
          <w:sz w:val="24"/>
          <w:szCs w:val="24"/>
        </w:rPr>
        <w:t>на 34,8 % меньше</w:t>
      </w:r>
      <w:r w:rsidRPr="00687F36">
        <w:rPr>
          <w:color w:val="000000" w:themeColor="text1"/>
          <w:sz w:val="24"/>
          <w:szCs w:val="24"/>
        </w:rPr>
        <w:t xml:space="preserve"> соответствующего показателя 2017 года. </w:t>
      </w:r>
    </w:p>
    <w:p w:rsidR="00B83930" w:rsidRPr="00687F36" w:rsidRDefault="00B83930" w:rsidP="00B83930">
      <w:pPr>
        <w:spacing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>Несмотря на сокращени</w:t>
      </w:r>
      <w:r w:rsidR="00DA287A">
        <w:rPr>
          <w:color w:val="000000" w:themeColor="text1"/>
          <w:sz w:val="24"/>
          <w:szCs w:val="24"/>
        </w:rPr>
        <w:t>е</w:t>
      </w:r>
      <w:r w:rsidRPr="00687F36">
        <w:rPr>
          <w:color w:val="000000" w:themeColor="text1"/>
          <w:sz w:val="24"/>
          <w:szCs w:val="24"/>
        </w:rPr>
        <w:t xml:space="preserve"> объемов предложений и спроса, совокупный объем спроса в 2018 году со стороны инвесторов на их условиях в 2,5 раза превысил предложение Минфина России, что свидетельствует о сохранении значительного интереса инвесторов к рынку российских государственных рублевых облигаций в отчетном периоде.</w:t>
      </w:r>
    </w:p>
    <w:p w:rsidR="00B83930" w:rsidRPr="00687F36" w:rsidRDefault="00B83930" w:rsidP="00B83930">
      <w:pPr>
        <w:spacing w:line="336" w:lineRule="auto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 xml:space="preserve">В 2018 году, как и в предыдущие годы, Минфин России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в основном привлекал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средства за счет размещения государственных ценных бумаг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на первичном рынке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. Кроме того, в 2018 году Минфин России осуществил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доразмещение на вторичном рынке облигаци</w:t>
      </w:r>
      <w:r w:rsidR="002F2973">
        <w:rPr>
          <w:rFonts w:eastAsia="Times New Roman"/>
          <w:b/>
          <w:color w:val="000000" w:themeColor="text1"/>
          <w:sz w:val="24"/>
          <w:szCs w:val="24"/>
        </w:rPr>
        <w:t>й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 xml:space="preserve"> федерального займа с постоянным купонным доходом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на общую сумму 7 328,1 млн. рублей по номинальной стоимости, выручка от доразмещения указанных выпусков ОФЗ-ПД составила 7 592,4 млн. рублей.</w:t>
      </w:r>
    </w:p>
    <w:p w:rsidR="00B83930" w:rsidRPr="00687F36" w:rsidRDefault="00B83930" w:rsidP="00B83930">
      <w:pPr>
        <w:spacing w:line="336" w:lineRule="auto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 xml:space="preserve">Кроме того, Минфин России в 2018 году продолжил предлагать государственные ценные бумаги для населения, разместив облигации федерального займа для физических лиц (далее -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ОФЗ-н</w:t>
      </w:r>
      <w:r w:rsidRPr="00687F36">
        <w:rPr>
          <w:rFonts w:eastAsia="Times New Roman"/>
          <w:color w:val="000000" w:themeColor="text1"/>
          <w:sz w:val="24"/>
          <w:szCs w:val="24"/>
        </w:rPr>
        <w:t>) на общую сумму 17 690,3 млн. рублей по номинальной стоимости, или в 2,2 раза меньше по сравнению с 2017 годом (39 156,5 млн. рублей).</w:t>
      </w:r>
    </w:p>
    <w:p w:rsidR="00B83930" w:rsidRPr="00687F36" w:rsidRDefault="00B83930" w:rsidP="00B83930">
      <w:pPr>
        <w:widowControl w:val="0"/>
        <w:spacing w:line="336" w:lineRule="auto"/>
        <w:ind w:left="0" w:right="0"/>
        <w:rPr>
          <w:i/>
          <w:color w:val="000000" w:themeColor="text1"/>
          <w:sz w:val="20"/>
          <w:szCs w:val="20"/>
        </w:rPr>
      </w:pPr>
      <w:r w:rsidRPr="00687F36">
        <w:rPr>
          <w:b/>
          <w:color w:val="000000" w:themeColor="text1"/>
          <w:sz w:val="24"/>
          <w:szCs w:val="24"/>
        </w:rPr>
        <w:t>Впервые с 2012 года</w:t>
      </w:r>
      <w:r w:rsidRPr="00687F36">
        <w:rPr>
          <w:color w:val="000000" w:themeColor="text1"/>
          <w:sz w:val="24"/>
          <w:szCs w:val="24"/>
        </w:rPr>
        <w:t xml:space="preserve"> Федеральным законом </w:t>
      </w:r>
      <w:r w:rsidR="00DA287A">
        <w:rPr>
          <w:color w:val="000000" w:themeColor="text1"/>
          <w:sz w:val="24"/>
          <w:szCs w:val="24"/>
        </w:rPr>
        <w:t xml:space="preserve">от 29 ноября 2018 г. </w:t>
      </w:r>
      <w:r w:rsidRPr="00687F36">
        <w:rPr>
          <w:color w:val="000000" w:themeColor="text1"/>
          <w:sz w:val="24"/>
          <w:szCs w:val="24"/>
        </w:rPr>
        <w:t xml:space="preserve">№ 458-ФЗ «О внесении изменений в Федеральный закон «О федеральном бюджете на 2018 год и на плановый период 2019 и 2020 годов» исключена норма </w:t>
      </w:r>
      <w:r w:rsidR="00DA287A">
        <w:rPr>
          <w:color w:val="000000" w:themeColor="text1"/>
          <w:sz w:val="24"/>
          <w:szCs w:val="24"/>
        </w:rPr>
        <w:t>об</w:t>
      </w:r>
      <w:r w:rsidRPr="00687F36">
        <w:rPr>
          <w:color w:val="000000" w:themeColor="text1"/>
          <w:sz w:val="24"/>
          <w:szCs w:val="24"/>
        </w:rPr>
        <w:t xml:space="preserve"> </w:t>
      </w:r>
      <w:r w:rsidRPr="00687F36">
        <w:rPr>
          <w:b/>
          <w:color w:val="000000" w:themeColor="text1"/>
          <w:sz w:val="24"/>
          <w:szCs w:val="24"/>
        </w:rPr>
        <w:t>обмен</w:t>
      </w:r>
      <w:r w:rsidR="00DA287A">
        <w:rPr>
          <w:b/>
          <w:color w:val="000000" w:themeColor="text1"/>
          <w:sz w:val="24"/>
          <w:szCs w:val="24"/>
        </w:rPr>
        <w:t>е</w:t>
      </w:r>
      <w:r w:rsidRPr="00687F36">
        <w:rPr>
          <w:b/>
          <w:color w:val="000000" w:themeColor="text1"/>
          <w:sz w:val="24"/>
          <w:szCs w:val="24"/>
        </w:rPr>
        <w:t xml:space="preserve"> государственных ценных бумаг</w:t>
      </w:r>
      <w:r w:rsidRPr="00687F36">
        <w:rPr>
          <w:color w:val="000000" w:themeColor="text1"/>
          <w:sz w:val="24"/>
          <w:szCs w:val="24"/>
        </w:rPr>
        <w:t xml:space="preserve"> Российской Федерации в части внутренних заимствований.</w:t>
      </w:r>
    </w:p>
    <w:p w:rsidR="00B83930" w:rsidRPr="00687F36" w:rsidRDefault="00B83930" w:rsidP="00B83930">
      <w:pPr>
        <w:spacing w:line="336" w:lineRule="auto"/>
        <w:ind w:left="0" w:right="0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 xml:space="preserve">Счетная палата </w:t>
      </w:r>
      <w:r w:rsidR="00DA287A">
        <w:rPr>
          <w:color w:val="000000" w:themeColor="text1"/>
          <w:sz w:val="24"/>
          <w:szCs w:val="24"/>
        </w:rPr>
        <w:t xml:space="preserve">Российской Федерации </w:t>
      </w:r>
      <w:r w:rsidRPr="00687F36">
        <w:rPr>
          <w:color w:val="000000" w:themeColor="text1"/>
          <w:sz w:val="24"/>
          <w:szCs w:val="24"/>
        </w:rPr>
        <w:t xml:space="preserve">неоднократно отмечала, что в 2015 - 2017 годах предусмотренные объемы операций обмена государственных ценных бумаг Российской Федерации, установленные федеральными законами о федеральном бюджете, при внесении в них изменений </w:t>
      </w:r>
      <w:r w:rsidRPr="00687F36">
        <w:rPr>
          <w:b/>
          <w:color w:val="000000" w:themeColor="text1"/>
          <w:sz w:val="24"/>
          <w:szCs w:val="24"/>
        </w:rPr>
        <w:t>не уточнялись</w:t>
      </w:r>
      <w:r w:rsidRPr="00687F36">
        <w:rPr>
          <w:color w:val="000000" w:themeColor="text1"/>
          <w:sz w:val="24"/>
          <w:szCs w:val="24"/>
        </w:rPr>
        <w:t xml:space="preserve">, а </w:t>
      </w:r>
      <w:r w:rsidRPr="00687F36">
        <w:rPr>
          <w:b/>
          <w:color w:val="000000" w:themeColor="text1"/>
          <w:sz w:val="24"/>
          <w:szCs w:val="24"/>
        </w:rPr>
        <w:t xml:space="preserve">объемы неисполнения увеличивались </w:t>
      </w:r>
      <w:r w:rsidRPr="00687F36">
        <w:rPr>
          <w:color w:val="000000" w:themeColor="text1"/>
          <w:sz w:val="24"/>
          <w:szCs w:val="24"/>
        </w:rPr>
        <w:t xml:space="preserve">с 32,4 % в 2015 году до 73,1 % в 2017 году. </w:t>
      </w:r>
    </w:p>
    <w:p w:rsidR="00B83930" w:rsidRPr="00687F36" w:rsidRDefault="00B83930" w:rsidP="00B83930">
      <w:pPr>
        <w:widowControl w:val="0"/>
        <w:numPr>
          <w:ilvl w:val="12"/>
          <w:numId w:val="0"/>
        </w:numPr>
        <w:tabs>
          <w:tab w:val="left" w:pos="1134"/>
        </w:tabs>
        <w:spacing w:line="336" w:lineRule="auto"/>
        <w:ind w:right="0" w:firstLine="709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</w:rPr>
        <w:t>В декабре 2018 года среднее значение ставок краткосрочного межбанковского кредитования (MIACR – 1 день) составило 7,49</w:t>
      </w:r>
      <w:r w:rsidRPr="00687F36">
        <w:rPr>
          <w:color w:val="000000" w:themeColor="text1"/>
          <w:sz w:val="24"/>
          <w:szCs w:val="24"/>
        </w:rPr>
        <w:t> % (в ноябре 2018 года – 7,25 %, октябре 2018 года – 7,23 %, сентябре 2018 года – 7,15 %, августе 2018 года – 7,03 %, июле 2018 года – 7,09 %, июне 2018 года – 7,02 %, мае 2018 года – 6,95 %, апреле 2018 года – 7</w:t>
      </w:r>
      <w:r w:rsidR="002F2973">
        <w:rPr>
          <w:color w:val="000000" w:themeColor="text1"/>
          <w:sz w:val="24"/>
          <w:szCs w:val="24"/>
        </w:rPr>
        <w:t>,0</w:t>
      </w:r>
      <w:r w:rsidRPr="00687F36">
        <w:rPr>
          <w:color w:val="000000" w:themeColor="text1"/>
          <w:sz w:val="24"/>
          <w:szCs w:val="24"/>
        </w:rPr>
        <w:t xml:space="preserve"> %, </w:t>
      </w:r>
      <w:r w:rsidRPr="00687F36">
        <w:rPr>
          <w:color w:val="000000" w:themeColor="text1"/>
          <w:sz w:val="24"/>
        </w:rPr>
        <w:t xml:space="preserve">марте 2018 года </w:t>
      </w:r>
      <w:r w:rsidRPr="00687F36">
        <w:rPr>
          <w:color w:val="000000" w:themeColor="text1"/>
          <w:sz w:val="24"/>
          <w:szCs w:val="24"/>
        </w:rPr>
        <w:t>–</w:t>
      </w:r>
      <w:r w:rsidRPr="00687F36">
        <w:rPr>
          <w:color w:val="000000" w:themeColor="text1"/>
          <w:sz w:val="24"/>
        </w:rPr>
        <w:t xml:space="preserve"> 7,15 %, </w:t>
      </w:r>
      <w:r w:rsidRPr="00687F36">
        <w:rPr>
          <w:color w:val="000000" w:themeColor="text1"/>
          <w:sz w:val="24"/>
          <w:szCs w:val="24"/>
        </w:rPr>
        <w:t xml:space="preserve">феврале 2018 года – 7,15 %, </w:t>
      </w:r>
      <w:r w:rsidRPr="00687F36">
        <w:rPr>
          <w:color w:val="000000" w:themeColor="text1"/>
          <w:sz w:val="24"/>
        </w:rPr>
        <w:t>январе 2018 года – 7,09 %). Несмотря на значительн</w:t>
      </w:r>
      <w:r w:rsidR="00DA287A">
        <w:rPr>
          <w:color w:val="000000" w:themeColor="text1"/>
          <w:sz w:val="24"/>
        </w:rPr>
        <w:t>о</w:t>
      </w:r>
      <w:r w:rsidRPr="00687F36">
        <w:rPr>
          <w:color w:val="000000" w:themeColor="text1"/>
          <w:sz w:val="24"/>
        </w:rPr>
        <w:t>е снижени</w:t>
      </w:r>
      <w:r w:rsidR="00DA287A">
        <w:rPr>
          <w:color w:val="000000" w:themeColor="text1"/>
          <w:sz w:val="24"/>
        </w:rPr>
        <w:t>е</w:t>
      </w:r>
      <w:r w:rsidRPr="00687F36">
        <w:rPr>
          <w:color w:val="000000" w:themeColor="text1"/>
          <w:sz w:val="24"/>
        </w:rPr>
        <w:t xml:space="preserve"> в течение 2018 года значений указанной ставки, по состоянию на 1 января 2019 года ее уровень </w:t>
      </w:r>
      <w:r w:rsidRPr="00687F36">
        <w:rPr>
          <w:color w:val="000000" w:themeColor="text1"/>
          <w:sz w:val="24"/>
          <w:szCs w:val="24"/>
        </w:rPr>
        <w:t>снизился по сравнению с декабрем 2017 года только на 0,24 процентн</w:t>
      </w:r>
      <w:r w:rsidR="00DA287A">
        <w:rPr>
          <w:color w:val="000000" w:themeColor="text1"/>
          <w:sz w:val="24"/>
          <w:szCs w:val="24"/>
        </w:rPr>
        <w:t>ого</w:t>
      </w:r>
      <w:r w:rsidRPr="00687F36">
        <w:rPr>
          <w:color w:val="000000" w:themeColor="text1"/>
          <w:sz w:val="24"/>
          <w:szCs w:val="24"/>
        </w:rPr>
        <w:t xml:space="preserve"> пункта.</w:t>
      </w:r>
    </w:p>
    <w:p w:rsidR="00B83930" w:rsidRPr="00687F36" w:rsidRDefault="00B83930" w:rsidP="00B83930">
      <w:pPr>
        <w:widowControl w:val="0"/>
        <w:spacing w:line="336" w:lineRule="auto"/>
        <w:ind w:left="0" w:right="-1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  <w:szCs w:val="24"/>
        </w:rPr>
        <w:t xml:space="preserve">Необходимо отметить, что со </w:t>
      </w:r>
      <w:r w:rsidR="00DA287A">
        <w:rPr>
          <w:color w:val="000000" w:themeColor="text1"/>
          <w:sz w:val="24"/>
          <w:szCs w:val="24"/>
          <w:lang w:val="en-US"/>
        </w:rPr>
        <w:t>II</w:t>
      </w:r>
      <w:r w:rsidRPr="00687F36">
        <w:rPr>
          <w:color w:val="000000" w:themeColor="text1"/>
          <w:sz w:val="24"/>
          <w:szCs w:val="24"/>
        </w:rPr>
        <w:t xml:space="preserve"> квартала 2018 года под влиянием негативных факторов (ослабление курса рубля, рост инфляции, действие антироссийских санкций) наблюдалось ухудшение конъюнктуры российского рынка государственных ценных бумаг. Действие негативных факторов привело к снижению спроса на российские государственные облигации со стороны нерезидентов.</w:t>
      </w:r>
    </w:p>
    <w:p w:rsidR="00B83930" w:rsidRPr="00687F36" w:rsidRDefault="00B83930" w:rsidP="00B83930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 xml:space="preserve">По данным Банка России,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доля нерезидентов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на рынке облигаций федеральных займов за апрель - </w:t>
      </w:r>
      <w:r w:rsidR="00C478D7" w:rsidRPr="00687F36">
        <w:rPr>
          <w:rFonts w:eastAsia="Times New Roman"/>
          <w:color w:val="000000" w:themeColor="text1"/>
          <w:sz w:val="24"/>
          <w:szCs w:val="24"/>
        </w:rPr>
        <w:t>дека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брь 2018 года сократилась на </w:t>
      </w:r>
      <w:r w:rsidR="00C478D7" w:rsidRPr="00687F36">
        <w:rPr>
          <w:rFonts w:eastAsia="Times New Roman"/>
          <w:color w:val="000000" w:themeColor="text1"/>
          <w:sz w:val="24"/>
          <w:szCs w:val="24"/>
        </w:rPr>
        <w:t>10,1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процентн</w:t>
      </w:r>
      <w:r w:rsidR="00DA287A">
        <w:rPr>
          <w:rFonts w:eastAsia="Times New Roman"/>
          <w:color w:val="000000" w:themeColor="text1"/>
          <w:sz w:val="24"/>
          <w:szCs w:val="24"/>
        </w:rPr>
        <w:t>ого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пункт</w:t>
      </w:r>
      <w:r w:rsidR="00DA287A">
        <w:rPr>
          <w:rFonts w:eastAsia="Times New Roman"/>
          <w:color w:val="000000" w:themeColor="text1"/>
          <w:sz w:val="24"/>
          <w:szCs w:val="24"/>
        </w:rPr>
        <w:t>а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, </w:t>
      </w:r>
      <w:r w:rsidRPr="00687F36">
        <w:rPr>
          <w:rFonts w:eastAsia="Times New Roman"/>
          <w:b/>
          <w:color w:val="000000" w:themeColor="text1"/>
          <w:sz w:val="24"/>
          <w:szCs w:val="24"/>
        </w:rPr>
        <w:t>объем вложений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нерезидентов в ОФЗ снизился за указанный период на </w:t>
      </w:r>
      <w:r w:rsidR="00C478D7" w:rsidRPr="00687F36">
        <w:rPr>
          <w:rFonts w:eastAsia="Times New Roman"/>
          <w:color w:val="000000" w:themeColor="text1"/>
          <w:sz w:val="24"/>
          <w:szCs w:val="24"/>
        </w:rPr>
        <w:t>5</w:t>
      </w:r>
      <w:r w:rsidR="00EA2B00" w:rsidRPr="00687F36">
        <w:rPr>
          <w:rFonts w:eastAsia="Times New Roman"/>
          <w:color w:val="000000" w:themeColor="text1"/>
          <w:sz w:val="24"/>
          <w:szCs w:val="24"/>
        </w:rPr>
        <w:t>61</w:t>
      </w:r>
      <w:r w:rsidRPr="00687F36">
        <w:rPr>
          <w:rFonts w:eastAsia="Times New Roman"/>
          <w:color w:val="000000" w:themeColor="text1"/>
          <w:sz w:val="24"/>
          <w:szCs w:val="24"/>
        </w:rPr>
        <w:t xml:space="preserve"> млрд. рублей. </w:t>
      </w:r>
    </w:p>
    <w:p w:rsidR="00B83930" w:rsidRPr="00687F36" w:rsidRDefault="00B83930" w:rsidP="00B83930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>Динамика указанных показателей в 2018 году представлена на следующей диаграмме.</w:t>
      </w:r>
    </w:p>
    <w:p w:rsidR="00C478D7" w:rsidRPr="00687F36" w:rsidRDefault="00246959" w:rsidP="00246959">
      <w:pPr>
        <w:spacing w:line="336" w:lineRule="auto"/>
        <w:ind w:left="0" w:right="-1" w:firstLine="0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noProof/>
          <w:color w:val="000000" w:themeColor="text1"/>
        </w:rPr>
        <w:drawing>
          <wp:inline distT="0" distB="0" distL="0" distR="0" wp14:anchorId="75DD85FA" wp14:editId="4E69BD3B">
            <wp:extent cx="6019138" cy="2027582"/>
            <wp:effectExtent l="0" t="0" r="127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83930" w:rsidRPr="00687F36" w:rsidRDefault="00B83930" w:rsidP="00B83930">
      <w:pPr>
        <w:widowControl w:val="0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>Несмотря на указанное сокращение портфеля ОФЗ, принадлежащего нерезидентам, их доля на рынке облигаций федеральных займов остается на достаточно высоком уровне.</w:t>
      </w:r>
    </w:p>
    <w:p w:rsidR="00B83930" w:rsidRPr="00687F36" w:rsidRDefault="00B83930" w:rsidP="00B83930">
      <w:pPr>
        <w:widowControl w:val="0"/>
        <w:spacing w:line="336" w:lineRule="auto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687F36">
        <w:rPr>
          <w:rFonts w:eastAsia="Times New Roman"/>
          <w:color w:val="000000" w:themeColor="text1"/>
          <w:sz w:val="24"/>
          <w:szCs w:val="24"/>
        </w:rPr>
        <w:t>Информация об указанных показателях в 2011 – 2018 годах представлена на следующей диаграмме.</w:t>
      </w:r>
    </w:p>
    <w:p w:rsidR="00C03F2F" w:rsidRPr="00687F36" w:rsidRDefault="00C03F2F" w:rsidP="00C03F2F">
      <w:pPr>
        <w:widowControl w:val="0"/>
        <w:numPr>
          <w:ilvl w:val="12"/>
          <w:numId w:val="0"/>
        </w:numPr>
        <w:tabs>
          <w:tab w:val="left" w:pos="1134"/>
        </w:tabs>
        <w:spacing w:line="336" w:lineRule="auto"/>
        <w:ind w:right="0"/>
        <w:rPr>
          <w:color w:val="000000" w:themeColor="text1"/>
          <w:sz w:val="24"/>
        </w:rPr>
      </w:pPr>
      <w:r w:rsidRPr="00687F36">
        <w:rPr>
          <w:noProof/>
          <w:color w:val="000000" w:themeColor="text1"/>
        </w:rPr>
        <w:drawing>
          <wp:inline distT="0" distB="0" distL="0" distR="0" wp14:anchorId="5A40C9F9" wp14:editId="029144BB">
            <wp:extent cx="6066846" cy="1757239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83930" w:rsidRPr="00687F36" w:rsidRDefault="00B83930" w:rsidP="00C03F2F">
      <w:pPr>
        <w:widowControl w:val="0"/>
        <w:numPr>
          <w:ilvl w:val="12"/>
          <w:numId w:val="0"/>
        </w:numPr>
        <w:tabs>
          <w:tab w:val="left" w:pos="1134"/>
        </w:tabs>
        <w:spacing w:line="336" w:lineRule="auto"/>
        <w:ind w:right="0" w:firstLine="709"/>
        <w:rPr>
          <w:color w:val="000000" w:themeColor="text1"/>
          <w:sz w:val="24"/>
          <w:szCs w:val="24"/>
        </w:rPr>
      </w:pPr>
      <w:r w:rsidRPr="00687F36">
        <w:rPr>
          <w:color w:val="000000" w:themeColor="text1"/>
          <w:sz w:val="24"/>
        </w:rPr>
        <w:t>В январе – августе 2018 года Банк России дважды принимал решение о понижении ключевой ставки: р</w:t>
      </w:r>
      <w:r w:rsidRPr="00687F36">
        <w:rPr>
          <w:color w:val="000000" w:themeColor="text1"/>
          <w:sz w:val="24"/>
          <w:szCs w:val="24"/>
        </w:rPr>
        <w:t xml:space="preserve">ешением Банка России от 23 марта 2018 года ключевая ставка </w:t>
      </w:r>
      <w:r w:rsidRPr="00687F36">
        <w:rPr>
          <w:b/>
          <w:color w:val="000000" w:themeColor="text1"/>
          <w:sz w:val="24"/>
          <w:szCs w:val="24"/>
        </w:rPr>
        <w:t>с 26</w:t>
      </w:r>
      <w:r w:rsidR="00325C31" w:rsidRPr="00687F36">
        <w:rPr>
          <w:b/>
          <w:color w:val="000000" w:themeColor="text1"/>
          <w:sz w:val="24"/>
          <w:szCs w:val="24"/>
        </w:rPr>
        <w:t> </w:t>
      </w:r>
      <w:r w:rsidRPr="00687F36">
        <w:rPr>
          <w:b/>
          <w:color w:val="000000" w:themeColor="text1"/>
          <w:sz w:val="24"/>
          <w:szCs w:val="24"/>
        </w:rPr>
        <w:t xml:space="preserve">марта 2018 года снижена с 7,50 % до 7,25 % </w:t>
      </w:r>
      <w:r w:rsidRPr="00687F36">
        <w:rPr>
          <w:color w:val="000000" w:themeColor="text1"/>
          <w:sz w:val="24"/>
          <w:szCs w:val="24"/>
        </w:rPr>
        <w:t>(с 12 февраля 2018 года – с 7,75 % до 7,50 %,</w:t>
      </w:r>
      <w:r w:rsidRPr="00687F36">
        <w:rPr>
          <w:b/>
          <w:color w:val="000000" w:themeColor="text1"/>
          <w:sz w:val="24"/>
          <w:szCs w:val="24"/>
        </w:rPr>
        <w:t xml:space="preserve"> </w:t>
      </w:r>
      <w:r w:rsidRPr="00687F36">
        <w:rPr>
          <w:color w:val="000000" w:themeColor="text1"/>
          <w:sz w:val="24"/>
          <w:szCs w:val="24"/>
        </w:rPr>
        <w:t xml:space="preserve">с 18 декабря 2017 года – с 8,25 % до 7,75 %), а в сентябре – ноябре 2018 года </w:t>
      </w:r>
      <w:r w:rsidRPr="00687F36">
        <w:rPr>
          <w:color w:val="000000" w:themeColor="text1"/>
          <w:sz w:val="24"/>
        </w:rPr>
        <w:t xml:space="preserve">дважды принимал решение о </w:t>
      </w:r>
      <w:r w:rsidRPr="00687F36">
        <w:rPr>
          <w:b/>
          <w:color w:val="000000" w:themeColor="text1"/>
          <w:sz w:val="24"/>
        </w:rPr>
        <w:t>повышении ключевой ставки</w:t>
      </w:r>
      <w:r w:rsidR="002F2973">
        <w:rPr>
          <w:color w:val="000000" w:themeColor="text1"/>
          <w:sz w:val="24"/>
        </w:rPr>
        <w:t>,</w:t>
      </w:r>
      <w:r w:rsidRPr="00687F36">
        <w:rPr>
          <w:b/>
          <w:color w:val="000000" w:themeColor="text1"/>
          <w:sz w:val="24"/>
        </w:rPr>
        <w:t xml:space="preserve"> </w:t>
      </w:r>
      <w:r w:rsidRPr="00687F36">
        <w:rPr>
          <w:color w:val="000000" w:themeColor="text1"/>
          <w:sz w:val="24"/>
          <w:szCs w:val="24"/>
        </w:rPr>
        <w:t>решением</w:t>
      </w:r>
      <w:r w:rsidRPr="00687F36">
        <w:rPr>
          <w:color w:val="000000" w:themeColor="text1"/>
          <w:sz w:val="24"/>
        </w:rPr>
        <w:t xml:space="preserve"> Банка России от </w:t>
      </w:r>
      <w:r w:rsidRPr="00687F36">
        <w:rPr>
          <w:b/>
          <w:color w:val="000000" w:themeColor="text1"/>
          <w:sz w:val="24"/>
        </w:rPr>
        <w:t>14 декабря 2018 года</w:t>
      </w:r>
      <w:r w:rsidRPr="00687F36">
        <w:rPr>
          <w:color w:val="000000" w:themeColor="text1"/>
          <w:sz w:val="24"/>
        </w:rPr>
        <w:t xml:space="preserve"> ставка </w:t>
      </w:r>
      <w:r w:rsidRPr="00687F36">
        <w:rPr>
          <w:b/>
          <w:color w:val="000000" w:themeColor="text1"/>
          <w:sz w:val="24"/>
        </w:rPr>
        <w:t xml:space="preserve">повышена с 17 декабря 2018 года с 7,50 % до 7,75 % годовых </w:t>
      </w:r>
      <w:r w:rsidRPr="00687F36">
        <w:rPr>
          <w:color w:val="000000" w:themeColor="text1"/>
          <w:sz w:val="24"/>
        </w:rPr>
        <w:t>(с 17 сентября 2018 года – с 7,25 % до 7,50 %). В результате ключевая ставка по состоянию на 1 января 2019 года соответствует ее уровню по состоянию на 1 января 2018</w:t>
      </w:r>
      <w:r w:rsidR="00325C31" w:rsidRPr="00687F36">
        <w:rPr>
          <w:color w:val="000000" w:themeColor="text1"/>
          <w:sz w:val="24"/>
        </w:rPr>
        <w:t> </w:t>
      </w:r>
      <w:r w:rsidRPr="00687F36">
        <w:rPr>
          <w:color w:val="000000" w:themeColor="text1"/>
          <w:sz w:val="24"/>
        </w:rPr>
        <w:t>года.</w:t>
      </w:r>
    </w:p>
    <w:p w:rsidR="001A4E3F" w:rsidRDefault="001A4E3F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bCs/>
          <w:color w:val="000000" w:themeColor="text1"/>
          <w:sz w:val="24"/>
          <w:szCs w:val="24"/>
          <w:lang w:bidi="ru-RU"/>
        </w:rPr>
      </w:pPr>
      <w:r>
        <w:rPr>
          <w:bCs/>
          <w:color w:val="000000" w:themeColor="text1"/>
          <w:sz w:val="24"/>
          <w:szCs w:val="24"/>
          <w:lang w:bidi="ru-RU"/>
        </w:rPr>
        <w:br w:type="page"/>
      </w:r>
    </w:p>
    <w:p w:rsidR="000667DD" w:rsidRPr="00355B7A" w:rsidRDefault="004C3CA8" w:rsidP="000667DD">
      <w:pPr>
        <w:widowControl w:val="0"/>
        <w:spacing w:line="240" w:lineRule="auto"/>
        <w:ind w:left="0" w:right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</w:t>
      </w:r>
      <w:r w:rsidR="000C4393">
        <w:rPr>
          <w:color w:val="000000"/>
          <w:sz w:val="24"/>
          <w:szCs w:val="24"/>
        </w:rPr>
        <w:t>1</w:t>
      </w:r>
    </w:p>
    <w:p w:rsidR="001A4E3F" w:rsidRPr="004C3CA8" w:rsidRDefault="001A4E3F" w:rsidP="001A4E3F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  <w:color w:val="000000" w:themeColor="text1"/>
          <w:sz w:val="24"/>
          <w:szCs w:val="24"/>
        </w:rPr>
      </w:pPr>
      <w:r w:rsidRPr="004C3CA8">
        <w:rPr>
          <w:b/>
          <w:color w:val="000000" w:themeColor="text1"/>
          <w:sz w:val="24"/>
          <w:szCs w:val="24"/>
        </w:rPr>
        <w:t xml:space="preserve">Анализ исполнения показателей </w:t>
      </w:r>
    </w:p>
    <w:p w:rsidR="004E2914" w:rsidRPr="004C3CA8" w:rsidRDefault="001A4E3F" w:rsidP="001A4E3F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</w:rPr>
      </w:pPr>
      <w:r w:rsidRPr="004C3CA8">
        <w:rPr>
          <w:b/>
          <w:bCs/>
          <w:color w:val="000000" w:themeColor="text1"/>
          <w:sz w:val="24"/>
          <w:szCs w:val="24"/>
        </w:rPr>
        <w:t xml:space="preserve">Программы </w:t>
      </w:r>
      <w:r w:rsidRPr="004C3CA8">
        <w:rPr>
          <w:b/>
          <w:color w:val="000000" w:themeColor="text1"/>
          <w:sz w:val="24"/>
          <w:szCs w:val="24"/>
        </w:rPr>
        <w:t>государственных внешних заимствований</w:t>
      </w:r>
      <w:r w:rsidR="004E2914" w:rsidRPr="004C3CA8">
        <w:rPr>
          <w:b/>
          <w:color w:val="000000" w:themeColor="text1"/>
          <w:sz w:val="24"/>
          <w:szCs w:val="24"/>
        </w:rPr>
        <w:t xml:space="preserve"> Российской Федерации</w:t>
      </w:r>
    </w:p>
    <w:p w:rsidR="001A4E3F" w:rsidRPr="004C3CA8" w:rsidRDefault="004E2914" w:rsidP="001A4E3F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  <w:color w:val="000000" w:themeColor="text1"/>
          <w:sz w:val="24"/>
          <w:szCs w:val="24"/>
        </w:rPr>
      </w:pPr>
      <w:r w:rsidRPr="004C3CA8">
        <w:rPr>
          <w:b/>
          <w:color w:val="000000" w:themeColor="text1"/>
          <w:sz w:val="24"/>
          <w:szCs w:val="24"/>
        </w:rPr>
        <w:t>на 2018 год и на плановый период 2019 и 2020 годов</w:t>
      </w:r>
    </w:p>
    <w:p w:rsidR="001A4E3F" w:rsidRPr="00CA04C4" w:rsidRDefault="001A4E3F" w:rsidP="001A4E3F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  <w:bCs/>
          <w:color w:val="000000" w:themeColor="text1"/>
          <w:sz w:val="24"/>
          <w:szCs w:val="24"/>
          <w:u w:val="single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25"/>
        <w:gridCol w:w="1216"/>
        <w:gridCol w:w="997"/>
        <w:gridCol w:w="1258"/>
        <w:gridCol w:w="882"/>
        <w:gridCol w:w="741"/>
        <w:gridCol w:w="852"/>
      </w:tblGrid>
      <w:tr w:rsidR="001A4E3F" w:rsidRPr="00AE3D28" w:rsidTr="00BB017D">
        <w:trPr>
          <w:trHeight w:val="1110"/>
          <w:tblHeader/>
        </w:trPr>
        <w:tc>
          <w:tcPr>
            <w:tcW w:w="18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 Наименование показателя</w:t>
            </w:r>
          </w:p>
        </w:tc>
        <w:tc>
          <w:tcPr>
            <w:tcW w:w="115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 xml:space="preserve">Предусмотрено Программой государственных внешних заимствований </w:t>
            </w:r>
          </w:p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 xml:space="preserve">(Федеральный закон </w:t>
            </w: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br/>
              <w:t>№ 362-ФЗ с изменениями)</w:t>
            </w:r>
          </w:p>
        </w:tc>
        <w:tc>
          <w:tcPr>
            <w:tcW w:w="19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Исполнено на 1 января 2019 года</w:t>
            </w:r>
          </w:p>
        </w:tc>
      </w:tr>
      <w:tr w:rsidR="001A4E3F" w:rsidRPr="00AE3D28" w:rsidTr="00BB017D">
        <w:trPr>
          <w:trHeight w:val="255"/>
          <w:tblHeader/>
        </w:trPr>
        <w:tc>
          <w:tcPr>
            <w:tcW w:w="18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15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сумма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%</w:t>
            </w:r>
          </w:p>
        </w:tc>
      </w:tr>
      <w:tr w:rsidR="001A4E3F" w:rsidRPr="00AE3D28" w:rsidTr="00BB017D">
        <w:trPr>
          <w:trHeight w:val="630"/>
          <w:tblHeader/>
        </w:trPr>
        <w:tc>
          <w:tcPr>
            <w:tcW w:w="18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F858D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млн. долл</w:t>
            </w:r>
            <w:r w:rsidR="00F858DE">
              <w:rPr>
                <w:b/>
                <w:bCs/>
                <w:color w:val="000000" w:themeColor="text1"/>
                <w:sz w:val="16"/>
                <w:szCs w:val="16"/>
              </w:rPr>
              <w:t>аров</w:t>
            </w: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 xml:space="preserve"> США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млн. долла</w:t>
            </w:r>
            <w:r w:rsidR="00F858DE">
              <w:rPr>
                <w:b/>
                <w:bCs/>
                <w:color w:val="000000" w:themeColor="text1"/>
                <w:sz w:val="16"/>
                <w:szCs w:val="16"/>
              </w:rPr>
              <w:t>-</w:t>
            </w: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ров США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млн. долла</w:t>
            </w:r>
            <w:r w:rsidR="00F858DE">
              <w:rPr>
                <w:b/>
                <w:bCs/>
                <w:color w:val="000000" w:themeColor="text1"/>
                <w:sz w:val="16"/>
                <w:szCs w:val="16"/>
              </w:rPr>
              <w:t>-</w:t>
            </w:r>
            <w:r w:rsidRPr="00AE3D28">
              <w:rPr>
                <w:b/>
                <w:bCs/>
                <w:color w:val="000000" w:themeColor="text1"/>
                <w:sz w:val="16"/>
                <w:szCs w:val="16"/>
              </w:rPr>
              <w:t>ров США</w:t>
            </w:r>
          </w:p>
        </w:tc>
      </w:tr>
      <w:tr w:rsidR="001A4E3F" w:rsidRPr="00AE3D28" w:rsidTr="00BB017D">
        <w:trPr>
          <w:trHeight w:val="255"/>
        </w:trPr>
        <w:tc>
          <w:tcPr>
            <w:tcW w:w="1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9 196,3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215,0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-65 424,5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-983,4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</w:tr>
      <w:tr w:rsidR="001A4E3F" w:rsidRPr="00AE3D28" w:rsidTr="00BB017D">
        <w:trPr>
          <w:trHeight w:val="255"/>
        </w:trPr>
        <w:tc>
          <w:tcPr>
            <w:tcW w:w="1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16 729,0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325,6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-50 214,9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-744,8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</w:tr>
      <w:tr w:rsidR="001A4E3F" w:rsidRPr="00AE3D28" w:rsidTr="00BB017D">
        <w:trPr>
          <w:trHeight w:val="255"/>
        </w:trPr>
        <w:tc>
          <w:tcPr>
            <w:tcW w:w="1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Привлечение (размещение)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371 638,6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6 180,0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303 751,8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5 096,1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bCs/>
                <w:i/>
                <w:iCs/>
                <w:color w:val="000000" w:themeColor="text1"/>
                <w:sz w:val="18"/>
                <w:szCs w:val="18"/>
              </w:rPr>
              <w:t>81,7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bCs/>
                <w:i/>
                <w:iCs/>
                <w:color w:val="000000" w:themeColor="text1"/>
                <w:sz w:val="18"/>
                <w:szCs w:val="18"/>
              </w:rPr>
              <w:t>82,5</w:t>
            </w:r>
          </w:p>
        </w:tc>
      </w:tr>
      <w:tr w:rsidR="001A4E3F" w:rsidRPr="00AE3D28" w:rsidTr="00BB017D">
        <w:trPr>
          <w:trHeight w:val="255"/>
        </w:trPr>
        <w:tc>
          <w:tcPr>
            <w:tcW w:w="1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Погашение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-354 909,6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-5 854,4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-353 966,7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-5 840,9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bCs/>
                <w:i/>
                <w:iCs/>
                <w:color w:val="000000" w:themeColor="text1"/>
                <w:sz w:val="18"/>
                <w:szCs w:val="18"/>
              </w:rPr>
              <w:t>99,7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bCs/>
                <w:i/>
                <w:iCs/>
                <w:color w:val="000000" w:themeColor="text1"/>
                <w:sz w:val="18"/>
                <w:szCs w:val="18"/>
              </w:rPr>
              <w:t>99,8</w:t>
            </w:r>
          </w:p>
        </w:tc>
      </w:tr>
      <w:tr w:rsidR="001A4E3F" w:rsidRPr="00AE3D28" w:rsidTr="00BB017D">
        <w:trPr>
          <w:trHeight w:val="1347"/>
        </w:trPr>
        <w:tc>
          <w:tcPr>
            <w:tcW w:w="1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 xml:space="preserve"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лиц,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-7 532,7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-110,6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-15 209,6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-238,6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E3D28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</w:tr>
      <w:tr w:rsidR="001A4E3F" w:rsidRPr="00AE3D28" w:rsidTr="00BB017D">
        <w:trPr>
          <w:trHeight w:val="255"/>
        </w:trPr>
        <w:tc>
          <w:tcPr>
            <w:tcW w:w="1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Привлечение (использование)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8 663,9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147,8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1 518,1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23,4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17,5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15,8</w:t>
            </w:r>
          </w:p>
        </w:tc>
      </w:tr>
      <w:tr w:rsidR="001A4E3F" w:rsidRPr="00AE3D28" w:rsidTr="00BB017D">
        <w:trPr>
          <w:trHeight w:val="255"/>
        </w:trPr>
        <w:tc>
          <w:tcPr>
            <w:tcW w:w="1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Погашение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-16 196,6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-258,4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-16 727,7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-261,9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103,3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3F" w:rsidRPr="00AE3D28" w:rsidRDefault="001A4E3F" w:rsidP="00BB017D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E3D28">
              <w:rPr>
                <w:i/>
                <w:iCs/>
                <w:color w:val="000000" w:themeColor="text1"/>
                <w:sz w:val="18"/>
                <w:szCs w:val="18"/>
              </w:rPr>
              <w:t>101,4</w:t>
            </w:r>
          </w:p>
        </w:tc>
      </w:tr>
    </w:tbl>
    <w:p w:rsidR="001A4E3F" w:rsidRPr="00426A19" w:rsidRDefault="00F858DE" w:rsidP="001A4E3F">
      <w:pPr>
        <w:widowControl w:val="0"/>
        <w:spacing w:line="240" w:lineRule="auto"/>
        <w:ind w:left="0" w:right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</w:t>
      </w:r>
      <w:r w:rsidR="001D3263">
        <w:rPr>
          <w:color w:val="000000" w:themeColor="text1"/>
          <w:sz w:val="20"/>
          <w:szCs w:val="20"/>
        </w:rPr>
        <w:t>Ф</w:t>
      </w:r>
      <w:r w:rsidR="001A4E3F" w:rsidRPr="00426A19">
        <w:rPr>
          <w:color w:val="000000" w:themeColor="text1"/>
          <w:sz w:val="20"/>
          <w:szCs w:val="20"/>
        </w:rPr>
        <w:t xml:space="preserve">актическое привлечение средств в результате размещения облигаций внешних облигационных займов Российской Федерации составило 5 096,1 млн. долларов США, или 303 751,8 млн. рублей, в том числе </w:t>
      </w:r>
      <w:r w:rsidR="001A4E3F" w:rsidRPr="00426A19">
        <w:rPr>
          <w:b/>
          <w:color w:val="000000" w:themeColor="text1"/>
          <w:sz w:val="20"/>
          <w:szCs w:val="20"/>
        </w:rPr>
        <w:t>3 180,0 млн. долларов США</w:t>
      </w:r>
      <w:r w:rsidR="001A4E3F" w:rsidRPr="00426A19">
        <w:rPr>
          <w:color w:val="000000" w:themeColor="text1"/>
          <w:sz w:val="20"/>
          <w:szCs w:val="20"/>
        </w:rPr>
        <w:t xml:space="preserve"> – </w:t>
      </w:r>
      <w:r w:rsidR="001A4E3F" w:rsidRPr="00426A19">
        <w:rPr>
          <w:b/>
          <w:color w:val="000000" w:themeColor="text1"/>
          <w:sz w:val="20"/>
          <w:szCs w:val="20"/>
        </w:rPr>
        <w:t>в рамках операци</w:t>
      </w:r>
      <w:r w:rsidR="001D3263">
        <w:rPr>
          <w:b/>
          <w:color w:val="000000" w:themeColor="text1"/>
          <w:sz w:val="20"/>
          <w:szCs w:val="20"/>
        </w:rPr>
        <w:t>й</w:t>
      </w:r>
      <w:r w:rsidR="001A4E3F" w:rsidRPr="00426A19">
        <w:rPr>
          <w:b/>
          <w:color w:val="000000" w:themeColor="text1"/>
          <w:sz w:val="20"/>
          <w:szCs w:val="20"/>
        </w:rPr>
        <w:t xml:space="preserve"> обмена </w:t>
      </w:r>
      <w:r w:rsidR="001A4E3F" w:rsidRPr="00426A19">
        <w:rPr>
          <w:color w:val="000000" w:themeColor="text1"/>
          <w:sz w:val="20"/>
          <w:szCs w:val="20"/>
        </w:rPr>
        <w:t xml:space="preserve">государственных ценных бумаг Российской Федерации в иностранной валюте. </w:t>
      </w:r>
      <w:r w:rsidR="001A4E3F" w:rsidRPr="00426A19">
        <w:rPr>
          <w:b/>
          <w:color w:val="000000" w:themeColor="text1"/>
          <w:sz w:val="20"/>
          <w:szCs w:val="20"/>
        </w:rPr>
        <w:t>Исполнение не в полном объеме</w:t>
      </w:r>
      <w:r w:rsidR="001A4E3F" w:rsidRPr="00426A19">
        <w:rPr>
          <w:color w:val="000000" w:themeColor="text1"/>
          <w:sz w:val="20"/>
          <w:szCs w:val="20"/>
        </w:rPr>
        <w:t xml:space="preserve"> Программы </w:t>
      </w:r>
      <w:r>
        <w:rPr>
          <w:color w:val="000000" w:themeColor="text1"/>
          <w:sz w:val="20"/>
          <w:szCs w:val="20"/>
        </w:rPr>
        <w:t xml:space="preserve">государственных </w:t>
      </w:r>
      <w:r w:rsidR="001A4E3F" w:rsidRPr="00426A19">
        <w:rPr>
          <w:color w:val="000000" w:themeColor="text1"/>
          <w:sz w:val="20"/>
          <w:szCs w:val="20"/>
        </w:rPr>
        <w:t xml:space="preserve">внешних заимствований </w:t>
      </w:r>
      <w:r>
        <w:rPr>
          <w:color w:val="000000" w:themeColor="text1"/>
          <w:sz w:val="20"/>
          <w:szCs w:val="20"/>
        </w:rPr>
        <w:t xml:space="preserve">Российской Федерации </w:t>
      </w:r>
      <w:r w:rsidR="001A4E3F" w:rsidRPr="00426A19">
        <w:rPr>
          <w:color w:val="000000" w:themeColor="text1"/>
          <w:sz w:val="20"/>
          <w:szCs w:val="20"/>
        </w:rPr>
        <w:t xml:space="preserve">на 2018 год </w:t>
      </w:r>
      <w:r w:rsidR="001A4E3F" w:rsidRPr="00426A19">
        <w:rPr>
          <w:b/>
          <w:color w:val="000000" w:themeColor="text1"/>
          <w:sz w:val="20"/>
          <w:szCs w:val="20"/>
        </w:rPr>
        <w:t>в части</w:t>
      </w:r>
      <w:r w:rsidR="001A4E3F" w:rsidRPr="00426A19">
        <w:rPr>
          <w:color w:val="000000" w:themeColor="text1"/>
          <w:sz w:val="20"/>
          <w:szCs w:val="20"/>
        </w:rPr>
        <w:t xml:space="preserve"> </w:t>
      </w:r>
      <w:r w:rsidR="001A4E3F" w:rsidRPr="00426A19">
        <w:rPr>
          <w:b/>
          <w:color w:val="000000" w:themeColor="text1"/>
          <w:sz w:val="20"/>
          <w:szCs w:val="20"/>
        </w:rPr>
        <w:t>несвязанных (финансовых) заимствований</w:t>
      </w:r>
      <w:r w:rsidR="001A4E3F" w:rsidRPr="00426A19">
        <w:rPr>
          <w:color w:val="000000" w:themeColor="text1"/>
          <w:sz w:val="20"/>
          <w:szCs w:val="20"/>
        </w:rPr>
        <w:t xml:space="preserve"> связано с тем, что размещение облигаций внешних облигационных займов Российской Федерации, не предназначенных для проведения операци</w:t>
      </w:r>
      <w:r w:rsidR="001D3263">
        <w:rPr>
          <w:color w:val="000000" w:themeColor="text1"/>
          <w:sz w:val="20"/>
          <w:szCs w:val="20"/>
        </w:rPr>
        <w:t>й</w:t>
      </w:r>
      <w:r w:rsidR="001A4E3F" w:rsidRPr="00426A19">
        <w:rPr>
          <w:color w:val="000000" w:themeColor="text1"/>
          <w:sz w:val="20"/>
          <w:szCs w:val="20"/>
        </w:rPr>
        <w:t xml:space="preserve"> обмена, было </w:t>
      </w:r>
      <w:r w:rsidR="001A4E3F" w:rsidRPr="00426A19">
        <w:rPr>
          <w:b/>
          <w:color w:val="000000" w:themeColor="text1"/>
          <w:sz w:val="20"/>
          <w:szCs w:val="20"/>
        </w:rPr>
        <w:t>осуществлено в меньшем объеме</w:t>
      </w:r>
      <w:r w:rsidR="001A4E3F" w:rsidRPr="00426A19">
        <w:rPr>
          <w:color w:val="000000" w:themeColor="text1"/>
          <w:sz w:val="20"/>
          <w:szCs w:val="20"/>
        </w:rPr>
        <w:t xml:space="preserve"> по сравнению с запланированным (на сумму по номинальной стоимости 1 925,0 млн. долларов США при плановом объеме 3 000,0 млн. долларов США).</w:t>
      </w:r>
    </w:p>
    <w:p w:rsidR="001A4E3F" w:rsidRPr="00426A19" w:rsidRDefault="00F858DE" w:rsidP="001A4E3F">
      <w:pPr>
        <w:widowControl w:val="0"/>
        <w:spacing w:line="240" w:lineRule="auto"/>
        <w:ind w:left="0" w:right="0"/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**</w:t>
      </w:r>
      <w:r w:rsidR="001D3263">
        <w:rPr>
          <w:color w:val="000000" w:themeColor="text1"/>
          <w:sz w:val="20"/>
          <w:szCs w:val="20"/>
        </w:rPr>
        <w:t>П</w:t>
      </w:r>
      <w:r w:rsidR="001A4E3F" w:rsidRPr="00426A19">
        <w:rPr>
          <w:color w:val="000000" w:themeColor="text1"/>
          <w:sz w:val="20"/>
          <w:szCs w:val="20"/>
        </w:rPr>
        <w:t xml:space="preserve">о 6 проектам МБРР </w:t>
      </w:r>
      <w:r>
        <w:rPr>
          <w:color w:val="000000" w:themeColor="text1"/>
          <w:sz w:val="20"/>
          <w:szCs w:val="20"/>
        </w:rPr>
        <w:t xml:space="preserve">привлечение средств </w:t>
      </w:r>
      <w:r w:rsidR="001A4E3F" w:rsidRPr="00426A19">
        <w:rPr>
          <w:color w:val="000000" w:themeColor="text1"/>
          <w:sz w:val="20"/>
          <w:szCs w:val="20"/>
        </w:rPr>
        <w:t xml:space="preserve">составило </w:t>
      </w:r>
      <w:r w:rsidR="001A4E3F" w:rsidRPr="00426A19">
        <w:rPr>
          <w:b/>
          <w:color w:val="000000" w:themeColor="text1"/>
          <w:sz w:val="20"/>
          <w:szCs w:val="20"/>
        </w:rPr>
        <w:t>23,4 млн. долларов США</w:t>
      </w:r>
      <w:r w:rsidR="001A4E3F" w:rsidRPr="00426A19">
        <w:rPr>
          <w:color w:val="000000" w:themeColor="text1"/>
          <w:sz w:val="20"/>
          <w:szCs w:val="20"/>
        </w:rPr>
        <w:t xml:space="preserve"> </w:t>
      </w:r>
      <w:r w:rsidR="00291773">
        <w:rPr>
          <w:color w:val="000000" w:themeColor="text1"/>
          <w:sz w:val="20"/>
          <w:szCs w:val="20"/>
        </w:rPr>
        <w:t>(1 518,1 млн. рублей), или 15,8 </w:t>
      </w:r>
      <w:r w:rsidR="001A4E3F" w:rsidRPr="00426A19">
        <w:rPr>
          <w:color w:val="000000" w:themeColor="text1"/>
          <w:sz w:val="20"/>
          <w:szCs w:val="20"/>
        </w:rPr>
        <w:t>% утвержденного объема (147,8 млн. долларов США), что обусловлено низкими темпами реализации действующих проектов с привлечением займов МБРР, а также неподписанием соглашений между Российской Федерацией и МФО о предоставлении займов для финансирования новых проектов. Так, в 2018 году привлечение по проекту «Реформа жилищно-коммунального хозяйства в России» составило 5,5</w:t>
      </w:r>
      <w:r w:rsidR="006D3EDD">
        <w:rPr>
          <w:color w:val="000000" w:themeColor="text1"/>
          <w:sz w:val="20"/>
          <w:szCs w:val="20"/>
        </w:rPr>
        <w:t> </w:t>
      </w:r>
      <w:r w:rsidR="001A4E3F" w:rsidRPr="00426A19">
        <w:rPr>
          <w:color w:val="000000" w:themeColor="text1"/>
          <w:sz w:val="20"/>
          <w:szCs w:val="20"/>
        </w:rPr>
        <w:t>млн. долларов США, «Содействие повышению уровня финансовой грамотности населения и развитию финансового образования в Российской Федерации» - 3,1 млн. долларов США, «Экономическое развитие г.</w:t>
      </w:r>
      <w:r>
        <w:rPr>
          <w:color w:val="000000" w:themeColor="text1"/>
          <w:sz w:val="20"/>
          <w:szCs w:val="20"/>
        </w:rPr>
        <w:t> </w:t>
      </w:r>
      <w:r w:rsidR="001A4E3F" w:rsidRPr="00426A19">
        <w:rPr>
          <w:color w:val="000000" w:themeColor="text1"/>
          <w:sz w:val="20"/>
          <w:szCs w:val="20"/>
        </w:rPr>
        <w:t>Санкт-Петербурга» - 0,1 млн. долларов США, «Сохранение и использование культурного наследия в России» - 5,5 млн. долларов США, «Модернизация и техническое перевооружение учреждений и организаций Росгидромета – 2» - 9,1 млн. долларов США, «Развитие сис</w:t>
      </w:r>
      <w:r w:rsidR="0074764F">
        <w:rPr>
          <w:color w:val="000000" w:themeColor="text1"/>
          <w:sz w:val="20"/>
          <w:szCs w:val="20"/>
        </w:rPr>
        <w:t>темы государственной статистики </w:t>
      </w:r>
      <w:r w:rsidR="001A4E3F" w:rsidRPr="00426A19">
        <w:rPr>
          <w:color w:val="000000" w:themeColor="text1"/>
          <w:sz w:val="20"/>
          <w:szCs w:val="20"/>
        </w:rPr>
        <w:t>– 2» - 0,1 млн. долларов США.</w:t>
      </w:r>
    </w:p>
    <w:sectPr w:rsidR="001A4E3F" w:rsidRPr="00426A19" w:rsidSect="00B30D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A1" w:rsidRDefault="004E20A1" w:rsidP="00B8499A">
      <w:pPr>
        <w:spacing w:line="240" w:lineRule="auto"/>
      </w:pPr>
      <w:r>
        <w:separator/>
      </w:r>
    </w:p>
  </w:endnote>
  <w:endnote w:type="continuationSeparator" w:id="0">
    <w:p w:rsidR="004E20A1" w:rsidRDefault="004E20A1" w:rsidP="00B8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A1" w:rsidRDefault="004E20A1" w:rsidP="00B8499A">
      <w:pPr>
        <w:spacing w:line="240" w:lineRule="auto"/>
      </w:pPr>
      <w:r>
        <w:separator/>
      </w:r>
    </w:p>
  </w:footnote>
  <w:footnote w:type="continuationSeparator" w:id="0">
    <w:p w:rsidR="004E20A1" w:rsidRDefault="004E20A1" w:rsidP="00B8499A">
      <w:pPr>
        <w:spacing w:line="240" w:lineRule="auto"/>
      </w:pPr>
      <w:r>
        <w:continuationSeparator/>
      </w:r>
    </w:p>
  </w:footnote>
  <w:footnote w:id="1">
    <w:p w:rsidR="00BB017D" w:rsidRDefault="00BB017D" w:rsidP="00B83930">
      <w:pPr>
        <w:spacing w:line="192" w:lineRule="auto"/>
      </w:pPr>
      <w:r>
        <w:rPr>
          <w:rStyle w:val="a8"/>
        </w:rPr>
        <w:footnoteRef/>
      </w:r>
      <w:r>
        <w:t xml:space="preserve"> </w:t>
      </w:r>
      <w:r w:rsidRPr="003F03FE">
        <w:rPr>
          <w:sz w:val="20"/>
        </w:rPr>
        <w:t xml:space="preserve">В соответствии с Условиями эмиссии и обращения </w:t>
      </w:r>
      <w:r>
        <w:rPr>
          <w:sz w:val="20"/>
        </w:rPr>
        <w:t>ОФЗ-ИН</w:t>
      </w:r>
      <w:r w:rsidRPr="003F03FE">
        <w:rPr>
          <w:sz w:val="20"/>
        </w:rPr>
        <w:t xml:space="preserve"> номинальная стоимость рассчитывается ежемесячно на каждую дату предстоящего месяца (расчетный месяц) Минфином России по утвержденной формуле через индексы приведения номинальной стоимости с учетом </w:t>
      </w:r>
      <w:r>
        <w:rPr>
          <w:sz w:val="20"/>
        </w:rPr>
        <w:t>ИПЦ</w:t>
      </w:r>
      <w:r w:rsidRPr="003F03FE">
        <w:rPr>
          <w:sz w:val="20"/>
        </w:rPr>
        <w:t xml:space="preserve"> на товары и услуги по Р</w:t>
      </w:r>
      <w:r>
        <w:rPr>
          <w:sz w:val="20"/>
        </w:rPr>
        <w:t>Ф</w:t>
      </w:r>
      <w:r w:rsidRPr="003F03FE">
        <w:rPr>
          <w:sz w:val="20"/>
        </w:rPr>
        <w:t xml:space="preserve">, сложившиеся за 3 или 4 месяца до расчетного месяца, к среднегодовым потребительским ценам на товары и услуги </w:t>
      </w:r>
      <w:r>
        <w:rPr>
          <w:sz w:val="20"/>
        </w:rPr>
        <w:t>2</w:t>
      </w:r>
      <w:r w:rsidRPr="003F03FE">
        <w:rPr>
          <w:sz w:val="20"/>
        </w:rPr>
        <w:t>000 года. Размер купонного дохода рассчитывается исходя из проиндексированной номинальной стоимости ОФЗ-ИН</w:t>
      </w:r>
      <w:r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8326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B017D" w:rsidRPr="00B30D92" w:rsidRDefault="00BB017D" w:rsidP="001C27C1">
        <w:pPr>
          <w:pStyle w:val="a4"/>
          <w:ind w:left="0" w:firstLine="0"/>
          <w:jc w:val="center"/>
          <w:rPr>
            <w:sz w:val="24"/>
            <w:szCs w:val="24"/>
          </w:rPr>
        </w:pPr>
        <w:r w:rsidRPr="00B30D92">
          <w:rPr>
            <w:sz w:val="24"/>
            <w:szCs w:val="24"/>
          </w:rPr>
          <w:fldChar w:fldCharType="begin"/>
        </w:r>
        <w:r w:rsidRPr="00B30D92">
          <w:rPr>
            <w:sz w:val="24"/>
            <w:szCs w:val="24"/>
          </w:rPr>
          <w:instrText>PAGE   \* MERGEFORMAT</w:instrText>
        </w:r>
        <w:r w:rsidRPr="00B30D92">
          <w:rPr>
            <w:sz w:val="24"/>
            <w:szCs w:val="24"/>
          </w:rPr>
          <w:fldChar w:fldCharType="separate"/>
        </w:r>
        <w:r w:rsidR="00B61F50">
          <w:rPr>
            <w:noProof/>
            <w:sz w:val="24"/>
            <w:szCs w:val="24"/>
          </w:rPr>
          <w:t>5</w:t>
        </w:r>
        <w:r w:rsidRPr="00B30D92">
          <w:rPr>
            <w:sz w:val="24"/>
            <w:szCs w:val="24"/>
          </w:rPr>
          <w:fldChar w:fldCharType="end"/>
        </w:r>
      </w:p>
    </w:sdtContent>
  </w:sdt>
  <w:p w:rsidR="00BB017D" w:rsidRDefault="00BB017D" w:rsidP="00B30D9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5586E"/>
    <w:rsid w:val="000667DD"/>
    <w:rsid w:val="00074805"/>
    <w:rsid w:val="000A0F5B"/>
    <w:rsid w:val="000B3640"/>
    <w:rsid w:val="000C4393"/>
    <w:rsid w:val="000D0BB2"/>
    <w:rsid w:val="000D79C3"/>
    <w:rsid w:val="000E25B5"/>
    <w:rsid w:val="000F0370"/>
    <w:rsid w:val="00126CF2"/>
    <w:rsid w:val="00135406"/>
    <w:rsid w:val="00151CFB"/>
    <w:rsid w:val="00175669"/>
    <w:rsid w:val="00181DD5"/>
    <w:rsid w:val="0019145D"/>
    <w:rsid w:val="001976DA"/>
    <w:rsid w:val="001A4E3F"/>
    <w:rsid w:val="001C27C1"/>
    <w:rsid w:val="001C6950"/>
    <w:rsid w:val="001D3263"/>
    <w:rsid w:val="002351C7"/>
    <w:rsid w:val="00240765"/>
    <w:rsid w:val="00243A41"/>
    <w:rsid w:val="00246959"/>
    <w:rsid w:val="00254D4B"/>
    <w:rsid w:val="002733CC"/>
    <w:rsid w:val="00291773"/>
    <w:rsid w:val="0029447E"/>
    <w:rsid w:val="002A0E78"/>
    <w:rsid w:val="002B7CFF"/>
    <w:rsid w:val="002C0D71"/>
    <w:rsid w:val="002C1B3F"/>
    <w:rsid w:val="002D6930"/>
    <w:rsid w:val="002F2973"/>
    <w:rsid w:val="0030149F"/>
    <w:rsid w:val="00302584"/>
    <w:rsid w:val="003244D6"/>
    <w:rsid w:val="00325C31"/>
    <w:rsid w:val="00333FD1"/>
    <w:rsid w:val="00355B7A"/>
    <w:rsid w:val="00362861"/>
    <w:rsid w:val="003C474F"/>
    <w:rsid w:val="004355AF"/>
    <w:rsid w:val="0044209D"/>
    <w:rsid w:val="0045176E"/>
    <w:rsid w:val="004577B0"/>
    <w:rsid w:val="0046254F"/>
    <w:rsid w:val="0048428C"/>
    <w:rsid w:val="004946D5"/>
    <w:rsid w:val="004A5233"/>
    <w:rsid w:val="004B3449"/>
    <w:rsid w:val="004C3CA8"/>
    <w:rsid w:val="004E20A1"/>
    <w:rsid w:val="004E2914"/>
    <w:rsid w:val="005000A1"/>
    <w:rsid w:val="005127B8"/>
    <w:rsid w:val="00547CF0"/>
    <w:rsid w:val="00565B24"/>
    <w:rsid w:val="00594A20"/>
    <w:rsid w:val="005A6239"/>
    <w:rsid w:val="00684C91"/>
    <w:rsid w:val="00687F36"/>
    <w:rsid w:val="006935AC"/>
    <w:rsid w:val="006D3EDD"/>
    <w:rsid w:val="006D65E1"/>
    <w:rsid w:val="006F14FB"/>
    <w:rsid w:val="0074764F"/>
    <w:rsid w:val="00755603"/>
    <w:rsid w:val="00760604"/>
    <w:rsid w:val="00785577"/>
    <w:rsid w:val="007A7EFF"/>
    <w:rsid w:val="007B0EF3"/>
    <w:rsid w:val="0083267B"/>
    <w:rsid w:val="008369ED"/>
    <w:rsid w:val="008C2B3D"/>
    <w:rsid w:val="008D7F8E"/>
    <w:rsid w:val="008E781A"/>
    <w:rsid w:val="009A0B49"/>
    <w:rsid w:val="009B12E4"/>
    <w:rsid w:val="009C5AE4"/>
    <w:rsid w:val="009E21C6"/>
    <w:rsid w:val="009F3C2F"/>
    <w:rsid w:val="009F7DF8"/>
    <w:rsid w:val="00A04366"/>
    <w:rsid w:val="00A66012"/>
    <w:rsid w:val="00A85A40"/>
    <w:rsid w:val="00AA144A"/>
    <w:rsid w:val="00AB497B"/>
    <w:rsid w:val="00B1533C"/>
    <w:rsid w:val="00B26B42"/>
    <w:rsid w:val="00B30D92"/>
    <w:rsid w:val="00B36692"/>
    <w:rsid w:val="00B5428B"/>
    <w:rsid w:val="00B573A9"/>
    <w:rsid w:val="00B61F50"/>
    <w:rsid w:val="00B71F58"/>
    <w:rsid w:val="00B76088"/>
    <w:rsid w:val="00B76A3E"/>
    <w:rsid w:val="00B83930"/>
    <w:rsid w:val="00B8499A"/>
    <w:rsid w:val="00B84D9D"/>
    <w:rsid w:val="00B87CCB"/>
    <w:rsid w:val="00BA7BD7"/>
    <w:rsid w:val="00BB017D"/>
    <w:rsid w:val="00BB33DB"/>
    <w:rsid w:val="00BC2916"/>
    <w:rsid w:val="00BC45B6"/>
    <w:rsid w:val="00BC4737"/>
    <w:rsid w:val="00BD33B3"/>
    <w:rsid w:val="00BE60B5"/>
    <w:rsid w:val="00BF3EF9"/>
    <w:rsid w:val="00C03F2F"/>
    <w:rsid w:val="00C30CAA"/>
    <w:rsid w:val="00C478D7"/>
    <w:rsid w:val="00C506C6"/>
    <w:rsid w:val="00C510B8"/>
    <w:rsid w:val="00C62C90"/>
    <w:rsid w:val="00C662C1"/>
    <w:rsid w:val="00CA156E"/>
    <w:rsid w:val="00CB47F8"/>
    <w:rsid w:val="00CD2D43"/>
    <w:rsid w:val="00CD4A7D"/>
    <w:rsid w:val="00CD5290"/>
    <w:rsid w:val="00CE0A7B"/>
    <w:rsid w:val="00CE1648"/>
    <w:rsid w:val="00CE16E9"/>
    <w:rsid w:val="00CE42F6"/>
    <w:rsid w:val="00CF67B5"/>
    <w:rsid w:val="00D125C1"/>
    <w:rsid w:val="00D22DCF"/>
    <w:rsid w:val="00D24ED2"/>
    <w:rsid w:val="00D812FD"/>
    <w:rsid w:val="00DA0074"/>
    <w:rsid w:val="00DA287A"/>
    <w:rsid w:val="00DC3941"/>
    <w:rsid w:val="00DD46D1"/>
    <w:rsid w:val="00DD68A2"/>
    <w:rsid w:val="00DF5C6E"/>
    <w:rsid w:val="00E255C4"/>
    <w:rsid w:val="00E45694"/>
    <w:rsid w:val="00E62C12"/>
    <w:rsid w:val="00E6353D"/>
    <w:rsid w:val="00E64951"/>
    <w:rsid w:val="00E66CBF"/>
    <w:rsid w:val="00E87C1C"/>
    <w:rsid w:val="00E9172F"/>
    <w:rsid w:val="00EA2B00"/>
    <w:rsid w:val="00EE6E72"/>
    <w:rsid w:val="00F11F6A"/>
    <w:rsid w:val="00F1569E"/>
    <w:rsid w:val="00F227D6"/>
    <w:rsid w:val="00F65A68"/>
    <w:rsid w:val="00F77CC1"/>
    <w:rsid w:val="00F858DE"/>
    <w:rsid w:val="00FA1C6B"/>
    <w:rsid w:val="00FE26BB"/>
    <w:rsid w:val="00FF1B38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yablova_mm\Documents\&#1057;&#1055;&#1056;&#1060;\&#1054;&#1087;&#1077;&#1088;&#1072;&#1090;&#1080;&#1074;&#1085;&#1099;&#1077;%20&#1086;&#1090;&#1095;&#1077;&#1090;&#1099;%20(&#1077;&#1078;&#1077;&#1084;&#1077;&#1089;&#1103;&#1095;&#1085;&#1099;&#1077;)\2018%20&#1075;&#1086;&#1076;\&#1076;&#1077;&#1082;&#1072;&#1073;&#1088;&#1100;\&#1084;&#1086;&#1080;\&#1075;&#1088;&#1072;&#1092;&#1080;&#1082;&#1080;%20&#1076;&#1077;&#1082;&#1072;&#1073;&#1088;&#110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yablova_mm\Documents\&#1057;&#1055;&#1056;&#1060;\&#1054;&#1087;&#1077;&#1088;&#1072;&#1090;&#1080;&#1074;&#1085;&#1099;&#1077;%20&#1086;&#1090;&#1095;&#1077;&#1090;&#1099;%20(&#1077;&#1078;&#1077;&#1084;&#1077;&#1089;&#1103;&#1095;&#1085;&#1099;&#1077;)\2018%20&#1075;&#1086;&#1076;\&#1076;&#1077;&#1082;&#1072;&#1073;&#1088;&#1100;\&#1084;&#1086;&#1080;\&#1075;&#1088;&#1072;&#1092;&#1080;&#1082;&#1080;%20&#1076;&#1077;&#1082;&#1072;&#1073;&#1088;&#110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57362282377425E-2"/>
          <c:y val="0.1653424937917837"/>
          <c:w val="0.67857213207904543"/>
          <c:h val="0.581494460076298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нерезиденты!$B$2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3.9447731755424065E-3"/>
                  <c:y val="-2.6733500417710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1834319526627219E-2"/>
                  <c:y val="-1.6708437761069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нерезиденты!$A$3:$A$15</c:f>
              <c:numCache>
                <c:formatCode>m/d/yyyy</c:formatCode>
                <c:ptCount val="13"/>
                <c:pt idx="0">
                  <c:v>43466</c:v>
                </c:pt>
                <c:pt idx="1">
                  <c:v>43435</c:v>
                </c:pt>
                <c:pt idx="2">
                  <c:v>43405</c:v>
                </c:pt>
                <c:pt idx="3">
                  <c:v>43374</c:v>
                </c:pt>
                <c:pt idx="4">
                  <c:v>43344</c:v>
                </c:pt>
                <c:pt idx="5">
                  <c:v>43313</c:v>
                </c:pt>
                <c:pt idx="6">
                  <c:v>43282</c:v>
                </c:pt>
                <c:pt idx="7">
                  <c:v>43252</c:v>
                </c:pt>
                <c:pt idx="8">
                  <c:v>43221</c:v>
                </c:pt>
                <c:pt idx="9">
                  <c:v>43191</c:v>
                </c:pt>
                <c:pt idx="10">
                  <c:v>43160</c:v>
                </c:pt>
                <c:pt idx="11">
                  <c:v>43132</c:v>
                </c:pt>
                <c:pt idx="12">
                  <c:v>43101</c:v>
                </c:pt>
              </c:numCache>
            </c:numRef>
          </c:cat>
          <c:val>
            <c:numRef>
              <c:f>нерезиденты!$B$3:$B$15</c:f>
              <c:numCache>
                <c:formatCode>#,##0</c:formatCode>
                <c:ptCount val="13"/>
                <c:pt idx="0" formatCode="General">
                  <c:v>1790</c:v>
                </c:pt>
                <c:pt idx="1">
                  <c:v>1798</c:v>
                </c:pt>
                <c:pt idx="2">
                  <c:v>1807</c:v>
                </c:pt>
                <c:pt idx="3">
                  <c:v>1853</c:v>
                </c:pt>
                <c:pt idx="4">
                  <c:v>1908</c:v>
                </c:pt>
                <c:pt idx="5">
                  <c:v>2006</c:v>
                </c:pt>
                <c:pt idx="6">
                  <c:v>1982</c:v>
                </c:pt>
                <c:pt idx="7">
                  <c:v>2123</c:v>
                </c:pt>
                <c:pt idx="8">
                  <c:v>2220</c:v>
                </c:pt>
                <c:pt idx="9">
                  <c:v>2351</c:v>
                </c:pt>
                <c:pt idx="10">
                  <c:v>2334</c:v>
                </c:pt>
                <c:pt idx="11">
                  <c:v>2270</c:v>
                </c:pt>
                <c:pt idx="12">
                  <c:v>2230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865600"/>
        <c:axId val="36253632"/>
      </c:barChart>
      <c:lineChart>
        <c:grouping val="standard"/>
        <c:varyColors val="0"/>
        <c:ser>
          <c:idx val="2"/>
          <c:order val="1"/>
          <c:tx>
            <c:strRef>
              <c:f>нерезиденты!$C$2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dLbls>
            <c:dLbl>
              <c:idx val="0"/>
              <c:layout>
                <c:manualLayout>
                  <c:x val="-9.5072752698053264E-3"/>
                  <c:y val="7.265797388219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620003107539844E-2"/>
                  <c:y val="8.5185210758430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2818195943362921E-3"/>
                  <c:y val="8.5185210758430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3945474320708483E-3"/>
                  <c:y val="8.5185210758430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3947137885934655E-3"/>
                  <c:y val="7.265797388219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7.3945474320707321E-3"/>
                  <c:y val="8.518471756012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162000310753992E-2"/>
                  <c:y val="8.5185210758430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1620003107539844E-2"/>
                  <c:y val="0.103976066072790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7.3945474320708093E-3"/>
                  <c:y val="8.5185210758430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162000310753992E-2"/>
                  <c:y val="9.1448829196550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7.3945474320708093E-3"/>
                  <c:y val="8.5185210758430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690917566017753E-3"/>
                  <c:y val="8.5185210758430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3945474320708093E-3"/>
                  <c:y val="8.5185210758430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нерезиденты!$A$3:$A$15</c:f>
              <c:numCache>
                <c:formatCode>m/d/yyyy</c:formatCode>
                <c:ptCount val="13"/>
                <c:pt idx="0">
                  <c:v>43466</c:v>
                </c:pt>
                <c:pt idx="1">
                  <c:v>43435</c:v>
                </c:pt>
                <c:pt idx="2">
                  <c:v>43405</c:v>
                </c:pt>
                <c:pt idx="3">
                  <c:v>43374</c:v>
                </c:pt>
                <c:pt idx="4">
                  <c:v>43344</c:v>
                </c:pt>
                <c:pt idx="5">
                  <c:v>43313</c:v>
                </c:pt>
                <c:pt idx="6">
                  <c:v>43282</c:v>
                </c:pt>
                <c:pt idx="7">
                  <c:v>43252</c:v>
                </c:pt>
                <c:pt idx="8">
                  <c:v>43221</c:v>
                </c:pt>
                <c:pt idx="9">
                  <c:v>43191</c:v>
                </c:pt>
                <c:pt idx="10">
                  <c:v>43160</c:v>
                </c:pt>
                <c:pt idx="11">
                  <c:v>43132</c:v>
                </c:pt>
                <c:pt idx="12">
                  <c:v>43101</c:v>
                </c:pt>
              </c:numCache>
            </c:numRef>
          </c:cat>
          <c:val>
            <c:numRef>
              <c:f>нерезиденты!$C$3:$C$15</c:f>
              <c:numCache>
                <c:formatCode>General</c:formatCode>
                <c:ptCount val="13"/>
                <c:pt idx="0">
                  <c:v>24.4</c:v>
                </c:pt>
                <c:pt idx="1">
                  <c:v>24.7</c:v>
                </c:pt>
                <c:pt idx="2">
                  <c:v>25</c:v>
                </c:pt>
                <c:pt idx="3">
                  <c:v>25.8</c:v>
                </c:pt>
                <c:pt idx="4">
                  <c:v>26.6</c:v>
                </c:pt>
                <c:pt idx="5">
                  <c:v>27.9</c:v>
                </c:pt>
                <c:pt idx="6">
                  <c:v>28.2</c:v>
                </c:pt>
                <c:pt idx="7">
                  <c:v>30.5</c:v>
                </c:pt>
                <c:pt idx="8">
                  <c:v>32.299999999999997</c:v>
                </c:pt>
                <c:pt idx="9">
                  <c:v>34.5</c:v>
                </c:pt>
                <c:pt idx="10">
                  <c:v>34.200000000000003</c:v>
                </c:pt>
                <c:pt idx="11">
                  <c:v>33.9</c:v>
                </c:pt>
                <c:pt idx="12">
                  <c:v>33.1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867648"/>
        <c:axId val="36254208"/>
      </c:lineChart>
      <c:dateAx>
        <c:axId val="3586560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ru-RU"/>
          </a:p>
        </c:txPr>
        <c:crossAx val="36253632"/>
        <c:crosses val="autoZero"/>
        <c:auto val="1"/>
        <c:lblOffset val="100"/>
        <c:baseTimeUnit val="months"/>
      </c:dateAx>
      <c:valAx>
        <c:axId val="36253632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35865600"/>
        <c:crosses val="autoZero"/>
        <c:crossBetween val="between"/>
      </c:valAx>
      <c:valAx>
        <c:axId val="36254208"/>
        <c:scaling>
          <c:orientation val="minMax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b="0"/>
                </a:pPr>
                <a:r>
                  <a:rPr lang="en-US" b="0"/>
                  <a:t>%</a:t>
                </a:r>
              </a:p>
            </c:rich>
          </c:tx>
          <c:layout>
            <c:manualLayout>
              <c:xMode val="edge"/>
              <c:yMode val="edge"/>
              <c:x val="0.75830726249362435"/>
              <c:y val="2.628288751723134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5867648"/>
        <c:crosses val="max"/>
        <c:crossBetween val="between"/>
      </c:valAx>
      <c:dateAx>
        <c:axId val="3586764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9.023177788875606E-4"/>
              <c:y val="5.2753192885026537E-3"/>
            </c:manualLayout>
          </c:layout>
          <c:overlay val="0"/>
        </c:title>
        <c:numFmt formatCode="m/d/yyyy" sourceLinked="1"/>
        <c:majorTickMark val="out"/>
        <c:minorTickMark val="none"/>
        <c:tickLblPos val="nextTo"/>
        <c:crossAx val="36254208"/>
        <c:crosses val="autoZero"/>
        <c:auto val="1"/>
        <c:lblOffset val="100"/>
        <c:baseTimeUnit val="months"/>
      </c:dateAx>
    </c:plotArea>
    <c:legend>
      <c:legendPos val="r"/>
      <c:layout>
        <c:manualLayout>
          <c:xMode val="edge"/>
          <c:yMode val="edge"/>
          <c:x val="0.78800540365377902"/>
          <c:y val="9.5334245421393543E-2"/>
          <c:w val="0.19915028305659024"/>
          <c:h val="0.4839296265206536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417019571315634E-2"/>
          <c:y val="0.12472157440060458"/>
          <c:w val="0.64059315169694442"/>
          <c:h val="0.731635691710229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'нерезиденты (2)'!$B$2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79636761580065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957084005012495E-17"/>
                  <c:y val="0.13987966349483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383557524058696E-3"/>
                  <c:y val="0.176693824005645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'нерезиденты (2)'!$A$3:$A$10</c:f>
              <c:strCache>
                <c:ptCount val="8"/>
                <c:pt idx="0">
                  <c:v>01.01.2012</c:v>
                </c:pt>
                <c:pt idx="1">
                  <c:v>01.01.2013</c:v>
                </c:pt>
                <c:pt idx="2">
                  <c:v>01.01.2014</c:v>
                </c:pt>
                <c:pt idx="3">
                  <c:v>01.01.2015</c:v>
                </c:pt>
                <c:pt idx="4">
                  <c:v>01.01.2016</c:v>
                </c:pt>
                <c:pt idx="5">
                  <c:v>01.01.2017</c:v>
                </c:pt>
                <c:pt idx="6">
                  <c:v>01.01.2018</c:v>
                </c:pt>
                <c:pt idx="7">
                  <c:v>01.01.2019</c:v>
                </c:pt>
              </c:strCache>
            </c:strRef>
          </c:cat>
          <c:val>
            <c:numRef>
              <c:f>'нерезиденты (2)'!$B$3:$B$10</c:f>
              <c:numCache>
                <c:formatCode>#,##0</c:formatCode>
                <c:ptCount val="8"/>
                <c:pt idx="0">
                  <c:v>107</c:v>
                </c:pt>
                <c:pt idx="1">
                  <c:v>655</c:v>
                </c:pt>
                <c:pt idx="2">
                  <c:v>894</c:v>
                </c:pt>
                <c:pt idx="3">
                  <c:v>877</c:v>
                </c:pt>
                <c:pt idx="4">
                  <c:v>1071</c:v>
                </c:pt>
                <c:pt idx="5">
                  <c:v>1517</c:v>
                </c:pt>
                <c:pt idx="6">
                  <c:v>2230</c:v>
                </c:pt>
                <c:pt idx="7">
                  <c:v>1790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357632"/>
        <c:axId val="36255936"/>
      </c:barChart>
      <c:lineChart>
        <c:grouping val="standard"/>
        <c:varyColors val="0"/>
        <c:ser>
          <c:idx val="1"/>
          <c:order val="1"/>
          <c:tx>
            <c:strRef>
              <c:f>'нерезиденты (2)'!$C$2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</c:spPr>
          </c:marker>
          <c:dLbls>
            <c:dLbl>
              <c:idx val="7"/>
              <c:layout>
                <c:manualLayout>
                  <c:x val="-3.3141822926531554E-2"/>
                  <c:y val="-4.9015285835440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'нерезиденты (2)'!$A$3:$A$10</c:f>
              <c:strCache>
                <c:ptCount val="8"/>
                <c:pt idx="0">
                  <c:v>01.01.2012</c:v>
                </c:pt>
                <c:pt idx="1">
                  <c:v>01.01.2013</c:v>
                </c:pt>
                <c:pt idx="2">
                  <c:v>01.01.2014</c:v>
                </c:pt>
                <c:pt idx="3">
                  <c:v>01.01.2015</c:v>
                </c:pt>
                <c:pt idx="4">
                  <c:v>01.01.2016</c:v>
                </c:pt>
                <c:pt idx="5">
                  <c:v>01.01.2017</c:v>
                </c:pt>
                <c:pt idx="6">
                  <c:v>01.01.2018</c:v>
                </c:pt>
                <c:pt idx="7">
                  <c:v>01.01.2019</c:v>
                </c:pt>
              </c:strCache>
            </c:strRef>
          </c:cat>
          <c:val>
            <c:numRef>
              <c:f>'нерезиденты (2)'!$C$3:$C$10</c:f>
              <c:numCache>
                <c:formatCode>General</c:formatCode>
                <c:ptCount val="8"/>
                <c:pt idx="0">
                  <c:v>3.7</c:v>
                </c:pt>
                <c:pt idx="1">
                  <c:v>19.899999999999999</c:v>
                </c:pt>
                <c:pt idx="2">
                  <c:v>23.9</c:v>
                </c:pt>
                <c:pt idx="3">
                  <c:v>18.7</c:v>
                </c:pt>
                <c:pt idx="4">
                  <c:v>21.5</c:v>
                </c:pt>
                <c:pt idx="5">
                  <c:v>26.9</c:v>
                </c:pt>
                <c:pt idx="6">
                  <c:v>33.1</c:v>
                </c:pt>
                <c:pt idx="7">
                  <c:v>24.4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315584"/>
        <c:axId val="36256512"/>
      </c:lineChart>
      <c:catAx>
        <c:axId val="363576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1.7583251312335959E-4"/>
              <c:y val="2.2532149148143618E-3"/>
            </c:manualLayout>
          </c:layout>
          <c:overlay val="0"/>
        </c:title>
        <c:numFmt formatCode="@" sourceLinked="1"/>
        <c:majorTickMark val="out"/>
        <c:minorTickMark val="none"/>
        <c:tickLblPos val="nextTo"/>
        <c:crossAx val="36255936"/>
        <c:crosses val="autoZero"/>
        <c:auto val="1"/>
        <c:lblAlgn val="ctr"/>
        <c:lblOffset val="100"/>
        <c:noMultiLvlLbl val="0"/>
      </c:catAx>
      <c:valAx>
        <c:axId val="3625593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6357632"/>
        <c:crosses val="autoZero"/>
        <c:crossBetween val="between"/>
      </c:valAx>
      <c:valAx>
        <c:axId val="3625651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37315584"/>
        <c:crosses val="max"/>
        <c:crossBetween val="between"/>
      </c:valAx>
      <c:catAx>
        <c:axId val="3731558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71611394124723127"/>
              <c:y val="9.7265579424545175E-4"/>
            </c:manualLayout>
          </c:layout>
          <c:overlay val="0"/>
        </c:title>
        <c:numFmt formatCode="@" sourceLinked="1"/>
        <c:majorTickMark val="out"/>
        <c:minorTickMark val="none"/>
        <c:tickLblPos val="nextTo"/>
        <c:crossAx val="36256512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6720556282457142"/>
          <c:y val="7.0936417538901647E-2"/>
          <c:w val="0.2199512427494606"/>
          <c:h val="0.6592148250750182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Зяблова М.М.</cp:lastModifiedBy>
  <cp:revision>30</cp:revision>
  <cp:lastPrinted>2019-02-15T13:37:00Z</cp:lastPrinted>
  <dcterms:created xsi:type="dcterms:W3CDTF">2019-02-12T08:26:00Z</dcterms:created>
  <dcterms:modified xsi:type="dcterms:W3CDTF">2019-02-15T13:38:00Z</dcterms:modified>
</cp:coreProperties>
</file>