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3B7" w:rsidRPr="000863B7" w:rsidRDefault="00805D31" w:rsidP="00B84208">
      <w:pPr>
        <w:overflowPunct w:val="0"/>
        <w:autoSpaceDE w:val="0"/>
        <w:autoSpaceDN w:val="0"/>
        <w:adjustRightInd w:val="0"/>
        <w:spacing w:after="0" w:line="240" w:lineRule="auto"/>
        <w:ind w:left="12616"/>
        <w:jc w:val="center"/>
        <w:textAlignment w:val="baseline"/>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Приложение № 3</w:t>
      </w:r>
    </w:p>
    <w:p w:rsidR="000863B7" w:rsidRPr="000863B7" w:rsidRDefault="00F25D32" w:rsidP="00B84208">
      <w:pPr>
        <w:overflowPunct w:val="0"/>
        <w:autoSpaceDE w:val="0"/>
        <w:autoSpaceDN w:val="0"/>
        <w:adjustRightInd w:val="0"/>
        <w:spacing w:after="0" w:line="240" w:lineRule="auto"/>
        <w:ind w:left="12616"/>
        <w:jc w:val="center"/>
        <w:textAlignment w:val="baseline"/>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 аналитической записке</w:t>
      </w:r>
    </w:p>
    <w:p w:rsidR="00F551C4" w:rsidRPr="00F551C4" w:rsidRDefault="00F551C4" w:rsidP="00F551C4">
      <w:pPr>
        <w:widowControl w:val="0"/>
        <w:tabs>
          <w:tab w:val="left" w:pos="9923"/>
        </w:tabs>
        <w:overflowPunct w:val="0"/>
        <w:autoSpaceDE w:val="0"/>
        <w:autoSpaceDN w:val="0"/>
        <w:adjustRightInd w:val="0"/>
        <w:spacing w:after="0" w:line="360" w:lineRule="auto"/>
        <w:ind w:firstLine="709"/>
        <w:jc w:val="right"/>
        <w:textAlignment w:val="baseline"/>
        <w:rPr>
          <w:rFonts w:ascii="Times New Roman" w:eastAsia="Calibri" w:hAnsi="Times New Roman" w:cs="Times New Roman"/>
          <w:sz w:val="20"/>
          <w:szCs w:val="20"/>
          <w:lang w:eastAsia="ru-RU"/>
        </w:rPr>
      </w:pPr>
    </w:p>
    <w:p w:rsidR="001A247E" w:rsidRPr="001A247E" w:rsidRDefault="001A247E" w:rsidP="001A247E">
      <w:pPr>
        <w:widowControl w:val="0"/>
        <w:tabs>
          <w:tab w:val="left" w:pos="9923"/>
        </w:tabs>
        <w:overflowPunct w:val="0"/>
        <w:autoSpaceDE w:val="0"/>
        <w:autoSpaceDN w:val="0"/>
        <w:adjustRightInd w:val="0"/>
        <w:spacing w:after="0" w:line="360" w:lineRule="auto"/>
        <w:ind w:firstLine="709"/>
        <w:jc w:val="center"/>
        <w:textAlignment w:val="baseline"/>
        <w:rPr>
          <w:rFonts w:ascii="Times New Roman" w:eastAsia="Calibri" w:hAnsi="Times New Roman" w:cs="Times New Roman"/>
          <w:b/>
          <w:sz w:val="24"/>
          <w:szCs w:val="24"/>
          <w:lang w:eastAsia="ru-RU"/>
        </w:rPr>
      </w:pPr>
      <w:r w:rsidRPr="001A247E">
        <w:rPr>
          <w:rFonts w:ascii="Times New Roman" w:eastAsia="Calibri" w:hAnsi="Times New Roman" w:cs="Times New Roman"/>
          <w:b/>
          <w:sz w:val="24"/>
          <w:szCs w:val="24"/>
          <w:lang w:eastAsia="ru-RU"/>
        </w:rPr>
        <w:t>Информация о факт</w:t>
      </w:r>
      <w:r w:rsidR="004B5F4F">
        <w:rPr>
          <w:rFonts w:ascii="Times New Roman" w:eastAsia="Calibri" w:hAnsi="Times New Roman" w:cs="Times New Roman"/>
          <w:b/>
          <w:sz w:val="24"/>
          <w:szCs w:val="24"/>
          <w:lang w:eastAsia="ru-RU"/>
        </w:rPr>
        <w:t>орах</w:t>
      </w:r>
      <w:r w:rsidRPr="001A247E">
        <w:rPr>
          <w:rFonts w:ascii="Times New Roman" w:eastAsia="Calibri" w:hAnsi="Times New Roman" w:cs="Times New Roman"/>
          <w:b/>
          <w:sz w:val="24"/>
          <w:szCs w:val="24"/>
          <w:lang w:eastAsia="ru-RU"/>
        </w:rPr>
        <w:t>, повлиявших на поступление</w:t>
      </w:r>
      <w:r>
        <w:rPr>
          <w:rFonts w:ascii="Times New Roman" w:eastAsia="Calibri" w:hAnsi="Times New Roman" w:cs="Times New Roman"/>
          <w:b/>
          <w:sz w:val="24"/>
          <w:szCs w:val="24"/>
          <w:lang w:eastAsia="ru-RU"/>
        </w:rPr>
        <w:t xml:space="preserve"> в 2018 году</w:t>
      </w:r>
      <w:r w:rsidRPr="001A247E">
        <w:rPr>
          <w:rFonts w:ascii="Times New Roman" w:eastAsia="Calibri" w:hAnsi="Times New Roman" w:cs="Times New Roman"/>
          <w:b/>
          <w:sz w:val="24"/>
          <w:szCs w:val="24"/>
          <w:lang w:eastAsia="ru-RU"/>
        </w:rPr>
        <w:t xml:space="preserve"> доходов в федеральный бюджет</w:t>
      </w:r>
    </w:p>
    <w:p w:rsidR="00F551C4" w:rsidRDefault="00F551C4" w:rsidP="000227C0">
      <w:pPr>
        <w:widowControl w:val="0"/>
        <w:tabs>
          <w:tab w:val="left" w:pos="9923"/>
        </w:tabs>
        <w:overflowPunct w:val="0"/>
        <w:autoSpaceDE w:val="0"/>
        <w:autoSpaceDN w:val="0"/>
        <w:adjustRightInd w:val="0"/>
        <w:spacing w:after="0" w:line="360" w:lineRule="auto"/>
        <w:ind w:firstLine="709"/>
        <w:jc w:val="both"/>
        <w:textAlignment w:val="baseline"/>
        <w:rPr>
          <w:rFonts w:ascii="Times New Roman" w:eastAsia="Calibri" w:hAnsi="Times New Roman" w:cs="Times New Roman"/>
          <w:b/>
          <w:sz w:val="24"/>
          <w:szCs w:val="24"/>
          <w:lang w:eastAsia="ru-RU"/>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2978"/>
        <w:gridCol w:w="12757"/>
      </w:tblGrid>
      <w:tr w:rsidR="00FF4D50" w:rsidRPr="007C2475" w:rsidTr="00FF4D50">
        <w:trPr>
          <w:trHeight w:val="340"/>
          <w:tblHeader/>
        </w:trPr>
        <w:tc>
          <w:tcPr>
            <w:tcW w:w="2978" w:type="dxa"/>
            <w:shd w:val="clear" w:color="auto" w:fill="FFFFFF" w:themeFill="background1"/>
            <w:vAlign w:val="center"/>
            <w:hideMark/>
          </w:tcPr>
          <w:p w:rsidR="00FF4D50" w:rsidRPr="007C2475" w:rsidRDefault="00FF4D50" w:rsidP="00B062B6">
            <w:pPr>
              <w:spacing w:after="0" w:line="240" w:lineRule="auto"/>
              <w:jc w:val="center"/>
              <w:rPr>
                <w:rFonts w:ascii="Times New Roman" w:eastAsia="Times New Roman" w:hAnsi="Times New Roman" w:cs="Times New Roman"/>
                <w:b/>
                <w:bCs/>
                <w:sz w:val="19"/>
                <w:szCs w:val="19"/>
                <w:lang w:eastAsia="ru-RU"/>
              </w:rPr>
            </w:pPr>
            <w:r w:rsidRPr="007C2475">
              <w:rPr>
                <w:rFonts w:ascii="Times New Roman" w:eastAsia="Times New Roman" w:hAnsi="Times New Roman" w:cs="Times New Roman"/>
                <w:b/>
                <w:bCs/>
                <w:sz w:val="19"/>
                <w:szCs w:val="19"/>
                <w:lang w:eastAsia="ru-RU"/>
              </w:rPr>
              <w:t>Наименование показателя</w:t>
            </w:r>
          </w:p>
        </w:tc>
        <w:tc>
          <w:tcPr>
            <w:tcW w:w="12757" w:type="dxa"/>
            <w:shd w:val="clear" w:color="auto" w:fill="FFFFFF" w:themeFill="background1"/>
            <w:vAlign w:val="center"/>
            <w:hideMark/>
          </w:tcPr>
          <w:p w:rsidR="00FF4D50" w:rsidRPr="007C2475" w:rsidRDefault="00FF4D50" w:rsidP="00FF4D50">
            <w:pPr>
              <w:spacing w:after="0" w:line="240" w:lineRule="auto"/>
              <w:jc w:val="center"/>
              <w:rPr>
                <w:rFonts w:ascii="Times New Roman" w:eastAsia="Times New Roman" w:hAnsi="Times New Roman" w:cs="Times New Roman"/>
                <w:b/>
                <w:bCs/>
                <w:sz w:val="19"/>
                <w:szCs w:val="19"/>
                <w:lang w:eastAsia="ru-RU"/>
              </w:rPr>
            </w:pPr>
            <w:r w:rsidRPr="007C2475">
              <w:rPr>
                <w:rFonts w:ascii="Times New Roman" w:eastAsia="Times New Roman" w:hAnsi="Times New Roman" w:cs="Times New Roman"/>
                <w:b/>
                <w:bCs/>
                <w:sz w:val="19"/>
                <w:szCs w:val="19"/>
                <w:lang w:eastAsia="ru-RU"/>
              </w:rPr>
              <w:t>Информация о факт</w:t>
            </w:r>
            <w:r w:rsidR="00984B58">
              <w:rPr>
                <w:rFonts w:ascii="Times New Roman" w:eastAsia="Times New Roman" w:hAnsi="Times New Roman" w:cs="Times New Roman"/>
                <w:b/>
                <w:bCs/>
                <w:sz w:val="19"/>
                <w:szCs w:val="19"/>
                <w:lang w:eastAsia="ru-RU"/>
              </w:rPr>
              <w:t>ор</w:t>
            </w:r>
            <w:r w:rsidRPr="007C2475">
              <w:rPr>
                <w:rFonts w:ascii="Times New Roman" w:eastAsia="Times New Roman" w:hAnsi="Times New Roman" w:cs="Times New Roman"/>
                <w:b/>
                <w:bCs/>
                <w:sz w:val="19"/>
                <w:szCs w:val="19"/>
                <w:lang w:eastAsia="ru-RU"/>
              </w:rPr>
              <w:t>ах, повлиявших на поступление в 2018 году доходов в федеральный бюджет</w:t>
            </w:r>
          </w:p>
        </w:tc>
      </w:tr>
      <w:tr w:rsidR="007C2475" w:rsidRPr="007C2475" w:rsidTr="00FF4D50">
        <w:trPr>
          <w:trHeight w:val="60"/>
          <w:tblHeader/>
        </w:trPr>
        <w:tc>
          <w:tcPr>
            <w:tcW w:w="2978" w:type="dxa"/>
            <w:shd w:val="clear" w:color="auto" w:fill="FFFFFF" w:themeFill="background1"/>
            <w:vAlign w:val="center"/>
            <w:hideMark/>
          </w:tcPr>
          <w:p w:rsidR="00F32772" w:rsidRPr="007C2475" w:rsidRDefault="00F32772" w:rsidP="003E59F6">
            <w:pPr>
              <w:spacing w:after="0" w:line="240" w:lineRule="auto"/>
              <w:jc w:val="center"/>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1</w:t>
            </w:r>
          </w:p>
        </w:tc>
        <w:tc>
          <w:tcPr>
            <w:tcW w:w="12757" w:type="dxa"/>
            <w:shd w:val="clear" w:color="auto" w:fill="FFFFFF" w:themeFill="background1"/>
            <w:vAlign w:val="center"/>
          </w:tcPr>
          <w:p w:rsidR="00F32772" w:rsidRPr="007C2475" w:rsidRDefault="00D34C81" w:rsidP="003E59F6">
            <w:pPr>
              <w:spacing w:after="0" w:line="240" w:lineRule="auto"/>
              <w:jc w:val="center"/>
              <w:rPr>
                <w:rFonts w:ascii="Times New Roman" w:eastAsia="Times New Roman" w:hAnsi="Times New Roman" w:cs="Times New Roman"/>
                <w:bCs/>
                <w:sz w:val="19"/>
                <w:szCs w:val="19"/>
                <w:lang w:eastAsia="ru-RU"/>
              </w:rPr>
            </w:pPr>
            <w:r>
              <w:rPr>
                <w:rFonts w:ascii="Times New Roman" w:eastAsia="Times New Roman" w:hAnsi="Times New Roman" w:cs="Times New Roman"/>
                <w:bCs/>
                <w:sz w:val="19"/>
                <w:szCs w:val="19"/>
                <w:lang w:eastAsia="ru-RU"/>
              </w:rPr>
              <w:t>2</w:t>
            </w:r>
          </w:p>
        </w:tc>
      </w:tr>
      <w:tr w:rsidR="007C2475" w:rsidRPr="007C2475" w:rsidTr="00FF4D50">
        <w:trPr>
          <w:trHeight w:val="300"/>
        </w:trPr>
        <w:tc>
          <w:tcPr>
            <w:tcW w:w="2978" w:type="dxa"/>
            <w:shd w:val="clear" w:color="auto" w:fill="FFFFFF" w:themeFill="background1"/>
            <w:vAlign w:val="center"/>
            <w:hideMark/>
          </w:tcPr>
          <w:p w:rsidR="00F32772" w:rsidRPr="007C2475" w:rsidRDefault="00F32772" w:rsidP="00FF4D50">
            <w:pPr>
              <w:spacing w:after="0" w:line="240" w:lineRule="auto"/>
              <w:ind w:right="-29"/>
              <w:rPr>
                <w:rFonts w:ascii="Times New Roman" w:eastAsia="Times New Roman" w:hAnsi="Times New Roman" w:cs="Times New Roman"/>
                <w:b/>
                <w:bCs/>
                <w:sz w:val="19"/>
                <w:szCs w:val="19"/>
                <w:lang w:eastAsia="ru-RU"/>
              </w:rPr>
            </w:pPr>
            <w:r w:rsidRPr="007C2475">
              <w:rPr>
                <w:rFonts w:ascii="Times New Roman" w:eastAsia="Times New Roman" w:hAnsi="Times New Roman" w:cs="Times New Roman"/>
                <w:b/>
                <w:bCs/>
                <w:sz w:val="19"/>
                <w:szCs w:val="19"/>
                <w:lang w:eastAsia="ru-RU"/>
              </w:rPr>
              <w:t>Доходы федерального бюджета</w:t>
            </w:r>
            <w:r w:rsidR="00FF4D50">
              <w:rPr>
                <w:rFonts w:ascii="Times New Roman" w:eastAsia="Times New Roman" w:hAnsi="Times New Roman" w:cs="Times New Roman"/>
                <w:b/>
                <w:bCs/>
                <w:sz w:val="19"/>
                <w:szCs w:val="19"/>
                <w:lang w:eastAsia="ru-RU"/>
              </w:rPr>
              <w:t> </w:t>
            </w:r>
            <w:r w:rsidRPr="007C2475">
              <w:rPr>
                <w:rFonts w:ascii="Times New Roman" w:eastAsia="Times New Roman" w:hAnsi="Times New Roman" w:cs="Times New Roman"/>
                <w:b/>
                <w:bCs/>
                <w:sz w:val="19"/>
                <w:szCs w:val="19"/>
                <w:lang w:eastAsia="ru-RU"/>
              </w:rPr>
              <w:t>- всего</w:t>
            </w:r>
          </w:p>
        </w:tc>
        <w:tc>
          <w:tcPr>
            <w:tcW w:w="12757" w:type="dxa"/>
            <w:shd w:val="clear" w:color="auto" w:fill="FFFFFF" w:themeFill="background1"/>
            <w:noWrap/>
            <w:vAlign w:val="center"/>
          </w:tcPr>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p>
        </w:tc>
      </w:tr>
      <w:tr w:rsidR="007C2475" w:rsidRPr="007C2475" w:rsidTr="00FF4D50">
        <w:trPr>
          <w:trHeight w:val="60"/>
        </w:trPr>
        <w:tc>
          <w:tcPr>
            <w:tcW w:w="2978" w:type="dxa"/>
            <w:shd w:val="clear" w:color="auto" w:fill="FFFFFF" w:themeFill="background1"/>
            <w:vAlign w:val="center"/>
            <w:hideMark/>
          </w:tcPr>
          <w:p w:rsidR="00F32772" w:rsidRPr="007C2475" w:rsidRDefault="00F32772" w:rsidP="008029F0">
            <w:pPr>
              <w:spacing w:after="0" w:line="240" w:lineRule="auto"/>
              <w:ind w:firstLineChars="100" w:firstLine="190"/>
              <w:rPr>
                <w:rFonts w:ascii="Times New Roman" w:eastAsia="Times New Roman" w:hAnsi="Times New Roman" w:cs="Times New Roman"/>
                <w:i/>
                <w:iCs/>
                <w:sz w:val="19"/>
                <w:szCs w:val="19"/>
                <w:lang w:eastAsia="ru-RU"/>
              </w:rPr>
            </w:pPr>
            <w:r w:rsidRPr="007C2475">
              <w:rPr>
                <w:rFonts w:ascii="Times New Roman" w:eastAsia="Times New Roman" w:hAnsi="Times New Roman" w:cs="Times New Roman"/>
                <w:i/>
                <w:iCs/>
                <w:sz w:val="19"/>
                <w:szCs w:val="19"/>
                <w:lang w:eastAsia="ru-RU"/>
              </w:rPr>
              <w:t>в том числе:</w:t>
            </w:r>
          </w:p>
        </w:tc>
        <w:tc>
          <w:tcPr>
            <w:tcW w:w="12757" w:type="dxa"/>
            <w:shd w:val="clear" w:color="auto" w:fill="FFFFFF" w:themeFill="background1"/>
            <w:noWrap/>
            <w:vAlign w:val="center"/>
          </w:tcPr>
          <w:p w:rsidR="00F32772" w:rsidRPr="007C2475" w:rsidRDefault="00F32772" w:rsidP="00F20E43">
            <w:pPr>
              <w:spacing w:after="0" w:line="240" w:lineRule="auto"/>
              <w:ind w:firstLine="175"/>
              <w:rPr>
                <w:rFonts w:ascii="Times New Roman" w:eastAsia="Times New Roman" w:hAnsi="Times New Roman" w:cs="Times New Roman"/>
                <w:i/>
                <w:iCs/>
                <w:sz w:val="19"/>
                <w:szCs w:val="19"/>
                <w:lang w:eastAsia="ru-RU"/>
              </w:rPr>
            </w:pPr>
          </w:p>
        </w:tc>
      </w:tr>
      <w:tr w:rsidR="007C2475" w:rsidRPr="007C2475" w:rsidTr="00FF4D50">
        <w:trPr>
          <w:trHeight w:val="60"/>
        </w:trPr>
        <w:tc>
          <w:tcPr>
            <w:tcW w:w="2978" w:type="dxa"/>
            <w:shd w:val="clear" w:color="auto" w:fill="FFFFFF" w:themeFill="background1"/>
            <w:vAlign w:val="center"/>
            <w:hideMark/>
          </w:tcPr>
          <w:p w:rsidR="00F32772" w:rsidRPr="007C2475" w:rsidRDefault="00F32772" w:rsidP="008029F0">
            <w:pPr>
              <w:spacing w:after="0" w:line="240" w:lineRule="auto"/>
              <w:ind w:firstLineChars="100" w:firstLine="191"/>
              <w:rPr>
                <w:rFonts w:ascii="Times New Roman" w:eastAsia="Times New Roman" w:hAnsi="Times New Roman" w:cs="Times New Roman"/>
                <w:b/>
                <w:bCs/>
                <w:sz w:val="19"/>
                <w:szCs w:val="19"/>
                <w:lang w:eastAsia="ru-RU"/>
              </w:rPr>
            </w:pPr>
            <w:r w:rsidRPr="007C2475">
              <w:rPr>
                <w:rFonts w:ascii="Times New Roman" w:eastAsia="Times New Roman" w:hAnsi="Times New Roman" w:cs="Times New Roman"/>
                <w:b/>
                <w:bCs/>
                <w:sz w:val="19"/>
                <w:szCs w:val="19"/>
                <w:lang w:val="en-US" w:eastAsia="ru-RU"/>
              </w:rPr>
              <w:t>I</w:t>
            </w:r>
            <w:r w:rsidRPr="007C2475">
              <w:rPr>
                <w:rFonts w:ascii="Times New Roman" w:eastAsia="Times New Roman" w:hAnsi="Times New Roman" w:cs="Times New Roman"/>
                <w:b/>
                <w:bCs/>
                <w:sz w:val="19"/>
                <w:szCs w:val="19"/>
                <w:lang w:eastAsia="ru-RU"/>
              </w:rPr>
              <w:t>.</w:t>
            </w:r>
            <w:r w:rsidRPr="007C2475">
              <w:rPr>
                <w:rFonts w:ascii="Times New Roman" w:eastAsia="Times New Roman" w:hAnsi="Times New Roman" w:cs="Times New Roman"/>
                <w:b/>
                <w:bCs/>
                <w:sz w:val="19"/>
                <w:szCs w:val="19"/>
                <w:lang w:val="en-US" w:eastAsia="ru-RU"/>
              </w:rPr>
              <w:t> </w:t>
            </w:r>
            <w:r w:rsidRPr="007C2475">
              <w:rPr>
                <w:rFonts w:ascii="Times New Roman" w:eastAsia="Times New Roman" w:hAnsi="Times New Roman" w:cs="Times New Roman"/>
                <w:b/>
                <w:bCs/>
                <w:sz w:val="19"/>
                <w:szCs w:val="19"/>
                <w:lang w:eastAsia="ru-RU"/>
              </w:rPr>
              <w:t>Налоговые доходы</w:t>
            </w:r>
          </w:p>
        </w:tc>
        <w:tc>
          <w:tcPr>
            <w:tcW w:w="12757" w:type="dxa"/>
            <w:shd w:val="clear" w:color="auto" w:fill="FFFFFF" w:themeFill="background1"/>
            <w:noWrap/>
            <w:vAlign w:val="center"/>
          </w:tcPr>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
                <w:bCs/>
                <w:sz w:val="19"/>
                <w:szCs w:val="19"/>
                <w:lang w:eastAsia="ru-RU"/>
              </w:rPr>
              <w:t>Доля налоговых доходов</w:t>
            </w:r>
            <w:r w:rsidRPr="007C2475">
              <w:rPr>
                <w:rFonts w:ascii="Times New Roman" w:eastAsia="Times New Roman" w:hAnsi="Times New Roman" w:cs="Times New Roman"/>
                <w:bCs/>
                <w:sz w:val="19"/>
                <w:szCs w:val="19"/>
                <w:lang w:eastAsia="ru-RU"/>
              </w:rPr>
              <w:t xml:space="preserve"> в общем объеме доходов федерального бюджета в 2018 году составила </w:t>
            </w:r>
            <w:r w:rsidRPr="007C2475">
              <w:rPr>
                <w:rFonts w:ascii="Times New Roman" w:eastAsia="Times New Roman" w:hAnsi="Times New Roman" w:cs="Times New Roman"/>
                <w:b/>
                <w:bCs/>
                <w:sz w:val="19"/>
                <w:szCs w:val="19"/>
                <w:lang w:eastAsia="ru-RU"/>
              </w:rPr>
              <w:t>72,84 %</w:t>
            </w:r>
            <w:r w:rsidRPr="007C2475">
              <w:rPr>
                <w:rFonts w:ascii="Times New Roman" w:eastAsia="Times New Roman" w:hAnsi="Times New Roman" w:cs="Times New Roman"/>
                <w:bCs/>
                <w:sz w:val="19"/>
                <w:szCs w:val="19"/>
                <w:lang w:eastAsia="ru-RU"/>
              </w:rPr>
              <w:t>, что ниже предусмотренного прогнозом поступлений к Федеральному закону № 458-ФЗ аналогичного показателя на 0,38 процентного пункта (73,22 %) и на 0,53 процентного пункта ниже, чем в 2017 году (73,37 %).</w:t>
            </w:r>
          </w:p>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В 2018 году поступления НДС и НДПИ составили 85,3 % налоговых доходов (</w:t>
            </w:r>
            <w:r w:rsidR="00984B58">
              <w:rPr>
                <w:rFonts w:ascii="Times New Roman" w:eastAsia="Times New Roman" w:hAnsi="Times New Roman" w:cs="Times New Roman"/>
                <w:bCs/>
                <w:sz w:val="19"/>
                <w:szCs w:val="19"/>
                <w:lang w:eastAsia="ru-RU"/>
              </w:rPr>
              <w:t>42,5 % и 42,8 % соответственно)</w:t>
            </w:r>
          </w:p>
        </w:tc>
      </w:tr>
      <w:tr w:rsidR="007C2475" w:rsidRPr="007C2475" w:rsidTr="00FF4D50">
        <w:trPr>
          <w:trHeight w:val="60"/>
        </w:trPr>
        <w:tc>
          <w:tcPr>
            <w:tcW w:w="2978" w:type="dxa"/>
            <w:shd w:val="clear" w:color="auto" w:fill="FFFFFF" w:themeFill="background1"/>
            <w:vAlign w:val="center"/>
            <w:hideMark/>
          </w:tcPr>
          <w:p w:rsidR="00F32772" w:rsidRPr="007C2475" w:rsidRDefault="00F32772" w:rsidP="008029F0">
            <w:pPr>
              <w:spacing w:after="0" w:line="240" w:lineRule="auto"/>
              <w:ind w:firstLineChars="100" w:firstLine="190"/>
              <w:rPr>
                <w:rFonts w:ascii="Times New Roman" w:eastAsia="Times New Roman" w:hAnsi="Times New Roman" w:cs="Times New Roman"/>
                <w:i/>
                <w:iCs/>
                <w:sz w:val="19"/>
                <w:szCs w:val="19"/>
                <w:lang w:eastAsia="ru-RU"/>
              </w:rPr>
            </w:pPr>
            <w:r w:rsidRPr="007C2475">
              <w:rPr>
                <w:rFonts w:ascii="Times New Roman" w:eastAsia="Times New Roman" w:hAnsi="Times New Roman" w:cs="Times New Roman"/>
                <w:i/>
                <w:iCs/>
                <w:sz w:val="19"/>
                <w:szCs w:val="19"/>
                <w:lang w:eastAsia="ru-RU"/>
              </w:rPr>
              <w:t>в том числе:</w:t>
            </w:r>
          </w:p>
        </w:tc>
        <w:tc>
          <w:tcPr>
            <w:tcW w:w="12757" w:type="dxa"/>
            <w:shd w:val="clear" w:color="auto" w:fill="FFFFFF" w:themeFill="background1"/>
            <w:noWrap/>
            <w:vAlign w:val="center"/>
          </w:tcPr>
          <w:p w:rsidR="00F32772" w:rsidRPr="007C2475" w:rsidRDefault="00F32772" w:rsidP="00F20E43">
            <w:pPr>
              <w:spacing w:after="0" w:line="240" w:lineRule="auto"/>
              <w:ind w:firstLine="175"/>
              <w:jc w:val="both"/>
              <w:rPr>
                <w:rFonts w:ascii="Times New Roman" w:eastAsia="Times New Roman" w:hAnsi="Times New Roman" w:cs="Times New Roman"/>
                <w:i/>
                <w:iCs/>
                <w:sz w:val="19"/>
                <w:szCs w:val="19"/>
                <w:lang w:eastAsia="ru-RU"/>
              </w:rPr>
            </w:pPr>
          </w:p>
        </w:tc>
      </w:tr>
      <w:tr w:rsidR="007C2475" w:rsidRPr="007C2475" w:rsidTr="00FF4D50">
        <w:trPr>
          <w:trHeight w:val="64"/>
        </w:trPr>
        <w:tc>
          <w:tcPr>
            <w:tcW w:w="2978" w:type="dxa"/>
            <w:shd w:val="clear" w:color="auto" w:fill="FFFFFF" w:themeFill="background1"/>
            <w:vAlign w:val="center"/>
            <w:hideMark/>
          </w:tcPr>
          <w:p w:rsidR="00F32772" w:rsidRPr="007C2475" w:rsidRDefault="00F32772" w:rsidP="00B062B6">
            <w:pPr>
              <w:spacing w:after="0" w:line="240" w:lineRule="auto"/>
              <w:ind w:right="-29"/>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Налог на прибыль организаций</w:t>
            </w:r>
          </w:p>
        </w:tc>
        <w:tc>
          <w:tcPr>
            <w:tcW w:w="12757" w:type="dxa"/>
            <w:shd w:val="clear" w:color="auto" w:fill="FFFFFF" w:themeFill="background1"/>
            <w:noWrap/>
            <w:vAlign w:val="center"/>
          </w:tcPr>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Превышение уточненного прогноза</w:t>
            </w:r>
            <w:r w:rsidR="00DA398C">
              <w:rPr>
                <w:rFonts w:ascii="Times New Roman" w:eastAsia="Times New Roman" w:hAnsi="Times New Roman" w:cs="Times New Roman"/>
                <w:bCs/>
                <w:sz w:val="19"/>
                <w:szCs w:val="19"/>
                <w:lang w:eastAsia="ru-RU"/>
              </w:rPr>
              <w:t xml:space="preserve"> составило</w:t>
            </w:r>
            <w:r w:rsidRPr="007C2475">
              <w:rPr>
                <w:rFonts w:ascii="Times New Roman" w:eastAsia="Times New Roman" w:hAnsi="Times New Roman" w:cs="Times New Roman"/>
                <w:bCs/>
                <w:sz w:val="19"/>
                <w:szCs w:val="19"/>
                <w:lang w:eastAsia="ru-RU"/>
              </w:rPr>
              <w:t xml:space="preserve"> </w:t>
            </w:r>
            <w:r w:rsidR="00DA398C">
              <w:rPr>
                <w:rFonts w:ascii="Times New Roman" w:eastAsia="Times New Roman" w:hAnsi="Times New Roman" w:cs="Times New Roman"/>
                <w:bCs/>
                <w:sz w:val="19"/>
                <w:szCs w:val="19"/>
                <w:lang w:eastAsia="ru-RU"/>
              </w:rPr>
              <w:t>55 389,7</w:t>
            </w:r>
            <w:r w:rsidRPr="007C2475">
              <w:rPr>
                <w:rFonts w:ascii="Times New Roman" w:eastAsia="Times New Roman" w:hAnsi="Times New Roman" w:cs="Times New Roman"/>
                <w:bCs/>
                <w:sz w:val="19"/>
                <w:szCs w:val="19"/>
                <w:lang w:eastAsia="ru-RU"/>
              </w:rPr>
              <w:t xml:space="preserve"> млн. рублей, или </w:t>
            </w:r>
            <w:r w:rsidR="00DA398C">
              <w:rPr>
                <w:rFonts w:ascii="Times New Roman" w:eastAsia="Times New Roman" w:hAnsi="Times New Roman" w:cs="Times New Roman"/>
                <w:bCs/>
                <w:sz w:val="19"/>
                <w:szCs w:val="19"/>
                <w:lang w:eastAsia="ru-RU"/>
              </w:rPr>
              <w:t>5,9</w:t>
            </w:r>
            <w:r w:rsidRPr="007C2475">
              <w:rPr>
                <w:rFonts w:ascii="Times New Roman" w:eastAsia="Times New Roman" w:hAnsi="Times New Roman" w:cs="Times New Roman"/>
                <w:bCs/>
                <w:sz w:val="19"/>
                <w:szCs w:val="19"/>
                <w:lang w:eastAsia="ru-RU"/>
              </w:rPr>
              <w:t> %</w:t>
            </w:r>
            <w:r w:rsidR="002532C8">
              <w:rPr>
                <w:rFonts w:ascii="Times New Roman" w:eastAsia="Times New Roman" w:hAnsi="Times New Roman" w:cs="Times New Roman"/>
                <w:bCs/>
                <w:sz w:val="19"/>
                <w:szCs w:val="19"/>
                <w:lang w:eastAsia="ru-RU"/>
              </w:rPr>
              <w:t>, что</w:t>
            </w:r>
            <w:r w:rsidRPr="007C2475">
              <w:rPr>
                <w:rFonts w:ascii="Times New Roman" w:eastAsia="Times New Roman" w:hAnsi="Times New Roman" w:cs="Times New Roman"/>
                <w:bCs/>
                <w:sz w:val="19"/>
                <w:szCs w:val="19"/>
                <w:lang w:eastAsia="ru-RU"/>
              </w:rPr>
              <w:t xml:space="preserve"> в основном связано с увеличением поступлений по основной ставке налога на прибыль организаций для зачисления в федеральный бюджет (3 %), а также с увеличением доходов</w:t>
            </w:r>
            <w:r w:rsidR="00B84208">
              <w:rPr>
                <w:rFonts w:ascii="Times New Roman" w:eastAsia="Times New Roman" w:hAnsi="Times New Roman" w:cs="Times New Roman"/>
                <w:bCs/>
                <w:sz w:val="19"/>
                <w:szCs w:val="19"/>
                <w:lang w:eastAsia="ru-RU"/>
              </w:rPr>
              <w:t>,</w:t>
            </w:r>
            <w:r w:rsidRPr="007C2475">
              <w:rPr>
                <w:rFonts w:ascii="Times New Roman" w:eastAsia="Times New Roman" w:hAnsi="Times New Roman" w:cs="Times New Roman"/>
                <w:bCs/>
                <w:sz w:val="19"/>
                <w:szCs w:val="19"/>
                <w:lang w:eastAsia="ru-RU"/>
              </w:rPr>
              <w:t xml:space="preserve"> полученных в виде дивидендов.</w:t>
            </w:r>
          </w:p>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По сравнению с 2017 годом поступление доходов от уплаты налога на прибыль организаций увеличилось на 233 135,1 млн. рублей, или в 1,3 раза, что в основном обусловлено следующими факторами:</w:t>
            </w:r>
          </w:p>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увеличением с 1 января 2017 года основной ставки налога на прибыль организаций для зачисления в федеральный бюджет с 2 % до 3 %</w:t>
            </w:r>
            <w:r w:rsidRPr="007C2475">
              <w:rPr>
                <w:rFonts w:ascii="Times New Roman" w:eastAsia="Times New Roman" w:hAnsi="Times New Roman" w:cs="Times New Roman"/>
                <w:bCs/>
                <w:sz w:val="19"/>
                <w:szCs w:val="19"/>
                <w:vertAlign w:val="superscript"/>
                <w:lang w:eastAsia="ru-RU"/>
              </w:rPr>
              <w:footnoteReference w:id="1"/>
            </w:r>
            <w:r w:rsidRPr="007C2475">
              <w:rPr>
                <w:rFonts w:ascii="Times New Roman" w:eastAsia="Times New Roman" w:hAnsi="Times New Roman" w:cs="Times New Roman"/>
                <w:bCs/>
                <w:sz w:val="19"/>
                <w:szCs w:val="19"/>
                <w:lang w:eastAsia="ru-RU"/>
              </w:rPr>
              <w:t>;</w:t>
            </w:r>
          </w:p>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улучшением финансовых результатов деятельности организаций</w:t>
            </w:r>
            <w:r w:rsidRPr="007C2475">
              <w:rPr>
                <w:rFonts w:ascii="Times New Roman" w:eastAsia="Times New Roman" w:hAnsi="Times New Roman" w:cs="Times New Roman"/>
                <w:bCs/>
                <w:sz w:val="19"/>
                <w:szCs w:val="19"/>
                <w:vertAlign w:val="superscript"/>
                <w:lang w:eastAsia="ru-RU"/>
              </w:rPr>
              <w:footnoteReference w:id="2"/>
            </w:r>
            <w:r w:rsidRPr="007C2475">
              <w:rPr>
                <w:rFonts w:ascii="Times New Roman" w:eastAsia="Times New Roman" w:hAnsi="Times New Roman" w:cs="Times New Roman"/>
                <w:bCs/>
                <w:sz w:val="19"/>
                <w:szCs w:val="19"/>
                <w:lang w:eastAsia="ru-RU"/>
              </w:rPr>
              <w:t>;</w:t>
            </w:r>
          </w:p>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proofErr w:type="gramStart"/>
            <w:r w:rsidRPr="007C2475">
              <w:rPr>
                <w:rFonts w:ascii="Times New Roman" w:eastAsia="Times New Roman" w:hAnsi="Times New Roman" w:cs="Times New Roman"/>
                <w:bCs/>
                <w:sz w:val="19"/>
                <w:szCs w:val="19"/>
                <w:lang w:eastAsia="ru-RU"/>
              </w:rPr>
              <w:t>зачислением поступления налога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w:t>
            </w:r>
            <w:proofErr w:type="gramEnd"/>
            <w:r w:rsidRPr="007C2475">
              <w:rPr>
                <w:rFonts w:ascii="Times New Roman" w:eastAsia="Times New Roman" w:hAnsi="Times New Roman" w:cs="Times New Roman"/>
                <w:bCs/>
                <w:sz w:val="19"/>
                <w:szCs w:val="19"/>
                <w:lang w:eastAsia="ru-RU"/>
              </w:rPr>
              <w:t>, а также по облигациям с ипотечным покрытием, эмитированным после 1 января 2007 года, в сумме 26 158,2 млн. рублей, которые в 2017 году в федеральный бюджет не поступали;</w:t>
            </w:r>
          </w:p>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увеличением поступления налога на прибыль организаций с доходов, полученных в виде дивидендов;</w:t>
            </w:r>
          </w:p>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дополнительным зачислением 50 % налога при выполнении соглашения о разделе прибыльной продукции по проекту «Сахалин-2».</w:t>
            </w:r>
          </w:p>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Налог на прибыль организаций с доходов, полученных в виде процентов по государственным и муниципальным ценным бумагам, зачислен в сумме 51 104,3 млн. рублей, или 97 % уточненного прогноза поступлений, и уменьшился по сравнению с 2017 годом на 1 740,8 м</w:t>
            </w:r>
            <w:r w:rsidR="00B84208">
              <w:rPr>
                <w:rFonts w:ascii="Times New Roman" w:eastAsia="Times New Roman" w:hAnsi="Times New Roman" w:cs="Times New Roman"/>
                <w:bCs/>
                <w:sz w:val="19"/>
                <w:szCs w:val="19"/>
                <w:lang w:eastAsia="ru-RU"/>
              </w:rPr>
              <w:t>лн. рублей, или на 3,3 %</w:t>
            </w:r>
          </w:p>
        </w:tc>
      </w:tr>
      <w:tr w:rsidR="007C2475" w:rsidRPr="007C2475" w:rsidTr="00FF4D50">
        <w:trPr>
          <w:trHeight w:val="855"/>
        </w:trPr>
        <w:tc>
          <w:tcPr>
            <w:tcW w:w="2978" w:type="dxa"/>
            <w:shd w:val="clear" w:color="auto" w:fill="FFFFFF" w:themeFill="background1"/>
            <w:vAlign w:val="center"/>
            <w:hideMark/>
          </w:tcPr>
          <w:p w:rsidR="00F32772" w:rsidRPr="007C2475" w:rsidRDefault="00F32772" w:rsidP="00B062B6">
            <w:pPr>
              <w:spacing w:after="0" w:line="240" w:lineRule="auto"/>
              <w:ind w:right="-29"/>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lastRenderedPageBreak/>
              <w:t>НДС на товары (работы, услуги), реализуемые на территории Российской Федерации</w:t>
            </w:r>
          </w:p>
        </w:tc>
        <w:tc>
          <w:tcPr>
            <w:tcW w:w="12757" w:type="dxa"/>
            <w:shd w:val="clear" w:color="auto" w:fill="FFFFFF" w:themeFill="background1"/>
            <w:noWrap/>
            <w:vAlign w:val="center"/>
          </w:tcPr>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 xml:space="preserve">Превышение уточненного прогноза на 97 536,1 млн. рублей, или на 2,8 %, что в основном связано с превышением темпов роста налога, исчисленного по налогооблагаемым объектам над темпами роста налоговых вычетов, а также </w:t>
            </w:r>
            <w:r w:rsidR="00984B58">
              <w:rPr>
                <w:rFonts w:ascii="Times New Roman" w:eastAsia="Times New Roman" w:hAnsi="Times New Roman" w:cs="Times New Roman"/>
                <w:bCs/>
                <w:sz w:val="19"/>
                <w:szCs w:val="19"/>
                <w:lang w:eastAsia="ru-RU"/>
              </w:rPr>
              <w:t xml:space="preserve">с </w:t>
            </w:r>
            <w:r w:rsidRPr="007C2475">
              <w:rPr>
                <w:rFonts w:ascii="Times New Roman" w:eastAsia="Times New Roman" w:hAnsi="Times New Roman" w:cs="Times New Roman"/>
                <w:bCs/>
                <w:sz w:val="19"/>
                <w:szCs w:val="19"/>
                <w:lang w:eastAsia="ru-RU"/>
              </w:rPr>
              <w:t>повышением качества администрирования налога.</w:t>
            </w:r>
          </w:p>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proofErr w:type="gramStart"/>
            <w:r w:rsidRPr="007C2475">
              <w:rPr>
                <w:rFonts w:ascii="Times New Roman" w:eastAsia="Times New Roman" w:hAnsi="Times New Roman" w:cs="Times New Roman"/>
                <w:bCs/>
                <w:sz w:val="19"/>
                <w:szCs w:val="19"/>
                <w:lang w:eastAsia="ru-RU"/>
              </w:rPr>
              <w:t xml:space="preserve">По сравнению с 2017 годом объем поступлений увеличился на 504 663,6 млн. рублей, или на 16,4 %, что обусловлено ростом объемов ВВП в номинальном выражении в </w:t>
            </w:r>
            <w:r w:rsidRPr="007C2475">
              <w:rPr>
                <w:rFonts w:ascii="Times New Roman" w:eastAsia="Times New Roman" w:hAnsi="Times New Roman" w:cs="Times New Roman"/>
                <w:bCs/>
                <w:sz w:val="19"/>
                <w:szCs w:val="19"/>
                <w:lang w:val="en-US" w:eastAsia="ru-RU"/>
              </w:rPr>
              <w:t>IV</w:t>
            </w:r>
            <w:r w:rsidRPr="007C2475">
              <w:rPr>
                <w:rFonts w:ascii="Times New Roman" w:eastAsia="Times New Roman" w:hAnsi="Times New Roman" w:cs="Times New Roman"/>
                <w:bCs/>
                <w:sz w:val="19"/>
                <w:szCs w:val="19"/>
                <w:lang w:eastAsia="ru-RU"/>
              </w:rPr>
              <w:t xml:space="preserve"> квартале 2017 года и январе</w:t>
            </w:r>
            <w:r w:rsidR="00984B58">
              <w:rPr>
                <w:rFonts w:ascii="Times New Roman" w:eastAsia="Times New Roman" w:hAnsi="Times New Roman" w:cs="Times New Roman"/>
                <w:bCs/>
                <w:sz w:val="19"/>
                <w:szCs w:val="19"/>
                <w:lang w:eastAsia="ru-RU"/>
              </w:rPr>
              <w:t xml:space="preserve"> </w:t>
            </w:r>
            <w:r w:rsidRPr="007C2475">
              <w:rPr>
                <w:rFonts w:ascii="Times New Roman" w:eastAsia="Times New Roman" w:hAnsi="Times New Roman" w:cs="Times New Roman"/>
                <w:bCs/>
                <w:sz w:val="19"/>
                <w:szCs w:val="19"/>
                <w:lang w:eastAsia="ru-RU"/>
              </w:rPr>
              <w:t>-</w:t>
            </w:r>
            <w:r w:rsidR="00984B58">
              <w:rPr>
                <w:rFonts w:ascii="Times New Roman" w:eastAsia="Times New Roman" w:hAnsi="Times New Roman" w:cs="Times New Roman"/>
                <w:bCs/>
                <w:sz w:val="19"/>
                <w:szCs w:val="19"/>
                <w:lang w:eastAsia="ru-RU"/>
              </w:rPr>
              <w:t xml:space="preserve"> </w:t>
            </w:r>
            <w:r w:rsidRPr="007C2475">
              <w:rPr>
                <w:rFonts w:ascii="Times New Roman" w:eastAsia="Times New Roman" w:hAnsi="Times New Roman" w:cs="Times New Roman"/>
                <w:bCs/>
                <w:sz w:val="19"/>
                <w:szCs w:val="19"/>
                <w:lang w:eastAsia="ru-RU"/>
              </w:rPr>
              <w:t>сентябре 2018 года по сравнению с соответствующими периодами 2016 и 2017 годов (на 10,1 %) и, как следствие, превышением темпов роста исчисленной суммы налога (106,5 %) над темпами роста налоговых вычетов</w:t>
            </w:r>
            <w:proofErr w:type="gramEnd"/>
            <w:r w:rsidRPr="007C2475">
              <w:rPr>
                <w:rFonts w:ascii="Times New Roman" w:eastAsia="Times New Roman" w:hAnsi="Times New Roman" w:cs="Times New Roman"/>
                <w:bCs/>
                <w:sz w:val="19"/>
                <w:szCs w:val="19"/>
                <w:lang w:eastAsia="ru-RU"/>
              </w:rPr>
              <w:t xml:space="preserve"> (105,6</w:t>
            </w:r>
            <w:r w:rsidR="00984B58">
              <w:rPr>
                <w:rFonts w:ascii="Times New Roman" w:eastAsia="Times New Roman" w:hAnsi="Times New Roman" w:cs="Times New Roman"/>
                <w:bCs/>
                <w:sz w:val="19"/>
                <w:szCs w:val="19"/>
                <w:lang w:eastAsia="ru-RU"/>
              </w:rPr>
              <w:t xml:space="preserve"> %</w:t>
            </w:r>
            <w:r w:rsidRPr="007C2475">
              <w:rPr>
                <w:rFonts w:ascii="Times New Roman" w:eastAsia="Times New Roman" w:hAnsi="Times New Roman" w:cs="Times New Roman"/>
                <w:bCs/>
                <w:sz w:val="19"/>
                <w:szCs w:val="19"/>
                <w:lang w:eastAsia="ru-RU"/>
              </w:rPr>
              <w:t>).    При этом доля налоговых вычетов в исчисленной сумме налога снизилась на 0,7 процентного пункта (с 92,3 % до 91,6 %).</w:t>
            </w:r>
          </w:p>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Вместе с тем увеличивается объем возмещения сумм НДС из бюджета. По состоянию на 1 декабря 2018 года возмещение НДС составило 2 407 728,2 млн. рублей, что на 220 460,4 млн. рублей, или на 10,1 %, больше, чем в соответствующем периоде 2017 года. При этом в соответствии со статьей 176</w:t>
            </w:r>
            <w:r w:rsidRPr="007C2475">
              <w:rPr>
                <w:rFonts w:ascii="Times New Roman" w:eastAsia="Times New Roman" w:hAnsi="Times New Roman" w:cs="Times New Roman"/>
                <w:bCs/>
                <w:sz w:val="19"/>
                <w:szCs w:val="19"/>
                <w:vertAlign w:val="superscript"/>
                <w:lang w:eastAsia="ru-RU"/>
              </w:rPr>
              <w:t>1</w:t>
            </w:r>
            <w:r w:rsidRPr="007C2475">
              <w:rPr>
                <w:rFonts w:ascii="Times New Roman" w:eastAsia="Times New Roman" w:hAnsi="Times New Roman" w:cs="Times New Roman"/>
                <w:bCs/>
                <w:sz w:val="19"/>
                <w:szCs w:val="19"/>
                <w:lang w:eastAsia="ru-RU"/>
              </w:rPr>
              <w:t xml:space="preserve"> «Заявительный порядок возмещения налога» Налогового кодекса Российской Федерации до завершения проводимой на основе налоговой декларации камеральной налоговой проверки возмещено 1 681 509,5 млн. рублей (на 1 декабря 2017 </w:t>
            </w:r>
            <w:r w:rsidR="00984B58">
              <w:rPr>
                <w:rFonts w:ascii="Times New Roman" w:eastAsia="Times New Roman" w:hAnsi="Times New Roman" w:cs="Times New Roman"/>
                <w:bCs/>
                <w:sz w:val="19"/>
                <w:szCs w:val="19"/>
                <w:lang w:eastAsia="ru-RU"/>
              </w:rPr>
              <w:t>года – 1 259 453,4 млн. рублей)</w:t>
            </w:r>
          </w:p>
        </w:tc>
      </w:tr>
      <w:tr w:rsidR="007C2475" w:rsidRPr="007C2475" w:rsidTr="00F20E43">
        <w:trPr>
          <w:trHeight w:val="570"/>
        </w:trPr>
        <w:tc>
          <w:tcPr>
            <w:tcW w:w="2978" w:type="dxa"/>
            <w:shd w:val="clear" w:color="auto" w:fill="FFFFFF" w:themeFill="background1"/>
            <w:vAlign w:val="center"/>
            <w:hideMark/>
          </w:tcPr>
          <w:p w:rsidR="00F32772" w:rsidRPr="007C2475" w:rsidRDefault="00F32772" w:rsidP="00B062B6">
            <w:pPr>
              <w:spacing w:after="0" w:line="240" w:lineRule="auto"/>
              <w:ind w:right="-29"/>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Акцизы по подакцизным товарам (продукции), производимым на территории Российской Федерации</w:t>
            </w:r>
          </w:p>
        </w:tc>
        <w:tc>
          <w:tcPr>
            <w:tcW w:w="12757" w:type="dxa"/>
            <w:shd w:val="clear" w:color="auto" w:fill="FFFFFF" w:themeFill="background1"/>
            <w:noWrap/>
          </w:tcPr>
          <w:p w:rsidR="00F32772" w:rsidRPr="007C2475" w:rsidRDefault="00F32772" w:rsidP="00F20E43">
            <w:pPr>
              <w:spacing w:after="0" w:line="240" w:lineRule="auto"/>
              <w:ind w:firstLine="175"/>
              <w:jc w:val="both"/>
              <w:rPr>
                <w:rFonts w:ascii="Times New Roman" w:eastAsia="Times New Roman" w:hAnsi="Times New Roman" w:cs="Times New Roman"/>
                <w:b/>
                <w:bCs/>
                <w:sz w:val="19"/>
                <w:szCs w:val="19"/>
                <w:lang w:eastAsia="ru-RU"/>
              </w:rPr>
            </w:pPr>
            <w:r w:rsidRPr="007C2475">
              <w:rPr>
                <w:rFonts w:ascii="Times New Roman" w:eastAsia="Times New Roman" w:hAnsi="Times New Roman" w:cs="Times New Roman"/>
                <w:bCs/>
                <w:sz w:val="19"/>
                <w:szCs w:val="19"/>
                <w:lang w:eastAsia="ru-RU"/>
              </w:rPr>
              <w:t xml:space="preserve">В общем объеме поступлений акцизов по </w:t>
            </w:r>
            <w:r w:rsidR="00984B58">
              <w:rPr>
                <w:rFonts w:ascii="Times New Roman" w:eastAsia="Times New Roman" w:hAnsi="Times New Roman" w:cs="Times New Roman"/>
                <w:bCs/>
                <w:sz w:val="19"/>
                <w:szCs w:val="19"/>
                <w:lang w:eastAsia="ru-RU"/>
              </w:rPr>
              <w:t>подакцизным товарам (продукции)</w:t>
            </w:r>
            <w:r w:rsidRPr="007C2475">
              <w:rPr>
                <w:rFonts w:ascii="Times New Roman" w:eastAsia="Times New Roman" w:hAnsi="Times New Roman" w:cs="Times New Roman"/>
                <w:bCs/>
                <w:sz w:val="19"/>
                <w:szCs w:val="19"/>
                <w:lang w:eastAsia="ru-RU"/>
              </w:rPr>
              <w:t xml:space="preserve"> основную долю составляют акцизы на табачную продукцию (65,6 %), акцизы на автомобильный бензин (12 %), акцизы на алкогольную продукцию с объемной долей сп</w:t>
            </w:r>
            <w:r w:rsidR="00984B58">
              <w:rPr>
                <w:rFonts w:ascii="Times New Roman" w:eastAsia="Times New Roman" w:hAnsi="Times New Roman" w:cs="Times New Roman"/>
                <w:bCs/>
                <w:sz w:val="19"/>
                <w:szCs w:val="19"/>
                <w:lang w:eastAsia="ru-RU"/>
              </w:rPr>
              <w:t>ирта этилового свыше 9 %</w:t>
            </w:r>
            <w:r w:rsidRPr="007C2475">
              <w:rPr>
                <w:rFonts w:ascii="Times New Roman" w:eastAsia="Times New Roman" w:hAnsi="Times New Roman" w:cs="Times New Roman"/>
                <w:bCs/>
                <w:sz w:val="19"/>
                <w:szCs w:val="19"/>
                <w:lang w:eastAsia="ru-RU"/>
              </w:rPr>
              <w:t xml:space="preserve"> (10,9 %),</w:t>
            </w:r>
            <w:r w:rsidRPr="007C2475">
              <w:rPr>
                <w:rFonts w:ascii="Times New Roman" w:eastAsia="Times New Roman" w:hAnsi="Times New Roman" w:cs="Times New Roman"/>
                <w:b/>
                <w:bCs/>
                <w:sz w:val="19"/>
                <w:szCs w:val="19"/>
                <w:lang w:eastAsia="ru-RU"/>
              </w:rPr>
              <w:t xml:space="preserve"> </w:t>
            </w:r>
            <w:r w:rsidRPr="007C2475">
              <w:rPr>
                <w:rFonts w:ascii="Times New Roman" w:eastAsia="Times New Roman" w:hAnsi="Times New Roman" w:cs="Times New Roman"/>
                <w:bCs/>
                <w:sz w:val="19"/>
                <w:szCs w:val="19"/>
                <w:lang w:eastAsia="ru-RU"/>
              </w:rPr>
              <w:t>акци</w:t>
            </w:r>
            <w:r w:rsidR="00984B58">
              <w:rPr>
                <w:rFonts w:ascii="Times New Roman" w:eastAsia="Times New Roman" w:hAnsi="Times New Roman" w:cs="Times New Roman"/>
                <w:bCs/>
                <w:sz w:val="19"/>
                <w:szCs w:val="19"/>
                <w:lang w:eastAsia="ru-RU"/>
              </w:rPr>
              <w:t>зы на дизельное топливо (8,1 %)</w:t>
            </w:r>
          </w:p>
        </w:tc>
      </w:tr>
      <w:tr w:rsidR="007C2475" w:rsidRPr="007C2475" w:rsidTr="00FF4D50">
        <w:trPr>
          <w:trHeight w:val="60"/>
        </w:trPr>
        <w:tc>
          <w:tcPr>
            <w:tcW w:w="2978" w:type="dxa"/>
            <w:shd w:val="clear" w:color="auto" w:fill="FFFFFF" w:themeFill="background1"/>
            <w:vAlign w:val="center"/>
            <w:hideMark/>
          </w:tcPr>
          <w:p w:rsidR="00F32772" w:rsidRPr="007C2475" w:rsidRDefault="00F32772" w:rsidP="00B062B6">
            <w:pPr>
              <w:spacing w:after="0" w:line="240" w:lineRule="auto"/>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из них:</w:t>
            </w:r>
          </w:p>
        </w:tc>
        <w:tc>
          <w:tcPr>
            <w:tcW w:w="12757" w:type="dxa"/>
            <w:shd w:val="clear" w:color="auto" w:fill="FFFFFF" w:themeFill="background1"/>
            <w:noWrap/>
            <w:vAlign w:val="center"/>
          </w:tcPr>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p>
        </w:tc>
      </w:tr>
      <w:tr w:rsidR="007C2475" w:rsidRPr="007C2475" w:rsidTr="00FF4D50">
        <w:trPr>
          <w:trHeight w:val="600"/>
        </w:trPr>
        <w:tc>
          <w:tcPr>
            <w:tcW w:w="2978" w:type="dxa"/>
            <w:shd w:val="clear" w:color="auto" w:fill="FFFFFF" w:themeFill="background1"/>
            <w:vAlign w:val="center"/>
            <w:hideMark/>
          </w:tcPr>
          <w:p w:rsidR="00F32772" w:rsidRPr="007C2475" w:rsidRDefault="00F32772" w:rsidP="00E03AD9">
            <w:pPr>
              <w:spacing w:after="0" w:line="240" w:lineRule="auto"/>
              <w:ind w:right="-29" w:firstLine="333"/>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Акцизы на табачную продукцию</w:t>
            </w:r>
          </w:p>
        </w:tc>
        <w:tc>
          <w:tcPr>
            <w:tcW w:w="12757" w:type="dxa"/>
            <w:shd w:val="clear" w:color="auto" w:fill="FFFFFF" w:themeFill="background1"/>
            <w:noWrap/>
            <w:vAlign w:val="center"/>
          </w:tcPr>
          <w:p w:rsidR="00F32772" w:rsidRPr="007C2475" w:rsidRDefault="00F32772"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 xml:space="preserve">Превышение уточненного прогноза </w:t>
            </w:r>
            <w:r w:rsidR="00E05C07" w:rsidRPr="007C2475">
              <w:rPr>
                <w:rFonts w:ascii="Times New Roman" w:eastAsia="Times New Roman" w:hAnsi="Times New Roman" w:cs="Times New Roman"/>
                <w:sz w:val="19"/>
                <w:szCs w:val="19"/>
                <w:lang w:eastAsia="ru-RU"/>
              </w:rPr>
              <w:t>на 19 594,5 млн. рублей, или на 3,6 %</w:t>
            </w:r>
            <w:r w:rsidR="002532C8">
              <w:rPr>
                <w:rFonts w:ascii="Times New Roman" w:eastAsia="Times New Roman" w:hAnsi="Times New Roman" w:cs="Times New Roman"/>
                <w:sz w:val="19"/>
                <w:szCs w:val="19"/>
                <w:lang w:eastAsia="ru-RU"/>
              </w:rPr>
              <w:t>, что</w:t>
            </w:r>
            <w:r w:rsidR="00E05C07" w:rsidRPr="007C2475">
              <w:rPr>
                <w:rFonts w:ascii="Times New Roman" w:eastAsia="Times New Roman" w:hAnsi="Times New Roman" w:cs="Times New Roman"/>
                <w:sz w:val="19"/>
                <w:szCs w:val="19"/>
                <w:lang w:eastAsia="ru-RU"/>
              </w:rPr>
              <w:t xml:space="preserve"> </w:t>
            </w:r>
            <w:r w:rsidRPr="007C2475">
              <w:rPr>
                <w:rFonts w:ascii="Times New Roman" w:eastAsia="Times New Roman" w:hAnsi="Times New Roman" w:cs="Times New Roman"/>
                <w:sz w:val="19"/>
                <w:szCs w:val="19"/>
                <w:lang w:eastAsia="ru-RU"/>
              </w:rPr>
              <w:t>в основном связано с увеличением облагаемых объемов реализации табачной продукции по сравнению с параметрами, учтенными в расчетах уточненного прогноза поступлений при формировании бюджета.</w:t>
            </w:r>
          </w:p>
          <w:p w:rsidR="00F32772" w:rsidRPr="007C2475" w:rsidRDefault="00E05C07" w:rsidP="00F20E43">
            <w:pPr>
              <w:spacing w:after="0" w:line="240" w:lineRule="auto"/>
              <w:ind w:firstLine="175"/>
              <w:jc w:val="both"/>
              <w:rPr>
                <w:rFonts w:ascii="Times New Roman" w:eastAsia="Times New Roman" w:hAnsi="Times New Roman" w:cs="Times New Roman"/>
                <w:sz w:val="19"/>
                <w:szCs w:val="19"/>
                <w:lang w:eastAsia="ru-RU"/>
              </w:rPr>
            </w:pPr>
            <w:proofErr w:type="gramStart"/>
            <w:r w:rsidRPr="007C2475">
              <w:rPr>
                <w:rFonts w:ascii="Times New Roman" w:eastAsia="Times New Roman" w:hAnsi="Times New Roman" w:cs="Times New Roman"/>
                <w:sz w:val="19"/>
                <w:szCs w:val="19"/>
                <w:lang w:eastAsia="ru-RU"/>
              </w:rPr>
              <w:t xml:space="preserve">По сравнению с аналогичным периодом 2017 года поступление акцизов на табачную продукцию уменьшилось на 8 900,2 млн. рублей, или на 1,6 %, что </w:t>
            </w:r>
            <w:r w:rsidR="00F32772" w:rsidRPr="007C2475">
              <w:rPr>
                <w:rFonts w:ascii="Times New Roman" w:eastAsia="Times New Roman" w:hAnsi="Times New Roman" w:cs="Times New Roman"/>
                <w:sz w:val="19"/>
                <w:szCs w:val="19"/>
                <w:lang w:eastAsia="ru-RU"/>
              </w:rPr>
              <w:t>в основном обусловлено изменениями</w:t>
            </w:r>
            <w:r w:rsidR="00984B58">
              <w:rPr>
                <w:rFonts w:ascii="Times New Roman" w:eastAsia="Times New Roman" w:hAnsi="Times New Roman" w:cs="Times New Roman"/>
                <w:sz w:val="19"/>
                <w:szCs w:val="19"/>
                <w:lang w:eastAsia="ru-RU"/>
              </w:rPr>
              <w:t>,</w:t>
            </w:r>
            <w:r w:rsidR="00F32772" w:rsidRPr="007C2475">
              <w:rPr>
                <w:rFonts w:ascii="Times New Roman" w:eastAsia="Times New Roman" w:hAnsi="Times New Roman" w:cs="Times New Roman"/>
                <w:sz w:val="19"/>
                <w:szCs w:val="19"/>
                <w:lang w:eastAsia="ru-RU"/>
              </w:rPr>
              <w:t xml:space="preserve"> внесенными в законодательство Российской Федерации о налогах и сборах, переносом даты индексации ставок акцизов и соответствующим  снижением объемов продаж в результате переноса в 2018 году индексации ставки с 1 января на 1 июля 2018</w:t>
            </w:r>
            <w:proofErr w:type="gramEnd"/>
            <w:r w:rsidR="00F32772" w:rsidRPr="007C2475">
              <w:rPr>
                <w:rFonts w:ascii="Times New Roman" w:eastAsia="Times New Roman" w:hAnsi="Times New Roman" w:cs="Times New Roman"/>
                <w:sz w:val="19"/>
                <w:szCs w:val="19"/>
                <w:lang w:eastAsia="ru-RU"/>
              </w:rPr>
              <w:t xml:space="preserve"> года (в результате отсутствовал типичный всплеск продаж табачной продукции в декабре 2017 года) и индексации ставки на 10 % (1 718 рублей за 1 000 штук вместо ранее действовавшей ставки 1 562 рубля за 1 000 штук) по сравнению с 25 % в 2017 году, а также в результате ограничения продаж в сентябре</w:t>
            </w:r>
            <w:r w:rsidR="00984B58">
              <w:rPr>
                <w:rFonts w:ascii="Times New Roman" w:eastAsia="Times New Roman" w:hAnsi="Times New Roman" w:cs="Times New Roman"/>
                <w:sz w:val="19"/>
                <w:szCs w:val="19"/>
                <w:lang w:eastAsia="ru-RU"/>
              </w:rPr>
              <w:t xml:space="preserve"> </w:t>
            </w:r>
            <w:proofErr w:type="gramStart"/>
            <w:r w:rsidR="00F32772" w:rsidRPr="007C2475">
              <w:rPr>
                <w:rFonts w:ascii="Times New Roman" w:eastAsia="Times New Roman" w:hAnsi="Times New Roman" w:cs="Times New Roman"/>
                <w:sz w:val="19"/>
                <w:szCs w:val="19"/>
                <w:lang w:eastAsia="ru-RU"/>
              </w:rPr>
              <w:t>-д</w:t>
            </w:r>
            <w:proofErr w:type="gramEnd"/>
            <w:r w:rsidR="00F32772" w:rsidRPr="007C2475">
              <w:rPr>
                <w:rFonts w:ascii="Times New Roman" w:eastAsia="Times New Roman" w:hAnsi="Times New Roman" w:cs="Times New Roman"/>
                <w:sz w:val="19"/>
                <w:szCs w:val="19"/>
                <w:lang w:eastAsia="ru-RU"/>
              </w:rPr>
              <w:t xml:space="preserve">екабре 2018 года за счет применения повышающего коэффициента к ставке в случае </w:t>
            </w:r>
            <w:proofErr w:type="gramStart"/>
            <w:r w:rsidR="00F32772" w:rsidRPr="007C2475">
              <w:rPr>
                <w:rFonts w:ascii="Times New Roman" w:eastAsia="Times New Roman" w:hAnsi="Times New Roman" w:cs="Times New Roman"/>
                <w:sz w:val="19"/>
                <w:szCs w:val="19"/>
                <w:lang w:eastAsia="ru-RU"/>
              </w:rPr>
              <w:t>превышения месячных объемов реализации с</w:t>
            </w:r>
            <w:r w:rsidR="00984B58">
              <w:rPr>
                <w:rFonts w:ascii="Times New Roman" w:eastAsia="Times New Roman" w:hAnsi="Times New Roman" w:cs="Times New Roman"/>
                <w:sz w:val="19"/>
                <w:szCs w:val="19"/>
                <w:lang w:eastAsia="ru-RU"/>
              </w:rPr>
              <w:t>реднего уровня предыдущего года</w:t>
            </w:r>
            <w:proofErr w:type="gramEnd"/>
          </w:p>
        </w:tc>
      </w:tr>
      <w:tr w:rsidR="007C2475" w:rsidRPr="007C2475" w:rsidTr="00FF4D50">
        <w:trPr>
          <w:trHeight w:val="600"/>
        </w:trPr>
        <w:tc>
          <w:tcPr>
            <w:tcW w:w="2978" w:type="dxa"/>
            <w:shd w:val="clear" w:color="auto" w:fill="FFFFFF" w:themeFill="background1"/>
            <w:vAlign w:val="center"/>
            <w:hideMark/>
          </w:tcPr>
          <w:p w:rsidR="00F32772" w:rsidRPr="007C2475" w:rsidRDefault="00F32772" w:rsidP="00E03AD9">
            <w:pPr>
              <w:spacing w:after="0" w:line="240" w:lineRule="auto"/>
              <w:ind w:right="-29" w:firstLine="333"/>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Акцизы на автомобили легковые  и мотоциклы</w:t>
            </w:r>
          </w:p>
        </w:tc>
        <w:tc>
          <w:tcPr>
            <w:tcW w:w="12757" w:type="dxa"/>
            <w:shd w:val="clear" w:color="auto" w:fill="FFFFFF" w:themeFill="background1"/>
            <w:noWrap/>
            <w:vAlign w:val="center"/>
          </w:tcPr>
          <w:p w:rsidR="00E05C07" w:rsidRPr="007C2475" w:rsidRDefault="00E05C07"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bCs/>
                <w:sz w:val="19"/>
                <w:szCs w:val="19"/>
                <w:lang w:eastAsia="ru-RU"/>
              </w:rPr>
              <w:t xml:space="preserve">Превышение уточненного прогноза составило </w:t>
            </w:r>
            <w:r w:rsidR="00DA398C">
              <w:rPr>
                <w:rFonts w:ascii="Times New Roman" w:eastAsia="Times New Roman" w:hAnsi="Times New Roman" w:cs="Times New Roman"/>
                <w:bCs/>
                <w:sz w:val="19"/>
                <w:szCs w:val="19"/>
                <w:lang w:eastAsia="ru-RU"/>
              </w:rPr>
              <w:t>964,8</w:t>
            </w:r>
            <w:r w:rsidRPr="007C2475">
              <w:rPr>
                <w:rFonts w:ascii="Times New Roman" w:eastAsia="Times New Roman" w:hAnsi="Times New Roman" w:cs="Times New Roman"/>
                <w:bCs/>
                <w:sz w:val="19"/>
                <w:szCs w:val="19"/>
                <w:lang w:eastAsia="ru-RU"/>
              </w:rPr>
              <w:t xml:space="preserve"> млн. рублей, или </w:t>
            </w:r>
            <w:r w:rsidR="00DA398C">
              <w:rPr>
                <w:rFonts w:ascii="Times New Roman" w:eastAsia="Times New Roman" w:hAnsi="Times New Roman" w:cs="Times New Roman"/>
                <w:bCs/>
                <w:sz w:val="19"/>
                <w:szCs w:val="19"/>
                <w:lang w:eastAsia="ru-RU"/>
              </w:rPr>
              <w:t>4,6</w:t>
            </w:r>
            <w:r w:rsidRPr="007C2475">
              <w:rPr>
                <w:rFonts w:ascii="Times New Roman" w:eastAsia="Times New Roman" w:hAnsi="Times New Roman" w:cs="Times New Roman"/>
                <w:bCs/>
                <w:sz w:val="19"/>
                <w:szCs w:val="19"/>
                <w:lang w:eastAsia="ru-RU"/>
              </w:rPr>
              <w:t> %.</w:t>
            </w:r>
          </w:p>
          <w:p w:rsidR="00F32772" w:rsidRPr="007C2475" w:rsidRDefault="00984B58" w:rsidP="00F20E43">
            <w:pPr>
              <w:spacing w:after="0" w:line="240" w:lineRule="auto"/>
              <w:ind w:firstLine="175"/>
              <w:jc w:val="both"/>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 </w:t>
            </w:r>
            <w:proofErr w:type="gramStart"/>
            <w:r w:rsidR="00E05C07" w:rsidRPr="007C2475">
              <w:rPr>
                <w:rFonts w:ascii="Times New Roman" w:eastAsia="Times New Roman" w:hAnsi="Times New Roman" w:cs="Times New Roman"/>
                <w:sz w:val="19"/>
                <w:szCs w:val="19"/>
                <w:lang w:eastAsia="ru-RU"/>
              </w:rPr>
              <w:t>По сравнению с 2017 годом поступление указанных доходов увеличилось на 11</w:t>
            </w:r>
            <w:r w:rsidR="00DA398C">
              <w:rPr>
                <w:rFonts w:ascii="Times New Roman" w:eastAsia="Times New Roman" w:hAnsi="Times New Roman" w:cs="Times New Roman"/>
                <w:sz w:val="19"/>
                <w:szCs w:val="19"/>
                <w:lang w:eastAsia="ru-RU"/>
              </w:rPr>
              <w:t> 558,7</w:t>
            </w:r>
            <w:r w:rsidR="00E05C07" w:rsidRPr="007C2475">
              <w:rPr>
                <w:rFonts w:ascii="Times New Roman" w:eastAsia="Times New Roman" w:hAnsi="Times New Roman" w:cs="Times New Roman"/>
                <w:sz w:val="19"/>
                <w:szCs w:val="19"/>
                <w:lang w:eastAsia="ru-RU"/>
              </w:rPr>
              <w:t xml:space="preserve"> млн. рублей, или в </w:t>
            </w:r>
            <w:r w:rsidR="00DA398C">
              <w:rPr>
                <w:rFonts w:ascii="Times New Roman" w:eastAsia="Times New Roman" w:hAnsi="Times New Roman" w:cs="Times New Roman"/>
                <w:sz w:val="19"/>
                <w:szCs w:val="19"/>
                <w:lang w:eastAsia="ru-RU"/>
              </w:rPr>
              <w:t>2,1</w:t>
            </w:r>
            <w:r w:rsidR="00E05C07" w:rsidRPr="007C2475">
              <w:rPr>
                <w:rFonts w:ascii="Times New Roman" w:eastAsia="Times New Roman" w:hAnsi="Times New Roman" w:cs="Times New Roman"/>
                <w:sz w:val="19"/>
                <w:szCs w:val="19"/>
                <w:lang w:eastAsia="ru-RU"/>
              </w:rPr>
              <w:t xml:space="preserve"> раза, что</w:t>
            </w:r>
            <w:r w:rsidR="00F32772" w:rsidRPr="007C2475">
              <w:rPr>
                <w:rFonts w:ascii="Times New Roman" w:eastAsia="Times New Roman" w:hAnsi="Times New Roman" w:cs="Times New Roman"/>
                <w:sz w:val="19"/>
                <w:szCs w:val="19"/>
                <w:lang w:eastAsia="ru-RU"/>
              </w:rPr>
              <w:t xml:space="preserve"> в значительной мере связано с введением с 1 января 2018 года дифференцированной шкалы акцизов на легковые автомобили с мощностью двигателя свыше 200 л.</w:t>
            </w:r>
            <w:r>
              <w:rPr>
                <w:rFonts w:ascii="Times New Roman" w:eastAsia="Times New Roman" w:hAnsi="Times New Roman" w:cs="Times New Roman"/>
                <w:sz w:val="19"/>
                <w:szCs w:val="19"/>
                <w:lang w:eastAsia="ru-RU"/>
              </w:rPr>
              <w:t xml:space="preserve"> </w:t>
            </w:r>
            <w:r w:rsidR="00F32772" w:rsidRPr="007C2475">
              <w:rPr>
                <w:rFonts w:ascii="Times New Roman" w:eastAsia="Times New Roman" w:hAnsi="Times New Roman" w:cs="Times New Roman"/>
                <w:sz w:val="19"/>
                <w:szCs w:val="19"/>
                <w:lang w:eastAsia="ru-RU"/>
              </w:rPr>
              <w:t>с.</w:t>
            </w:r>
            <w:r w:rsidR="00F32772" w:rsidRPr="007C2475">
              <w:rPr>
                <w:rFonts w:ascii="Times New Roman" w:eastAsia="Times New Roman" w:hAnsi="Times New Roman" w:cs="Times New Roman"/>
                <w:sz w:val="19"/>
                <w:szCs w:val="19"/>
                <w:vertAlign w:val="superscript"/>
                <w:lang w:eastAsia="ru-RU"/>
              </w:rPr>
              <w:footnoteReference w:id="3"/>
            </w:r>
            <w:r w:rsidR="00F32772" w:rsidRPr="007C2475">
              <w:rPr>
                <w:rFonts w:ascii="Times New Roman" w:eastAsia="Times New Roman" w:hAnsi="Times New Roman" w:cs="Times New Roman"/>
                <w:sz w:val="19"/>
                <w:szCs w:val="19"/>
                <w:lang w:eastAsia="ru-RU"/>
              </w:rPr>
              <w:t xml:space="preserve">, а также </w:t>
            </w:r>
            <w:r>
              <w:rPr>
                <w:rFonts w:ascii="Times New Roman" w:eastAsia="Times New Roman" w:hAnsi="Times New Roman" w:cs="Times New Roman"/>
                <w:sz w:val="19"/>
                <w:szCs w:val="19"/>
                <w:lang w:eastAsia="ru-RU"/>
              </w:rPr>
              <w:t xml:space="preserve">  </w:t>
            </w:r>
            <w:r w:rsidR="00D51C35">
              <w:rPr>
                <w:rFonts w:ascii="Times New Roman" w:eastAsia="Times New Roman" w:hAnsi="Times New Roman" w:cs="Times New Roman"/>
                <w:sz w:val="19"/>
                <w:szCs w:val="19"/>
                <w:lang w:val="en-US" w:eastAsia="ru-RU"/>
              </w:rPr>
              <w:t>c</w:t>
            </w:r>
            <w:r w:rsidR="00D51C35" w:rsidRPr="00D51C35">
              <w:rPr>
                <w:rFonts w:ascii="Times New Roman" w:eastAsia="Times New Roman" w:hAnsi="Times New Roman" w:cs="Times New Roman"/>
                <w:sz w:val="19"/>
                <w:szCs w:val="19"/>
                <w:lang w:eastAsia="ru-RU"/>
              </w:rPr>
              <w:t xml:space="preserve"> </w:t>
            </w:r>
            <w:r w:rsidR="00F32772" w:rsidRPr="007C2475">
              <w:rPr>
                <w:rFonts w:ascii="Times New Roman" w:eastAsia="Times New Roman" w:hAnsi="Times New Roman" w:cs="Times New Roman"/>
                <w:sz w:val="19"/>
                <w:szCs w:val="19"/>
                <w:lang w:eastAsia="ru-RU"/>
              </w:rPr>
              <w:t>увеличением объемов реализации легковых автомобилей в 2018 году</w:t>
            </w:r>
            <w:r w:rsidR="00F32772" w:rsidRPr="007C2475">
              <w:rPr>
                <w:rFonts w:ascii="Times New Roman" w:eastAsia="Times New Roman" w:hAnsi="Times New Roman" w:cs="Times New Roman"/>
                <w:sz w:val="19"/>
                <w:szCs w:val="19"/>
                <w:vertAlign w:val="superscript"/>
                <w:lang w:eastAsia="ru-RU"/>
              </w:rPr>
              <w:footnoteReference w:id="4"/>
            </w:r>
            <w:proofErr w:type="gramEnd"/>
          </w:p>
        </w:tc>
      </w:tr>
      <w:tr w:rsidR="007C2475" w:rsidRPr="007C2475" w:rsidTr="00FF4D50">
        <w:trPr>
          <w:trHeight w:val="64"/>
        </w:trPr>
        <w:tc>
          <w:tcPr>
            <w:tcW w:w="2978" w:type="dxa"/>
            <w:shd w:val="clear" w:color="auto" w:fill="FFFFFF" w:themeFill="background1"/>
            <w:vAlign w:val="center"/>
            <w:hideMark/>
          </w:tcPr>
          <w:p w:rsidR="00BD646F" w:rsidRPr="007C2475" w:rsidRDefault="00BD646F" w:rsidP="00E03AD9">
            <w:pPr>
              <w:spacing w:after="0" w:line="240" w:lineRule="auto"/>
              <w:ind w:right="-29" w:firstLine="333"/>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Акцизы на нефтепродукты</w:t>
            </w:r>
          </w:p>
        </w:tc>
        <w:tc>
          <w:tcPr>
            <w:tcW w:w="12757" w:type="dxa"/>
            <w:vMerge w:val="restart"/>
            <w:shd w:val="clear" w:color="auto" w:fill="FFFFFF" w:themeFill="background1"/>
            <w:noWrap/>
            <w:vAlign w:val="center"/>
          </w:tcPr>
          <w:p w:rsidR="00BD646F" w:rsidRPr="007C2475" w:rsidRDefault="00BD646F"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Превышение уточненного прогноза составило 815,4 млн. рублей, или 0,5 %.</w:t>
            </w:r>
          </w:p>
          <w:p w:rsidR="00BD646F" w:rsidRPr="007C2475" w:rsidRDefault="00BD646F" w:rsidP="00F20E43">
            <w:pPr>
              <w:spacing w:after="0" w:line="240" w:lineRule="auto"/>
              <w:ind w:firstLine="175"/>
              <w:jc w:val="both"/>
              <w:rPr>
                <w:rFonts w:ascii="Times New Roman" w:eastAsia="Times New Roman" w:hAnsi="Times New Roman" w:cs="Times New Roman"/>
                <w:bCs/>
                <w:sz w:val="19"/>
                <w:szCs w:val="19"/>
                <w:lang w:eastAsia="ru-RU"/>
              </w:rPr>
            </w:pPr>
            <w:proofErr w:type="gramStart"/>
            <w:r w:rsidRPr="007C2475">
              <w:rPr>
                <w:rFonts w:ascii="Times New Roman" w:eastAsia="Times New Roman" w:hAnsi="Times New Roman" w:cs="Times New Roman"/>
                <w:bCs/>
                <w:sz w:val="19"/>
                <w:szCs w:val="19"/>
                <w:lang w:eastAsia="ru-RU"/>
              </w:rPr>
              <w:t xml:space="preserve">На объем поступлений оказало влияние как снижение с 1 июня 2018 года ставок акцизов на автомобильный бензин класса 5 и дизельное топливо на </w:t>
            </w:r>
            <w:r w:rsidRPr="007C2475">
              <w:rPr>
                <w:rFonts w:ascii="Times New Roman" w:eastAsia="Times New Roman" w:hAnsi="Times New Roman" w:cs="Times New Roman"/>
                <w:bCs/>
                <w:sz w:val="19"/>
                <w:szCs w:val="19"/>
                <w:lang w:eastAsia="ru-RU"/>
              </w:rPr>
              <w:lastRenderedPageBreak/>
              <w:t>26,8 % (с 11 213 рублей за тонну до 8 213 рублей за тонну) и на 26,1 % (с 7 665 рублей за тонну до 5 665 рублей за тонну) соответственно</w:t>
            </w:r>
            <w:r w:rsidRPr="007C2475">
              <w:rPr>
                <w:rFonts w:ascii="Times New Roman" w:eastAsia="Times New Roman" w:hAnsi="Times New Roman" w:cs="Times New Roman"/>
                <w:bCs/>
                <w:sz w:val="19"/>
                <w:szCs w:val="19"/>
                <w:vertAlign w:val="superscript"/>
                <w:lang w:eastAsia="ru-RU"/>
              </w:rPr>
              <w:footnoteReference w:id="5"/>
            </w:r>
            <w:r w:rsidRPr="007C2475">
              <w:rPr>
                <w:rFonts w:ascii="Times New Roman" w:eastAsia="Times New Roman" w:hAnsi="Times New Roman" w:cs="Times New Roman"/>
                <w:bCs/>
                <w:sz w:val="19"/>
                <w:szCs w:val="19"/>
                <w:lang w:eastAsia="ru-RU"/>
              </w:rPr>
              <w:t>, так и изменение с 1 июля 2018 года</w:t>
            </w:r>
            <w:proofErr w:type="gramEnd"/>
            <w:r w:rsidRPr="007C2475">
              <w:rPr>
                <w:rFonts w:ascii="Times New Roman" w:eastAsia="Times New Roman" w:hAnsi="Times New Roman" w:cs="Times New Roman"/>
                <w:bCs/>
                <w:sz w:val="19"/>
                <w:szCs w:val="19"/>
                <w:lang w:eastAsia="ru-RU"/>
              </w:rPr>
              <w:t xml:space="preserve"> норматива зачисления акцизов в федеральный бюджет с 42,9 % до 15,59</w:t>
            </w:r>
            <w:r w:rsidR="00157F81">
              <w:rPr>
                <w:rFonts w:ascii="Times New Roman" w:eastAsia="Times New Roman" w:hAnsi="Times New Roman" w:cs="Times New Roman"/>
                <w:bCs/>
                <w:sz w:val="19"/>
                <w:szCs w:val="19"/>
                <w:lang w:eastAsia="ru-RU"/>
              </w:rPr>
              <w:t xml:space="preserve"> </w:t>
            </w:r>
            <w:r w:rsidRPr="007C2475">
              <w:rPr>
                <w:rFonts w:ascii="Times New Roman" w:eastAsia="Times New Roman" w:hAnsi="Times New Roman" w:cs="Times New Roman"/>
                <w:bCs/>
                <w:sz w:val="19"/>
                <w:szCs w:val="19"/>
                <w:lang w:eastAsia="ru-RU"/>
              </w:rPr>
              <w:t>%.</w:t>
            </w:r>
            <w:r w:rsidRPr="007C2475">
              <w:rPr>
                <w:rFonts w:ascii="Times New Roman" w:eastAsia="Times New Roman" w:hAnsi="Times New Roman" w:cs="Times New Roman"/>
                <w:bCs/>
                <w:sz w:val="19"/>
                <w:szCs w:val="19"/>
                <w:vertAlign w:val="superscript"/>
                <w:lang w:eastAsia="ru-RU"/>
              </w:rPr>
              <w:footnoteReference w:id="6"/>
            </w:r>
          </w:p>
          <w:p w:rsidR="00BD646F" w:rsidRPr="007C2475" w:rsidRDefault="00BD646F"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sz w:val="19"/>
                <w:szCs w:val="19"/>
                <w:lang w:eastAsia="ru-RU"/>
              </w:rPr>
              <w:t xml:space="preserve">Фактором, повлиявшим на размер возмещения </w:t>
            </w:r>
            <w:proofErr w:type="gramStart"/>
            <w:r w:rsidRPr="007C2475">
              <w:rPr>
                <w:rFonts w:ascii="Times New Roman" w:eastAsia="Times New Roman" w:hAnsi="Times New Roman" w:cs="Times New Roman"/>
                <w:sz w:val="19"/>
                <w:szCs w:val="19"/>
                <w:lang w:eastAsia="ru-RU"/>
              </w:rPr>
              <w:t>акцизов</w:t>
            </w:r>
            <w:proofErr w:type="gramEnd"/>
            <w:r w:rsidRPr="007C2475">
              <w:rPr>
                <w:rFonts w:ascii="Times New Roman" w:eastAsia="Times New Roman" w:hAnsi="Times New Roman" w:cs="Times New Roman"/>
                <w:sz w:val="19"/>
                <w:szCs w:val="19"/>
                <w:lang w:eastAsia="ru-RU"/>
              </w:rPr>
              <w:t xml:space="preserve"> на прямогонный бензин, является снижение объемов прямогонного бензина, использованного в нефтехимической промышленности, по сравнению с параметрами, учтенными в расчетах к бюджету.</w:t>
            </w:r>
          </w:p>
          <w:p w:rsidR="00BD646F" w:rsidRPr="007C2475" w:rsidRDefault="00157F81" w:rsidP="00F20E43">
            <w:pPr>
              <w:spacing w:after="0" w:line="240" w:lineRule="auto"/>
              <w:ind w:firstLine="175"/>
              <w:jc w:val="both"/>
              <w:rPr>
                <w:rFonts w:ascii="Times New Roman" w:eastAsia="Times New Roman" w:hAnsi="Times New Roman" w:cs="Times New Roman"/>
                <w:bCs/>
                <w:sz w:val="19"/>
                <w:szCs w:val="19"/>
                <w:lang w:eastAsia="ru-RU"/>
              </w:rPr>
            </w:pPr>
            <w:r>
              <w:rPr>
                <w:rFonts w:ascii="Times New Roman" w:eastAsia="Times New Roman" w:hAnsi="Times New Roman" w:cs="Times New Roman"/>
                <w:bCs/>
                <w:sz w:val="19"/>
                <w:szCs w:val="19"/>
                <w:lang w:eastAsia="ru-RU"/>
              </w:rPr>
              <w:t>По сравнению с соответствующи</w:t>
            </w:r>
            <w:r w:rsidR="00BD646F" w:rsidRPr="007C2475">
              <w:rPr>
                <w:rFonts w:ascii="Times New Roman" w:eastAsia="Times New Roman" w:hAnsi="Times New Roman" w:cs="Times New Roman"/>
                <w:bCs/>
                <w:sz w:val="19"/>
                <w:szCs w:val="19"/>
                <w:lang w:eastAsia="ru-RU"/>
              </w:rPr>
              <w:t>м периодом 2017 года поступления уменьшились на 45 584,5 млн. рублей, или на 22,3 %, что обусловлено указанными изменениями налогового и бюджетного законодательства Российской Федерации</w:t>
            </w:r>
            <w:r w:rsidR="00BD646F" w:rsidRPr="007C2475">
              <w:rPr>
                <w:rFonts w:ascii="Times New Roman" w:eastAsia="Times New Roman" w:hAnsi="Times New Roman" w:cs="Times New Roman"/>
                <w:bCs/>
                <w:sz w:val="19"/>
                <w:szCs w:val="19"/>
                <w:vertAlign w:val="superscript"/>
                <w:lang w:eastAsia="ru-RU"/>
              </w:rPr>
              <w:footnoteReference w:id="7"/>
            </w:r>
          </w:p>
        </w:tc>
      </w:tr>
      <w:tr w:rsidR="007C2475" w:rsidRPr="007C2475" w:rsidTr="00FF4D50">
        <w:trPr>
          <w:trHeight w:val="60"/>
        </w:trPr>
        <w:tc>
          <w:tcPr>
            <w:tcW w:w="2978" w:type="dxa"/>
            <w:shd w:val="clear" w:color="auto" w:fill="FFFFFF" w:themeFill="background1"/>
            <w:vAlign w:val="center"/>
          </w:tcPr>
          <w:p w:rsidR="00BD646F" w:rsidRPr="007C2475" w:rsidRDefault="00BD646F" w:rsidP="00E03AD9">
            <w:pPr>
              <w:spacing w:after="0" w:line="240" w:lineRule="auto"/>
              <w:ind w:right="-29" w:firstLine="333"/>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в том числе:</w:t>
            </w:r>
          </w:p>
        </w:tc>
        <w:tc>
          <w:tcPr>
            <w:tcW w:w="12757" w:type="dxa"/>
            <w:vMerge/>
            <w:shd w:val="clear" w:color="auto" w:fill="FFFFFF" w:themeFill="background1"/>
            <w:noWrap/>
            <w:vAlign w:val="center"/>
          </w:tcPr>
          <w:p w:rsidR="00BD646F" w:rsidRPr="007C2475" w:rsidRDefault="00BD646F" w:rsidP="00F20E43">
            <w:pPr>
              <w:spacing w:after="0" w:line="240" w:lineRule="auto"/>
              <w:ind w:firstLine="175"/>
              <w:jc w:val="both"/>
              <w:rPr>
                <w:rFonts w:ascii="Times New Roman" w:eastAsia="Times New Roman" w:hAnsi="Times New Roman" w:cs="Times New Roman"/>
                <w:sz w:val="19"/>
                <w:szCs w:val="19"/>
                <w:lang w:eastAsia="ru-RU"/>
              </w:rPr>
            </w:pPr>
          </w:p>
        </w:tc>
      </w:tr>
      <w:tr w:rsidR="007C2475" w:rsidRPr="007C2475" w:rsidTr="00FF4D50">
        <w:trPr>
          <w:trHeight w:val="116"/>
        </w:trPr>
        <w:tc>
          <w:tcPr>
            <w:tcW w:w="2978" w:type="dxa"/>
            <w:shd w:val="clear" w:color="auto" w:fill="FFFFFF" w:themeFill="background1"/>
            <w:vAlign w:val="center"/>
            <w:hideMark/>
          </w:tcPr>
          <w:p w:rsidR="00BD646F" w:rsidRPr="007C2475" w:rsidRDefault="00BD646F" w:rsidP="00E03AD9">
            <w:pPr>
              <w:spacing w:after="0" w:line="240" w:lineRule="auto"/>
              <w:ind w:right="-29" w:firstLine="333"/>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lastRenderedPageBreak/>
              <w:t>Акцизы на автомобильный бензин</w:t>
            </w:r>
          </w:p>
        </w:tc>
        <w:tc>
          <w:tcPr>
            <w:tcW w:w="12757" w:type="dxa"/>
            <w:vMerge/>
            <w:shd w:val="clear" w:color="auto" w:fill="FFFFFF" w:themeFill="background1"/>
            <w:noWrap/>
            <w:vAlign w:val="center"/>
          </w:tcPr>
          <w:p w:rsidR="00BD646F" w:rsidRPr="007C2475" w:rsidRDefault="00BD646F" w:rsidP="00F20E43">
            <w:pPr>
              <w:spacing w:after="0" w:line="240" w:lineRule="auto"/>
              <w:ind w:firstLine="175"/>
              <w:jc w:val="both"/>
              <w:rPr>
                <w:rFonts w:ascii="Times New Roman" w:eastAsia="Times New Roman" w:hAnsi="Times New Roman" w:cs="Times New Roman"/>
                <w:bCs/>
                <w:sz w:val="19"/>
                <w:szCs w:val="19"/>
                <w:lang w:eastAsia="ru-RU"/>
              </w:rPr>
            </w:pPr>
          </w:p>
        </w:tc>
      </w:tr>
      <w:tr w:rsidR="007C2475" w:rsidRPr="007C2475" w:rsidTr="00FF4D50">
        <w:trPr>
          <w:trHeight w:val="60"/>
        </w:trPr>
        <w:tc>
          <w:tcPr>
            <w:tcW w:w="2978" w:type="dxa"/>
            <w:shd w:val="clear" w:color="auto" w:fill="FFFFFF" w:themeFill="background1"/>
            <w:vAlign w:val="center"/>
            <w:hideMark/>
          </w:tcPr>
          <w:p w:rsidR="00BD646F" w:rsidRPr="007C2475" w:rsidRDefault="00BD646F" w:rsidP="00E03AD9">
            <w:pPr>
              <w:spacing w:after="0" w:line="240" w:lineRule="auto"/>
              <w:ind w:right="-29" w:firstLine="333"/>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lastRenderedPageBreak/>
              <w:t>Акцизы на прямогонный бензин</w:t>
            </w:r>
          </w:p>
        </w:tc>
        <w:tc>
          <w:tcPr>
            <w:tcW w:w="12757" w:type="dxa"/>
            <w:vMerge/>
            <w:shd w:val="clear" w:color="auto" w:fill="FFFFFF" w:themeFill="background1"/>
            <w:noWrap/>
            <w:vAlign w:val="center"/>
          </w:tcPr>
          <w:p w:rsidR="00BD646F" w:rsidRPr="007C2475" w:rsidRDefault="00BD646F" w:rsidP="00F20E43">
            <w:pPr>
              <w:spacing w:after="0" w:line="240" w:lineRule="auto"/>
              <w:ind w:firstLine="175"/>
              <w:jc w:val="both"/>
              <w:rPr>
                <w:rFonts w:ascii="Times New Roman" w:eastAsia="Times New Roman" w:hAnsi="Times New Roman" w:cs="Times New Roman"/>
                <w:sz w:val="19"/>
                <w:szCs w:val="19"/>
                <w:lang w:eastAsia="ru-RU"/>
              </w:rPr>
            </w:pPr>
          </w:p>
        </w:tc>
      </w:tr>
      <w:tr w:rsidR="007C2475" w:rsidRPr="007C2475" w:rsidTr="00FF4D50">
        <w:trPr>
          <w:trHeight w:val="64"/>
        </w:trPr>
        <w:tc>
          <w:tcPr>
            <w:tcW w:w="2978" w:type="dxa"/>
            <w:shd w:val="clear" w:color="auto" w:fill="FFFFFF" w:themeFill="background1"/>
            <w:vAlign w:val="center"/>
            <w:hideMark/>
          </w:tcPr>
          <w:p w:rsidR="00BD646F" w:rsidRPr="007C2475" w:rsidRDefault="00BD646F" w:rsidP="00E03AD9">
            <w:pPr>
              <w:spacing w:after="0" w:line="240" w:lineRule="auto"/>
              <w:ind w:right="-29" w:firstLine="333"/>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Акцизы на дизельное топливо</w:t>
            </w:r>
          </w:p>
        </w:tc>
        <w:tc>
          <w:tcPr>
            <w:tcW w:w="12757" w:type="dxa"/>
            <w:vMerge/>
            <w:shd w:val="clear" w:color="auto" w:fill="FFFFFF" w:themeFill="background1"/>
            <w:noWrap/>
            <w:vAlign w:val="center"/>
          </w:tcPr>
          <w:p w:rsidR="00BD646F" w:rsidRPr="007C2475" w:rsidRDefault="00BD646F" w:rsidP="00F20E43">
            <w:pPr>
              <w:spacing w:after="0" w:line="240" w:lineRule="auto"/>
              <w:ind w:firstLine="175"/>
              <w:jc w:val="both"/>
              <w:rPr>
                <w:rFonts w:ascii="Times New Roman" w:eastAsia="Times New Roman" w:hAnsi="Times New Roman" w:cs="Times New Roman"/>
                <w:sz w:val="19"/>
                <w:szCs w:val="19"/>
                <w:lang w:eastAsia="ru-RU"/>
              </w:rPr>
            </w:pPr>
          </w:p>
        </w:tc>
      </w:tr>
      <w:tr w:rsidR="007C2475" w:rsidRPr="007C2475" w:rsidTr="00FF4D50">
        <w:trPr>
          <w:trHeight w:val="60"/>
        </w:trPr>
        <w:tc>
          <w:tcPr>
            <w:tcW w:w="2978" w:type="dxa"/>
            <w:shd w:val="clear" w:color="auto" w:fill="FFFFFF" w:themeFill="background1"/>
            <w:vAlign w:val="center"/>
            <w:hideMark/>
          </w:tcPr>
          <w:p w:rsidR="00BD646F" w:rsidRPr="007C2475" w:rsidRDefault="00BD646F" w:rsidP="00E03AD9">
            <w:pPr>
              <w:spacing w:after="0" w:line="240" w:lineRule="auto"/>
              <w:ind w:right="-29" w:firstLine="333"/>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Акцизы на моторные масла для дизельных и (или) карбюраторных (</w:t>
            </w:r>
            <w:proofErr w:type="spellStart"/>
            <w:r w:rsidRPr="007C2475">
              <w:rPr>
                <w:rFonts w:ascii="Times New Roman" w:eastAsia="Times New Roman" w:hAnsi="Times New Roman" w:cs="Times New Roman"/>
                <w:sz w:val="19"/>
                <w:szCs w:val="19"/>
                <w:lang w:eastAsia="ru-RU"/>
              </w:rPr>
              <w:t>инжекторных</w:t>
            </w:r>
            <w:proofErr w:type="spellEnd"/>
            <w:r w:rsidRPr="007C2475">
              <w:rPr>
                <w:rFonts w:ascii="Times New Roman" w:eastAsia="Times New Roman" w:hAnsi="Times New Roman" w:cs="Times New Roman"/>
                <w:sz w:val="19"/>
                <w:szCs w:val="19"/>
                <w:lang w:eastAsia="ru-RU"/>
              </w:rPr>
              <w:t>) двигателей</w:t>
            </w:r>
          </w:p>
        </w:tc>
        <w:tc>
          <w:tcPr>
            <w:tcW w:w="12757" w:type="dxa"/>
            <w:vMerge/>
            <w:shd w:val="clear" w:color="auto" w:fill="FFFFFF" w:themeFill="background1"/>
            <w:noWrap/>
            <w:vAlign w:val="center"/>
          </w:tcPr>
          <w:p w:rsidR="00BD646F" w:rsidRPr="007C2475" w:rsidRDefault="00BD646F" w:rsidP="00F20E43">
            <w:pPr>
              <w:spacing w:after="0" w:line="240" w:lineRule="auto"/>
              <w:ind w:firstLine="175"/>
              <w:jc w:val="both"/>
              <w:rPr>
                <w:rFonts w:ascii="Times New Roman" w:eastAsia="Times New Roman" w:hAnsi="Times New Roman" w:cs="Times New Roman"/>
                <w:sz w:val="19"/>
                <w:szCs w:val="19"/>
                <w:lang w:eastAsia="ru-RU"/>
              </w:rPr>
            </w:pPr>
          </w:p>
        </w:tc>
      </w:tr>
      <w:tr w:rsidR="007C2475" w:rsidRPr="007C2475" w:rsidTr="00FF4D50">
        <w:trPr>
          <w:trHeight w:val="176"/>
        </w:trPr>
        <w:tc>
          <w:tcPr>
            <w:tcW w:w="2978" w:type="dxa"/>
            <w:shd w:val="clear" w:color="auto" w:fill="FFFFFF" w:themeFill="background1"/>
            <w:vAlign w:val="center"/>
            <w:hideMark/>
          </w:tcPr>
          <w:p w:rsidR="00F32772" w:rsidRPr="007C2475" w:rsidRDefault="00F32772" w:rsidP="00E03AD9">
            <w:pPr>
              <w:spacing w:after="0" w:line="240" w:lineRule="auto"/>
              <w:ind w:right="-29" w:firstLine="333"/>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 xml:space="preserve">Акцизы на бензол, параксилол, </w:t>
            </w:r>
            <w:proofErr w:type="spellStart"/>
            <w:r w:rsidRPr="007C2475">
              <w:rPr>
                <w:rFonts w:ascii="Times New Roman" w:eastAsia="Times New Roman" w:hAnsi="Times New Roman" w:cs="Times New Roman"/>
                <w:sz w:val="19"/>
                <w:szCs w:val="19"/>
                <w:lang w:eastAsia="ru-RU"/>
              </w:rPr>
              <w:t>ортоксилол</w:t>
            </w:r>
            <w:proofErr w:type="spellEnd"/>
          </w:p>
        </w:tc>
        <w:tc>
          <w:tcPr>
            <w:tcW w:w="12757" w:type="dxa"/>
            <w:vMerge w:val="restart"/>
            <w:shd w:val="clear" w:color="auto" w:fill="FFFFFF" w:themeFill="background1"/>
            <w:noWrap/>
            <w:vAlign w:val="center"/>
          </w:tcPr>
          <w:p w:rsidR="00F32772" w:rsidRPr="007C2475" w:rsidRDefault="00F32772"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 xml:space="preserve">     </w:t>
            </w:r>
            <w:proofErr w:type="gramStart"/>
            <w:r w:rsidRPr="007C2475">
              <w:rPr>
                <w:rFonts w:ascii="Times New Roman" w:eastAsia="Times New Roman" w:hAnsi="Times New Roman" w:cs="Times New Roman"/>
                <w:sz w:val="19"/>
                <w:szCs w:val="19"/>
                <w:lang w:eastAsia="ru-RU"/>
              </w:rPr>
              <w:t xml:space="preserve">Отрицательные значения поступлений обусловлены применением вычетов сумм акцизов, исчисленных при совершении операций налогоплательщиком, имеющим свидетельство на совершение операций с бензолом, параксилолом или </w:t>
            </w:r>
            <w:proofErr w:type="spellStart"/>
            <w:r w:rsidRPr="007C2475">
              <w:rPr>
                <w:rFonts w:ascii="Times New Roman" w:eastAsia="Times New Roman" w:hAnsi="Times New Roman" w:cs="Times New Roman"/>
                <w:sz w:val="19"/>
                <w:szCs w:val="19"/>
                <w:lang w:eastAsia="ru-RU"/>
              </w:rPr>
              <w:t>ортоксилолом</w:t>
            </w:r>
            <w:proofErr w:type="spellEnd"/>
            <w:r w:rsidRPr="007C2475">
              <w:rPr>
                <w:rFonts w:ascii="Times New Roman" w:eastAsia="Times New Roman" w:hAnsi="Times New Roman" w:cs="Times New Roman"/>
                <w:sz w:val="19"/>
                <w:szCs w:val="19"/>
                <w:lang w:eastAsia="ru-RU"/>
              </w:rPr>
              <w:t xml:space="preserve">, а также начисленных при получении авиационного керосина налогоплательщиком, включенным в Реестр </w:t>
            </w:r>
            <w:proofErr w:type="spellStart"/>
            <w:r w:rsidRPr="007C2475">
              <w:rPr>
                <w:rFonts w:ascii="Times New Roman" w:eastAsia="Times New Roman" w:hAnsi="Times New Roman" w:cs="Times New Roman"/>
                <w:sz w:val="19"/>
                <w:szCs w:val="19"/>
                <w:lang w:eastAsia="ru-RU"/>
              </w:rPr>
              <w:t>эксплуатантов</w:t>
            </w:r>
            <w:proofErr w:type="spellEnd"/>
            <w:r w:rsidRPr="007C2475">
              <w:rPr>
                <w:rFonts w:ascii="Times New Roman" w:eastAsia="Times New Roman" w:hAnsi="Times New Roman" w:cs="Times New Roman"/>
                <w:sz w:val="19"/>
                <w:szCs w:val="19"/>
                <w:lang w:eastAsia="ru-RU"/>
              </w:rPr>
              <w:t xml:space="preserve"> гражданской авиации Российской Федерации и имеющим сертификат </w:t>
            </w:r>
            <w:proofErr w:type="spellStart"/>
            <w:r w:rsidRPr="007C2475">
              <w:rPr>
                <w:rFonts w:ascii="Times New Roman" w:eastAsia="Times New Roman" w:hAnsi="Times New Roman" w:cs="Times New Roman"/>
                <w:sz w:val="19"/>
                <w:szCs w:val="19"/>
                <w:lang w:eastAsia="ru-RU"/>
              </w:rPr>
              <w:t>эксплуатанта</w:t>
            </w:r>
            <w:proofErr w:type="spellEnd"/>
            <w:r w:rsidRPr="007C2475">
              <w:rPr>
                <w:rFonts w:ascii="Times New Roman" w:eastAsia="Times New Roman" w:hAnsi="Times New Roman" w:cs="Times New Roman"/>
                <w:sz w:val="19"/>
                <w:szCs w:val="19"/>
                <w:lang w:eastAsia="ru-RU"/>
              </w:rPr>
              <w:t>.</w:t>
            </w:r>
            <w:proofErr w:type="gramEnd"/>
            <w:r w:rsidRPr="007C2475">
              <w:rPr>
                <w:rFonts w:ascii="Times New Roman" w:eastAsia="Times New Roman" w:hAnsi="Times New Roman" w:cs="Times New Roman"/>
                <w:sz w:val="19"/>
                <w:szCs w:val="19"/>
                <w:lang w:eastAsia="ru-RU"/>
              </w:rPr>
              <w:t xml:space="preserve"> По сравнению с 2017 годом объем возмещения увеличился на 1 079,2 млн. рублей и на 4 146,4 млн. рублей</w:t>
            </w:r>
            <w:r w:rsidR="000614EB">
              <w:rPr>
                <w:rFonts w:ascii="Times New Roman" w:eastAsia="Times New Roman" w:hAnsi="Times New Roman" w:cs="Times New Roman"/>
                <w:sz w:val="19"/>
                <w:szCs w:val="19"/>
                <w:lang w:eastAsia="ru-RU"/>
              </w:rPr>
              <w:t xml:space="preserve"> соответственно</w:t>
            </w:r>
          </w:p>
        </w:tc>
      </w:tr>
      <w:tr w:rsidR="007C2475" w:rsidRPr="007C2475" w:rsidTr="00FF4D50">
        <w:trPr>
          <w:trHeight w:val="64"/>
        </w:trPr>
        <w:tc>
          <w:tcPr>
            <w:tcW w:w="2978" w:type="dxa"/>
            <w:shd w:val="clear" w:color="auto" w:fill="FFFFFF" w:themeFill="background1"/>
            <w:vAlign w:val="center"/>
            <w:hideMark/>
          </w:tcPr>
          <w:p w:rsidR="00F32772" w:rsidRPr="007C2475" w:rsidRDefault="00F32772" w:rsidP="00E03AD9">
            <w:pPr>
              <w:spacing w:after="0" w:line="240" w:lineRule="auto"/>
              <w:ind w:right="-29" w:firstLine="333"/>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Акцизы на авиационный керосин</w:t>
            </w:r>
          </w:p>
        </w:tc>
        <w:tc>
          <w:tcPr>
            <w:tcW w:w="12757" w:type="dxa"/>
            <w:vMerge/>
            <w:shd w:val="clear" w:color="auto" w:fill="FFFFFF" w:themeFill="background1"/>
            <w:noWrap/>
            <w:vAlign w:val="center"/>
          </w:tcPr>
          <w:p w:rsidR="00F32772" w:rsidRPr="007C2475" w:rsidRDefault="00F32772" w:rsidP="00F20E43">
            <w:pPr>
              <w:spacing w:after="0" w:line="240" w:lineRule="auto"/>
              <w:ind w:firstLine="175"/>
              <w:jc w:val="both"/>
              <w:rPr>
                <w:rFonts w:ascii="Times New Roman" w:eastAsia="Times New Roman" w:hAnsi="Times New Roman" w:cs="Times New Roman"/>
                <w:sz w:val="19"/>
                <w:szCs w:val="19"/>
                <w:lang w:eastAsia="ru-RU"/>
              </w:rPr>
            </w:pPr>
          </w:p>
        </w:tc>
      </w:tr>
      <w:tr w:rsidR="007C2475" w:rsidRPr="007C2475" w:rsidTr="00FF4D50">
        <w:trPr>
          <w:trHeight w:val="600"/>
        </w:trPr>
        <w:tc>
          <w:tcPr>
            <w:tcW w:w="2978" w:type="dxa"/>
            <w:shd w:val="clear" w:color="auto" w:fill="FFFFFF" w:themeFill="background1"/>
            <w:vAlign w:val="center"/>
            <w:hideMark/>
          </w:tcPr>
          <w:p w:rsidR="00F32772" w:rsidRPr="007C2475" w:rsidRDefault="00F32772" w:rsidP="00E03AD9">
            <w:pPr>
              <w:spacing w:after="0" w:line="240" w:lineRule="auto"/>
              <w:ind w:right="-29" w:firstLine="333"/>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Акцизы на природный газ, предусмотренные международными договорами Российской Федерации</w:t>
            </w:r>
          </w:p>
        </w:tc>
        <w:tc>
          <w:tcPr>
            <w:tcW w:w="12757" w:type="dxa"/>
            <w:shd w:val="clear" w:color="auto" w:fill="FFFFFF" w:themeFill="background1"/>
            <w:noWrap/>
            <w:vAlign w:val="center"/>
          </w:tcPr>
          <w:p w:rsidR="00E05C07" w:rsidRPr="007C2475" w:rsidRDefault="00E05C07"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Недовыполнение уточненного прогноза составило 2 913,1 млн. рублей, или 6,2 %</w:t>
            </w:r>
            <w:r w:rsidR="000614EB">
              <w:rPr>
                <w:rFonts w:ascii="Times New Roman" w:eastAsia="Times New Roman" w:hAnsi="Times New Roman" w:cs="Times New Roman"/>
                <w:sz w:val="19"/>
                <w:szCs w:val="19"/>
                <w:lang w:eastAsia="ru-RU"/>
              </w:rPr>
              <w:t>.</w:t>
            </w:r>
          </w:p>
          <w:p w:rsidR="00F32772" w:rsidRPr="007C2475" w:rsidRDefault="00E05C07" w:rsidP="00F20E43">
            <w:pPr>
              <w:spacing w:after="0" w:line="240" w:lineRule="auto"/>
              <w:ind w:firstLine="175"/>
              <w:jc w:val="both"/>
              <w:rPr>
                <w:rFonts w:ascii="Times New Roman" w:eastAsia="Times New Roman" w:hAnsi="Times New Roman" w:cs="Times New Roman"/>
                <w:sz w:val="19"/>
                <w:szCs w:val="19"/>
                <w:lang w:eastAsia="ru-RU"/>
              </w:rPr>
            </w:pPr>
            <w:proofErr w:type="gramStart"/>
            <w:r w:rsidRPr="007C2475">
              <w:rPr>
                <w:rFonts w:ascii="Times New Roman" w:eastAsia="Times New Roman" w:hAnsi="Times New Roman" w:cs="Times New Roman"/>
                <w:sz w:val="19"/>
                <w:szCs w:val="19"/>
                <w:lang w:eastAsia="ru-RU"/>
              </w:rPr>
              <w:t>По сравнению с аналогичным периодом 2017 года поступление указанных акцизов уменьшилось на 7 170,4 млн. рублей, или на 14,1 %, что обусловлено главным образом представлением одним из крупнейших налогоплательщиков уточненных налоговых деклараций (к уменьшению) за предыдущие налоговые периоды в связи с ретроспективным пересмотром цены на газ и осуществление</w:t>
            </w:r>
            <w:r w:rsidR="000614EB">
              <w:rPr>
                <w:rFonts w:ascii="Times New Roman" w:eastAsia="Times New Roman" w:hAnsi="Times New Roman" w:cs="Times New Roman"/>
                <w:sz w:val="19"/>
                <w:szCs w:val="19"/>
                <w:lang w:eastAsia="ru-RU"/>
              </w:rPr>
              <w:t>м</w:t>
            </w:r>
            <w:r w:rsidRPr="007C2475">
              <w:rPr>
                <w:rFonts w:ascii="Times New Roman" w:eastAsia="Times New Roman" w:hAnsi="Times New Roman" w:cs="Times New Roman"/>
                <w:sz w:val="19"/>
                <w:szCs w:val="19"/>
                <w:lang w:eastAsia="ru-RU"/>
              </w:rPr>
              <w:t xml:space="preserve"> во</w:t>
            </w:r>
            <w:r w:rsidR="000614EB">
              <w:rPr>
                <w:rFonts w:ascii="Times New Roman" w:eastAsia="Times New Roman" w:hAnsi="Times New Roman" w:cs="Times New Roman"/>
                <w:sz w:val="19"/>
                <w:szCs w:val="19"/>
                <w:lang w:eastAsia="ru-RU"/>
              </w:rPr>
              <w:t>зврата в сумме 8,8 млрд. рублей</w:t>
            </w:r>
            <w:proofErr w:type="gramEnd"/>
          </w:p>
        </w:tc>
      </w:tr>
      <w:tr w:rsidR="007C2475" w:rsidRPr="007C2475" w:rsidTr="00FF4D50">
        <w:trPr>
          <w:trHeight w:val="570"/>
        </w:trPr>
        <w:tc>
          <w:tcPr>
            <w:tcW w:w="2978" w:type="dxa"/>
            <w:shd w:val="clear" w:color="auto" w:fill="FFFFFF" w:themeFill="background1"/>
            <w:vAlign w:val="center"/>
            <w:hideMark/>
          </w:tcPr>
          <w:p w:rsidR="00F32772" w:rsidRPr="007C2475" w:rsidRDefault="00F32772" w:rsidP="00B062B6">
            <w:pPr>
              <w:spacing w:after="0" w:line="240" w:lineRule="auto"/>
              <w:ind w:right="-29"/>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НДС на товары, ввозимые на территорию Российской Федерации</w:t>
            </w:r>
          </w:p>
        </w:tc>
        <w:tc>
          <w:tcPr>
            <w:tcW w:w="12757" w:type="dxa"/>
            <w:shd w:val="clear" w:color="auto" w:fill="FFFFFF" w:themeFill="background1"/>
            <w:noWrap/>
            <w:vAlign w:val="center"/>
          </w:tcPr>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Превышение уточненного прогноза</w:t>
            </w:r>
            <w:r w:rsidR="00E05C07" w:rsidRPr="007C2475">
              <w:rPr>
                <w:rFonts w:ascii="Times New Roman" w:eastAsia="Times New Roman" w:hAnsi="Times New Roman" w:cs="Times New Roman"/>
                <w:bCs/>
                <w:sz w:val="19"/>
                <w:szCs w:val="19"/>
                <w:lang w:eastAsia="ru-RU"/>
              </w:rPr>
              <w:t xml:space="preserve"> на 19 242,7 млн. рублей, или на 0,8 %, что</w:t>
            </w:r>
            <w:r w:rsidRPr="007C2475">
              <w:rPr>
                <w:rFonts w:ascii="Times New Roman" w:eastAsia="Times New Roman" w:hAnsi="Times New Roman" w:cs="Times New Roman"/>
                <w:bCs/>
                <w:sz w:val="19"/>
                <w:szCs w:val="19"/>
                <w:lang w:eastAsia="ru-RU"/>
              </w:rPr>
              <w:t xml:space="preserve"> в основном обусловлено увеличением стоимостных объемов импорта в рублевом выражении в результате роста курса доллара США по отношению к рублю по сравнению с прогнозными значениями.</w:t>
            </w:r>
          </w:p>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В заключени</w:t>
            </w:r>
            <w:proofErr w:type="gramStart"/>
            <w:r w:rsidRPr="007C2475">
              <w:rPr>
                <w:rFonts w:ascii="Times New Roman" w:eastAsia="Times New Roman" w:hAnsi="Times New Roman" w:cs="Times New Roman"/>
                <w:bCs/>
                <w:sz w:val="19"/>
                <w:szCs w:val="19"/>
                <w:lang w:eastAsia="ru-RU"/>
              </w:rPr>
              <w:t>и</w:t>
            </w:r>
            <w:proofErr w:type="gramEnd"/>
            <w:r w:rsidRPr="007C2475">
              <w:rPr>
                <w:rFonts w:ascii="Times New Roman" w:eastAsia="Times New Roman" w:hAnsi="Times New Roman" w:cs="Times New Roman"/>
                <w:bCs/>
                <w:sz w:val="19"/>
                <w:szCs w:val="19"/>
                <w:lang w:eastAsia="ru-RU"/>
              </w:rPr>
              <w:t xml:space="preserve"> Счетной палаты на проект федерального закона «О внесении изменений в Федеральный закон «О федеральном бюджете на 2018 год и на плановый период 2019 и 2020 годов» дополнительные поступления по НДС на товары, ввозимые на территорию Российской Федерации,  оценивались в 18,2 млрд. рублей.</w:t>
            </w:r>
          </w:p>
          <w:p w:rsidR="00F32772" w:rsidRPr="007C2475" w:rsidRDefault="00E05C07"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По сравнению с 2017 годом поступление указанных доходов увеличилось на 374 859,4 млн. рублей, или на 18,1 %, что в значительной степени обусловлено ростом стоимостных объемов импорта</w:t>
            </w:r>
            <w:r w:rsidRPr="007C2475">
              <w:rPr>
                <w:rFonts w:ascii="Times New Roman" w:eastAsia="Times New Roman" w:hAnsi="Times New Roman" w:cs="Times New Roman"/>
                <w:bCs/>
                <w:sz w:val="19"/>
                <w:szCs w:val="19"/>
                <w:vertAlign w:val="superscript"/>
                <w:lang w:eastAsia="ru-RU"/>
              </w:rPr>
              <w:footnoteReference w:id="8"/>
            </w:r>
            <w:r w:rsidRPr="007C2475">
              <w:rPr>
                <w:rFonts w:ascii="Times New Roman" w:eastAsia="Times New Roman" w:hAnsi="Times New Roman" w:cs="Times New Roman"/>
                <w:bCs/>
                <w:sz w:val="19"/>
                <w:szCs w:val="19"/>
                <w:lang w:eastAsia="ru-RU"/>
              </w:rPr>
              <w:t xml:space="preserve"> при одновременном росте курса доллара СШ</w:t>
            </w:r>
            <w:r w:rsidR="00765FA6">
              <w:rPr>
                <w:rFonts w:ascii="Times New Roman" w:eastAsia="Times New Roman" w:hAnsi="Times New Roman" w:cs="Times New Roman"/>
                <w:bCs/>
                <w:sz w:val="19"/>
                <w:szCs w:val="19"/>
                <w:lang w:eastAsia="ru-RU"/>
              </w:rPr>
              <w:t>А по отношению к рублю на 7,2 %</w:t>
            </w:r>
          </w:p>
        </w:tc>
      </w:tr>
      <w:tr w:rsidR="007C2475" w:rsidRPr="007C2475" w:rsidTr="00FF4D50">
        <w:trPr>
          <w:trHeight w:val="64"/>
        </w:trPr>
        <w:tc>
          <w:tcPr>
            <w:tcW w:w="2978" w:type="dxa"/>
            <w:shd w:val="clear" w:color="auto" w:fill="FFFFFF" w:themeFill="background1"/>
            <w:vAlign w:val="center"/>
            <w:hideMark/>
          </w:tcPr>
          <w:p w:rsidR="00F32772" w:rsidRPr="007C2475" w:rsidRDefault="00F32772" w:rsidP="00B062B6">
            <w:pPr>
              <w:spacing w:after="0" w:line="240" w:lineRule="auto"/>
              <w:ind w:right="-29"/>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 xml:space="preserve">Акцизы по подакцизным товарам (продукции), ввозимым на территорию Российской </w:t>
            </w:r>
            <w:r w:rsidRPr="007C2475">
              <w:rPr>
                <w:rFonts w:ascii="Times New Roman" w:eastAsia="Times New Roman" w:hAnsi="Times New Roman" w:cs="Times New Roman"/>
                <w:bCs/>
                <w:sz w:val="19"/>
                <w:szCs w:val="19"/>
                <w:lang w:eastAsia="ru-RU"/>
              </w:rPr>
              <w:lastRenderedPageBreak/>
              <w:t>Федерации</w:t>
            </w:r>
          </w:p>
        </w:tc>
        <w:tc>
          <w:tcPr>
            <w:tcW w:w="12757" w:type="dxa"/>
            <w:shd w:val="clear" w:color="auto" w:fill="FFFFFF" w:themeFill="background1"/>
            <w:noWrap/>
            <w:vAlign w:val="center"/>
          </w:tcPr>
          <w:p w:rsidR="00BD646F" w:rsidRPr="007C2475" w:rsidRDefault="00BD646F"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lastRenderedPageBreak/>
              <w:t xml:space="preserve">Превышение уточненного прогноза составило </w:t>
            </w:r>
            <w:r w:rsidRPr="003A0221">
              <w:rPr>
                <w:rFonts w:ascii="Times New Roman" w:eastAsia="Times New Roman" w:hAnsi="Times New Roman" w:cs="Times New Roman"/>
                <w:bCs/>
                <w:sz w:val="19"/>
                <w:szCs w:val="19"/>
                <w:lang w:eastAsia="ru-RU"/>
              </w:rPr>
              <w:t>822,7 млн. рублей, или 0,9 %.</w:t>
            </w:r>
          </w:p>
          <w:p w:rsidR="00BD646F" w:rsidRPr="007C2475" w:rsidRDefault="00DA398C" w:rsidP="00F20E43">
            <w:pPr>
              <w:spacing w:after="0" w:line="240" w:lineRule="auto"/>
              <w:ind w:firstLine="175"/>
              <w:jc w:val="both"/>
              <w:rPr>
                <w:rFonts w:ascii="Times New Roman" w:eastAsia="Times New Roman" w:hAnsi="Times New Roman" w:cs="Times New Roman"/>
                <w:bCs/>
                <w:sz w:val="19"/>
                <w:szCs w:val="19"/>
                <w:lang w:eastAsia="ru-RU"/>
              </w:rPr>
            </w:pPr>
            <w:r w:rsidRPr="00DA398C">
              <w:rPr>
                <w:rFonts w:ascii="Times New Roman" w:eastAsia="Times New Roman" w:hAnsi="Times New Roman" w:cs="Times New Roman"/>
                <w:bCs/>
                <w:sz w:val="19"/>
                <w:szCs w:val="19"/>
                <w:lang w:eastAsia="ru-RU"/>
              </w:rPr>
              <w:t xml:space="preserve">По сравнению с 2017 годом поступление указанных доходов увеличилось на 18 108,9 млн. рублей, или на 23,1 %, в основном за счет поступлений акцизов на легковые автомобили (на 11 439,5 млн. рублей, или в 1,6 раза). Рост поступлений доходов от уплаты акцизов на легковые автомобили </w:t>
            </w:r>
            <w:r w:rsidRPr="00DA398C">
              <w:rPr>
                <w:rFonts w:ascii="Times New Roman" w:eastAsia="Times New Roman" w:hAnsi="Times New Roman" w:cs="Times New Roman"/>
                <w:bCs/>
                <w:sz w:val="19"/>
                <w:szCs w:val="19"/>
                <w:lang w:eastAsia="ru-RU"/>
              </w:rPr>
              <w:lastRenderedPageBreak/>
              <w:t>обусловлен установлением дифференцированной шкалы ставок акцизов на автомобили с мощностью двигателя свыше 200 л.</w:t>
            </w:r>
            <w:r w:rsidR="001568F1" w:rsidRPr="001568F1">
              <w:rPr>
                <w:rFonts w:ascii="Times New Roman" w:eastAsia="Times New Roman" w:hAnsi="Times New Roman" w:cs="Times New Roman"/>
                <w:bCs/>
                <w:sz w:val="19"/>
                <w:szCs w:val="19"/>
                <w:lang w:eastAsia="ru-RU"/>
              </w:rPr>
              <w:t xml:space="preserve"> </w:t>
            </w:r>
            <w:r w:rsidRPr="00DA398C">
              <w:rPr>
                <w:rFonts w:ascii="Times New Roman" w:eastAsia="Times New Roman" w:hAnsi="Times New Roman" w:cs="Times New Roman"/>
                <w:bCs/>
                <w:sz w:val="19"/>
                <w:szCs w:val="19"/>
                <w:lang w:eastAsia="ru-RU"/>
              </w:rPr>
              <w:t>с., а также увеличением объема импорта указанной подакцизной продукции</w:t>
            </w:r>
            <w:r w:rsidRPr="00DA398C">
              <w:rPr>
                <w:rFonts w:ascii="Times New Roman" w:eastAsia="Times New Roman" w:hAnsi="Times New Roman" w:cs="Times New Roman"/>
                <w:bCs/>
                <w:sz w:val="19"/>
                <w:szCs w:val="19"/>
                <w:vertAlign w:val="superscript"/>
                <w:lang w:eastAsia="ru-RU"/>
              </w:rPr>
              <w:footnoteReference w:id="9"/>
            </w:r>
          </w:p>
        </w:tc>
      </w:tr>
      <w:tr w:rsidR="007C2475" w:rsidRPr="007C2475" w:rsidTr="00FF4D50">
        <w:trPr>
          <w:trHeight w:val="64"/>
        </w:trPr>
        <w:tc>
          <w:tcPr>
            <w:tcW w:w="2978" w:type="dxa"/>
            <w:shd w:val="clear" w:color="auto" w:fill="FFFFFF" w:themeFill="background1"/>
            <w:vAlign w:val="center"/>
            <w:hideMark/>
          </w:tcPr>
          <w:p w:rsidR="00F32772" w:rsidRPr="007C2475" w:rsidRDefault="00F32772" w:rsidP="00E03AD9">
            <w:pPr>
              <w:spacing w:after="0" w:line="240" w:lineRule="auto"/>
              <w:ind w:right="-29"/>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lastRenderedPageBreak/>
              <w:t xml:space="preserve">Налоги, сборы и регулярные платежи за пользование природными ресурсами </w:t>
            </w:r>
          </w:p>
        </w:tc>
        <w:tc>
          <w:tcPr>
            <w:tcW w:w="12757" w:type="dxa"/>
            <w:shd w:val="clear" w:color="auto" w:fill="FFFFFF" w:themeFill="background1"/>
            <w:noWrap/>
            <w:vAlign w:val="center"/>
          </w:tcPr>
          <w:p w:rsidR="00C16781" w:rsidRPr="007C2475" w:rsidRDefault="00C16781"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Превышение уточненного прогноза составило 110 095,6 млн. рублей, или 1,8 %.</w:t>
            </w:r>
          </w:p>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99,2 % общего объема поступлений приходится на нало</w:t>
            </w:r>
            <w:r w:rsidR="00765FA6">
              <w:rPr>
                <w:rFonts w:ascii="Times New Roman" w:eastAsia="Times New Roman" w:hAnsi="Times New Roman" w:cs="Times New Roman"/>
                <w:bCs/>
                <w:sz w:val="19"/>
                <w:szCs w:val="19"/>
                <w:lang w:eastAsia="ru-RU"/>
              </w:rPr>
              <w:t>г на добычу полезных ископаемых</w:t>
            </w:r>
          </w:p>
        </w:tc>
      </w:tr>
      <w:tr w:rsidR="007C2475" w:rsidRPr="007C2475" w:rsidTr="00FF4D50">
        <w:trPr>
          <w:trHeight w:val="60"/>
        </w:trPr>
        <w:tc>
          <w:tcPr>
            <w:tcW w:w="2978" w:type="dxa"/>
            <w:shd w:val="clear" w:color="auto" w:fill="FFFFFF" w:themeFill="background1"/>
            <w:vAlign w:val="center"/>
          </w:tcPr>
          <w:p w:rsidR="00F32772" w:rsidRPr="007C2475" w:rsidRDefault="00F32772" w:rsidP="00043BC3">
            <w:pPr>
              <w:spacing w:after="0" w:line="240" w:lineRule="auto"/>
              <w:ind w:right="-29"/>
              <w:jc w:val="both"/>
              <w:rPr>
                <w:rFonts w:ascii="Times New Roman" w:eastAsia="Times New Roman" w:hAnsi="Times New Roman" w:cs="Times New Roman"/>
                <w:bCs/>
                <w:i/>
                <w:sz w:val="19"/>
                <w:szCs w:val="19"/>
                <w:lang w:val="en-US" w:eastAsia="ru-RU"/>
              </w:rPr>
            </w:pPr>
            <w:r w:rsidRPr="007C2475">
              <w:rPr>
                <w:rFonts w:ascii="Times New Roman" w:eastAsia="Times New Roman" w:hAnsi="Times New Roman" w:cs="Times New Roman"/>
                <w:bCs/>
                <w:sz w:val="19"/>
                <w:szCs w:val="19"/>
                <w:lang w:eastAsia="ru-RU"/>
              </w:rPr>
              <w:t xml:space="preserve">     </w:t>
            </w:r>
            <w:r w:rsidRPr="007C2475">
              <w:rPr>
                <w:rFonts w:ascii="Times New Roman" w:eastAsia="Times New Roman" w:hAnsi="Times New Roman" w:cs="Times New Roman"/>
                <w:bCs/>
                <w:i/>
                <w:sz w:val="19"/>
                <w:szCs w:val="19"/>
                <w:lang w:eastAsia="ru-RU"/>
              </w:rPr>
              <w:t>из них</w:t>
            </w:r>
            <w:r w:rsidRPr="007C2475">
              <w:rPr>
                <w:rFonts w:ascii="Times New Roman" w:eastAsia="Times New Roman" w:hAnsi="Times New Roman" w:cs="Times New Roman"/>
                <w:bCs/>
                <w:i/>
                <w:sz w:val="19"/>
                <w:szCs w:val="19"/>
                <w:lang w:val="en-US" w:eastAsia="ru-RU"/>
              </w:rPr>
              <w:t>:</w:t>
            </w:r>
          </w:p>
        </w:tc>
        <w:tc>
          <w:tcPr>
            <w:tcW w:w="12757" w:type="dxa"/>
            <w:shd w:val="clear" w:color="auto" w:fill="FFFFFF" w:themeFill="background1"/>
            <w:noWrap/>
            <w:vAlign w:val="center"/>
          </w:tcPr>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p>
        </w:tc>
      </w:tr>
      <w:tr w:rsidR="007C2475" w:rsidRPr="007C2475" w:rsidTr="00FF4D50">
        <w:trPr>
          <w:trHeight w:val="140"/>
        </w:trPr>
        <w:tc>
          <w:tcPr>
            <w:tcW w:w="2978" w:type="dxa"/>
            <w:shd w:val="clear" w:color="auto" w:fill="FFFFFF" w:themeFill="background1"/>
            <w:vAlign w:val="center"/>
            <w:hideMark/>
          </w:tcPr>
          <w:p w:rsidR="00F32772" w:rsidRPr="007C2475" w:rsidRDefault="00F32772" w:rsidP="00B062B6">
            <w:pPr>
              <w:spacing w:after="0" w:line="240" w:lineRule="auto"/>
              <w:ind w:right="-29"/>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 xml:space="preserve">     Налог на добычу полезных ископаемых</w:t>
            </w:r>
          </w:p>
        </w:tc>
        <w:tc>
          <w:tcPr>
            <w:tcW w:w="12757" w:type="dxa"/>
            <w:shd w:val="clear" w:color="auto" w:fill="FFFFFF" w:themeFill="background1"/>
            <w:noWrap/>
            <w:vAlign w:val="center"/>
          </w:tcPr>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p>
        </w:tc>
      </w:tr>
      <w:tr w:rsidR="007C2475" w:rsidRPr="007C2475" w:rsidTr="00FF4D50">
        <w:trPr>
          <w:trHeight w:val="60"/>
        </w:trPr>
        <w:tc>
          <w:tcPr>
            <w:tcW w:w="2978" w:type="dxa"/>
            <w:shd w:val="clear" w:color="auto" w:fill="FFFFFF" w:themeFill="background1"/>
            <w:vAlign w:val="center"/>
          </w:tcPr>
          <w:p w:rsidR="00F32772" w:rsidRPr="007C2475" w:rsidRDefault="00F32772" w:rsidP="00344514">
            <w:pPr>
              <w:spacing w:after="0" w:line="240" w:lineRule="auto"/>
              <w:ind w:right="-29"/>
              <w:jc w:val="both"/>
              <w:rPr>
                <w:rFonts w:ascii="Times New Roman" w:eastAsia="Times New Roman" w:hAnsi="Times New Roman" w:cs="Times New Roman"/>
                <w:bCs/>
                <w:i/>
                <w:sz w:val="19"/>
                <w:szCs w:val="19"/>
                <w:lang w:val="en-US" w:eastAsia="ru-RU"/>
              </w:rPr>
            </w:pPr>
            <w:r w:rsidRPr="007C2475">
              <w:rPr>
                <w:rFonts w:ascii="Times New Roman" w:eastAsia="Times New Roman" w:hAnsi="Times New Roman" w:cs="Times New Roman"/>
                <w:bCs/>
                <w:i/>
                <w:sz w:val="19"/>
                <w:szCs w:val="19"/>
                <w:lang w:eastAsia="ru-RU"/>
              </w:rPr>
              <w:t xml:space="preserve">     из него</w:t>
            </w:r>
            <w:r w:rsidRPr="007C2475">
              <w:rPr>
                <w:rFonts w:ascii="Times New Roman" w:eastAsia="Times New Roman" w:hAnsi="Times New Roman" w:cs="Times New Roman"/>
                <w:bCs/>
                <w:i/>
                <w:sz w:val="19"/>
                <w:szCs w:val="19"/>
                <w:lang w:val="en-US" w:eastAsia="ru-RU"/>
              </w:rPr>
              <w:t>:</w:t>
            </w:r>
          </w:p>
        </w:tc>
        <w:tc>
          <w:tcPr>
            <w:tcW w:w="12757" w:type="dxa"/>
            <w:shd w:val="clear" w:color="auto" w:fill="FFFFFF" w:themeFill="background1"/>
            <w:noWrap/>
            <w:vAlign w:val="center"/>
          </w:tcPr>
          <w:p w:rsidR="00F32772" w:rsidRPr="007C2475" w:rsidRDefault="00F32772" w:rsidP="00F20E43">
            <w:pPr>
              <w:spacing w:after="0" w:line="240" w:lineRule="auto"/>
              <w:ind w:firstLine="175"/>
              <w:jc w:val="both"/>
              <w:rPr>
                <w:rFonts w:ascii="Times New Roman" w:eastAsia="Times New Roman" w:hAnsi="Times New Roman" w:cs="Times New Roman"/>
                <w:sz w:val="19"/>
                <w:szCs w:val="19"/>
                <w:lang w:eastAsia="ru-RU"/>
              </w:rPr>
            </w:pPr>
          </w:p>
        </w:tc>
      </w:tr>
      <w:tr w:rsidR="007C2475" w:rsidRPr="007C2475" w:rsidTr="00FF4D50">
        <w:trPr>
          <w:trHeight w:val="300"/>
        </w:trPr>
        <w:tc>
          <w:tcPr>
            <w:tcW w:w="2978" w:type="dxa"/>
            <w:shd w:val="clear" w:color="auto" w:fill="FFFFFF" w:themeFill="background1"/>
            <w:vAlign w:val="center"/>
            <w:hideMark/>
          </w:tcPr>
          <w:p w:rsidR="00F32772" w:rsidRPr="007C2475" w:rsidRDefault="00F32772" w:rsidP="00F14150">
            <w:pPr>
              <w:spacing w:after="0" w:line="240" w:lineRule="auto"/>
              <w:ind w:right="-29" w:firstLine="318"/>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НДПИ на нефть</w:t>
            </w:r>
          </w:p>
        </w:tc>
        <w:tc>
          <w:tcPr>
            <w:tcW w:w="12757" w:type="dxa"/>
            <w:shd w:val="clear" w:color="auto" w:fill="FFFFFF" w:themeFill="background1"/>
            <w:noWrap/>
            <w:vAlign w:val="center"/>
          </w:tcPr>
          <w:p w:rsidR="00F32772" w:rsidRPr="007C2475" w:rsidRDefault="00F32772"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Превышение уточненного прогноза</w:t>
            </w:r>
            <w:r w:rsidR="00C16781" w:rsidRPr="007C2475">
              <w:rPr>
                <w:rFonts w:ascii="Times New Roman" w:eastAsia="Times New Roman" w:hAnsi="Times New Roman" w:cs="Times New Roman"/>
                <w:sz w:val="19"/>
                <w:szCs w:val="19"/>
                <w:lang w:eastAsia="ru-RU"/>
              </w:rPr>
              <w:t xml:space="preserve"> на 97 545,0 млн. рублей, или на 1,9 %</w:t>
            </w:r>
            <w:r w:rsidR="00C24B32">
              <w:rPr>
                <w:rFonts w:ascii="Times New Roman" w:eastAsia="Times New Roman" w:hAnsi="Times New Roman" w:cs="Times New Roman"/>
                <w:sz w:val="19"/>
                <w:szCs w:val="19"/>
                <w:lang w:eastAsia="ru-RU"/>
              </w:rPr>
              <w:t>,</w:t>
            </w:r>
            <w:r w:rsidRPr="007C2475">
              <w:rPr>
                <w:rFonts w:ascii="Times New Roman" w:eastAsia="Times New Roman" w:hAnsi="Times New Roman" w:cs="Times New Roman"/>
                <w:sz w:val="19"/>
                <w:szCs w:val="19"/>
                <w:lang w:eastAsia="ru-RU"/>
              </w:rPr>
              <w:t xml:space="preserve"> в основном обусловлено ростом цены на нефть марки «Юралс» и роста курса доллара США по отношению к рублю по сравнению с прогнозными значениями.</w:t>
            </w:r>
          </w:p>
          <w:p w:rsidR="00F32772" w:rsidRPr="007C2475" w:rsidRDefault="00C16781" w:rsidP="00F20E43">
            <w:pPr>
              <w:spacing w:after="0" w:line="240" w:lineRule="auto"/>
              <w:ind w:firstLine="175"/>
              <w:jc w:val="both"/>
              <w:rPr>
                <w:rFonts w:ascii="Times New Roman" w:eastAsia="Times New Roman" w:hAnsi="Times New Roman" w:cs="Times New Roman"/>
                <w:sz w:val="19"/>
                <w:szCs w:val="19"/>
                <w:lang w:eastAsia="ru-RU"/>
              </w:rPr>
            </w:pPr>
            <w:proofErr w:type="gramStart"/>
            <w:r w:rsidRPr="007C2475">
              <w:rPr>
                <w:rFonts w:ascii="Times New Roman" w:eastAsia="Times New Roman" w:hAnsi="Times New Roman" w:cs="Times New Roman"/>
                <w:sz w:val="19"/>
                <w:szCs w:val="19"/>
                <w:lang w:eastAsia="ru-RU"/>
              </w:rPr>
              <w:t>По сравнению с 2017 годом доходы увеличились на 1 880 114,5 млн. рублей, или в 1,6 раза, за счет роста цены на нефть мар</w:t>
            </w:r>
            <w:r w:rsidR="00765FA6">
              <w:rPr>
                <w:rFonts w:ascii="Times New Roman" w:eastAsia="Times New Roman" w:hAnsi="Times New Roman" w:cs="Times New Roman"/>
                <w:sz w:val="19"/>
                <w:szCs w:val="19"/>
                <w:lang w:eastAsia="ru-RU"/>
              </w:rPr>
              <w:t>ки «Юралс» в 1,3 раза, повышения</w:t>
            </w:r>
            <w:r w:rsidRPr="007C2475">
              <w:rPr>
                <w:rFonts w:ascii="Times New Roman" w:eastAsia="Times New Roman" w:hAnsi="Times New Roman" w:cs="Times New Roman"/>
                <w:sz w:val="19"/>
                <w:szCs w:val="19"/>
                <w:lang w:eastAsia="ru-RU"/>
              </w:rPr>
              <w:t xml:space="preserve"> курса доллара США по отношению к рублю</w:t>
            </w:r>
            <w:r w:rsidRPr="007C2475">
              <w:rPr>
                <w:rFonts w:ascii="Times New Roman" w:eastAsia="Times New Roman" w:hAnsi="Times New Roman" w:cs="Times New Roman"/>
                <w:sz w:val="19"/>
                <w:szCs w:val="19"/>
                <w:vertAlign w:val="superscript"/>
                <w:lang w:eastAsia="ru-RU"/>
              </w:rPr>
              <w:footnoteReference w:id="10"/>
            </w:r>
            <w:r w:rsidRPr="007C2475">
              <w:rPr>
                <w:rFonts w:ascii="Times New Roman" w:eastAsia="Times New Roman" w:hAnsi="Times New Roman" w:cs="Times New Roman"/>
                <w:sz w:val="19"/>
                <w:szCs w:val="19"/>
                <w:lang w:eastAsia="ru-RU"/>
              </w:rPr>
              <w:t>, увеличения коэффициента (</w:t>
            </w:r>
            <w:proofErr w:type="spellStart"/>
            <w:r w:rsidRPr="007C2475">
              <w:rPr>
                <w:rFonts w:ascii="Times New Roman" w:eastAsia="Times New Roman" w:hAnsi="Times New Roman" w:cs="Times New Roman"/>
                <w:sz w:val="19"/>
                <w:szCs w:val="19"/>
                <w:lang w:eastAsia="ru-RU"/>
              </w:rPr>
              <w:t>К</w:t>
            </w:r>
            <w:r w:rsidRPr="007C2475">
              <w:rPr>
                <w:rFonts w:ascii="Times New Roman" w:eastAsia="Times New Roman" w:hAnsi="Times New Roman" w:cs="Times New Roman"/>
                <w:sz w:val="19"/>
                <w:szCs w:val="19"/>
                <w:vertAlign w:val="subscript"/>
                <w:lang w:eastAsia="ru-RU"/>
              </w:rPr>
              <w:t>к</w:t>
            </w:r>
            <w:proofErr w:type="spellEnd"/>
            <w:r w:rsidRPr="007C2475">
              <w:rPr>
                <w:rFonts w:ascii="Times New Roman" w:eastAsia="Times New Roman" w:hAnsi="Times New Roman" w:cs="Times New Roman"/>
                <w:sz w:val="19"/>
                <w:szCs w:val="19"/>
                <w:lang w:eastAsia="ru-RU"/>
              </w:rPr>
              <w:t>), используемого для определения показателя, характеризующего особенности добычи нефти, при расчете ставки налога (на 16,7 %)</w:t>
            </w:r>
            <w:r w:rsidRPr="007C2475">
              <w:rPr>
                <w:rFonts w:ascii="Times New Roman" w:eastAsia="Times New Roman" w:hAnsi="Times New Roman" w:cs="Times New Roman"/>
                <w:sz w:val="19"/>
                <w:szCs w:val="19"/>
                <w:vertAlign w:val="superscript"/>
                <w:lang w:eastAsia="ru-RU"/>
              </w:rPr>
              <w:footnoteReference w:id="11"/>
            </w:r>
            <w:r w:rsidRPr="007C2475">
              <w:rPr>
                <w:rFonts w:ascii="Times New Roman" w:eastAsia="Times New Roman" w:hAnsi="Times New Roman" w:cs="Times New Roman"/>
                <w:sz w:val="19"/>
                <w:szCs w:val="19"/>
                <w:lang w:eastAsia="ru-RU"/>
              </w:rPr>
              <w:t>, а также увеличения объемов добычи нефти</w:t>
            </w:r>
            <w:r w:rsidRPr="007C2475">
              <w:rPr>
                <w:rFonts w:ascii="Times New Roman" w:eastAsia="Times New Roman" w:hAnsi="Times New Roman" w:cs="Times New Roman"/>
                <w:sz w:val="19"/>
                <w:szCs w:val="19"/>
                <w:vertAlign w:val="superscript"/>
                <w:lang w:eastAsia="ru-RU"/>
              </w:rPr>
              <w:footnoteReference w:id="12"/>
            </w:r>
            <w:proofErr w:type="gramEnd"/>
          </w:p>
        </w:tc>
      </w:tr>
      <w:tr w:rsidR="007C2475" w:rsidRPr="007C2475" w:rsidTr="00FF4D50">
        <w:trPr>
          <w:trHeight w:val="600"/>
        </w:trPr>
        <w:tc>
          <w:tcPr>
            <w:tcW w:w="2978" w:type="dxa"/>
            <w:shd w:val="clear" w:color="auto" w:fill="FFFFFF" w:themeFill="background1"/>
            <w:vAlign w:val="center"/>
            <w:hideMark/>
          </w:tcPr>
          <w:p w:rsidR="00F32772" w:rsidRPr="007C2475" w:rsidRDefault="00F32772" w:rsidP="00F14150">
            <w:pPr>
              <w:spacing w:after="0" w:line="240" w:lineRule="auto"/>
              <w:ind w:right="-29" w:firstLine="318"/>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НДПИ на газ горючий природный  из всех видов месторождений углеводородного сырья</w:t>
            </w:r>
          </w:p>
        </w:tc>
        <w:tc>
          <w:tcPr>
            <w:tcW w:w="12757" w:type="dxa"/>
            <w:shd w:val="clear" w:color="auto" w:fill="FFFFFF" w:themeFill="background1"/>
            <w:noWrap/>
            <w:vAlign w:val="center"/>
          </w:tcPr>
          <w:p w:rsidR="009D3BCB" w:rsidRPr="007C2475" w:rsidRDefault="009D3BCB"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Превышение уточненного прогноза составило 7 384,7 млн. рублей, или 1,2 %.</w:t>
            </w:r>
          </w:p>
          <w:p w:rsidR="009D3BCB" w:rsidRPr="007C2475" w:rsidRDefault="009D3BCB"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 xml:space="preserve">По сравнению с 2017 годом указанные доходы увеличились на 85 210,0 млн. рублей, или на 15,6 %. </w:t>
            </w:r>
          </w:p>
          <w:p w:rsidR="00F32772" w:rsidRPr="007C2475" w:rsidRDefault="009D3BCB"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На рост поступлений оказали влияние рост объемов добычи природного газа</w:t>
            </w:r>
            <w:r w:rsidRPr="007C2475">
              <w:rPr>
                <w:rFonts w:ascii="Times New Roman" w:eastAsia="Times New Roman" w:hAnsi="Times New Roman" w:cs="Times New Roman"/>
                <w:sz w:val="19"/>
                <w:szCs w:val="19"/>
                <w:vertAlign w:val="superscript"/>
                <w:lang w:eastAsia="ru-RU"/>
              </w:rPr>
              <w:footnoteReference w:id="13"/>
            </w:r>
            <w:r w:rsidRPr="007C2475">
              <w:rPr>
                <w:rFonts w:ascii="Times New Roman" w:eastAsia="Times New Roman" w:hAnsi="Times New Roman" w:cs="Times New Roman"/>
                <w:sz w:val="19"/>
                <w:szCs w:val="19"/>
                <w:lang w:eastAsia="ru-RU"/>
              </w:rPr>
              <w:t xml:space="preserve">, а также </w:t>
            </w:r>
            <w:r w:rsidR="00C24B32">
              <w:rPr>
                <w:rFonts w:ascii="Times New Roman" w:eastAsia="Times New Roman" w:hAnsi="Times New Roman" w:cs="Times New Roman"/>
                <w:sz w:val="19"/>
                <w:szCs w:val="19"/>
                <w:lang w:eastAsia="ru-RU"/>
              </w:rPr>
              <w:t xml:space="preserve">на </w:t>
            </w:r>
            <w:r w:rsidRPr="007C2475">
              <w:rPr>
                <w:rFonts w:ascii="Times New Roman" w:eastAsia="Times New Roman" w:hAnsi="Times New Roman" w:cs="Times New Roman"/>
                <w:sz w:val="19"/>
                <w:szCs w:val="19"/>
                <w:lang w:eastAsia="ru-RU"/>
              </w:rPr>
              <w:t xml:space="preserve">изменение размера ставки </w:t>
            </w:r>
            <w:proofErr w:type="gramStart"/>
            <w:r w:rsidRPr="007C2475">
              <w:rPr>
                <w:rFonts w:ascii="Times New Roman" w:eastAsia="Times New Roman" w:hAnsi="Times New Roman" w:cs="Times New Roman"/>
                <w:sz w:val="19"/>
                <w:szCs w:val="19"/>
                <w:lang w:eastAsia="ru-RU"/>
              </w:rPr>
              <w:t>налога</w:t>
            </w:r>
            <w:proofErr w:type="gramEnd"/>
            <w:r w:rsidRPr="007C2475">
              <w:rPr>
                <w:rFonts w:ascii="Times New Roman" w:eastAsia="Times New Roman" w:hAnsi="Times New Roman" w:cs="Times New Roman"/>
                <w:sz w:val="19"/>
                <w:szCs w:val="19"/>
                <w:lang w:eastAsia="ru-RU"/>
              </w:rPr>
              <w:t xml:space="preserve"> за счет изменения значения повышающего коэффициента </w:t>
            </w:r>
            <w:proofErr w:type="spellStart"/>
            <w:r w:rsidRPr="007C2475">
              <w:rPr>
                <w:rFonts w:ascii="Times New Roman" w:eastAsia="Times New Roman" w:hAnsi="Times New Roman" w:cs="Times New Roman"/>
                <w:sz w:val="19"/>
                <w:szCs w:val="19"/>
                <w:lang w:eastAsia="ru-RU"/>
              </w:rPr>
              <w:t>К</w:t>
            </w:r>
            <w:r w:rsidRPr="007C2475">
              <w:rPr>
                <w:rFonts w:ascii="Times New Roman" w:eastAsia="Times New Roman" w:hAnsi="Times New Roman" w:cs="Times New Roman"/>
                <w:sz w:val="19"/>
                <w:szCs w:val="19"/>
                <w:vertAlign w:val="subscript"/>
                <w:lang w:eastAsia="ru-RU"/>
              </w:rPr>
              <w:t>гп</w:t>
            </w:r>
            <w:proofErr w:type="spellEnd"/>
            <w:r w:rsidRPr="007C2475">
              <w:rPr>
                <w:rFonts w:ascii="Times New Roman" w:eastAsia="Times New Roman" w:hAnsi="Times New Roman" w:cs="Times New Roman"/>
                <w:sz w:val="19"/>
                <w:szCs w:val="19"/>
                <w:lang w:eastAsia="ru-RU"/>
              </w:rPr>
              <w:t>,</w:t>
            </w:r>
            <w:r w:rsidRPr="007C2475">
              <w:rPr>
                <w:rFonts w:ascii="Times New Roman" w:eastAsia="Times New Roman" w:hAnsi="Times New Roman" w:cs="Times New Roman"/>
                <w:sz w:val="19"/>
                <w:szCs w:val="19"/>
                <w:vertAlign w:val="subscript"/>
                <w:lang w:eastAsia="ru-RU"/>
              </w:rPr>
              <w:t xml:space="preserve"> </w:t>
            </w:r>
            <w:r w:rsidRPr="007C2475">
              <w:rPr>
                <w:rFonts w:ascii="Times New Roman" w:eastAsia="Times New Roman" w:hAnsi="Times New Roman" w:cs="Times New Roman"/>
                <w:sz w:val="19"/>
                <w:szCs w:val="19"/>
                <w:lang w:eastAsia="ru-RU"/>
              </w:rPr>
              <w:t>характеризующего экспортную доходность единицы условного топлива, для организаций, являющихся собственниками объектов Единой системы газоснабжения, и аффилированных с ними компаний, используемого при расчете базового значения единицы условного топлива (</w:t>
            </w:r>
            <w:proofErr w:type="spellStart"/>
            <w:r w:rsidRPr="007C2475">
              <w:rPr>
                <w:rFonts w:ascii="Times New Roman" w:eastAsia="Times New Roman" w:hAnsi="Times New Roman" w:cs="Times New Roman"/>
                <w:sz w:val="19"/>
                <w:szCs w:val="19"/>
                <w:lang w:eastAsia="ru-RU"/>
              </w:rPr>
              <w:t>Е</w:t>
            </w:r>
            <w:r w:rsidRPr="007C2475">
              <w:rPr>
                <w:rFonts w:ascii="Times New Roman" w:eastAsia="Times New Roman" w:hAnsi="Times New Roman" w:cs="Times New Roman"/>
                <w:sz w:val="19"/>
                <w:szCs w:val="19"/>
                <w:vertAlign w:val="subscript"/>
                <w:lang w:eastAsia="ru-RU"/>
              </w:rPr>
              <w:t>ут</w:t>
            </w:r>
            <w:proofErr w:type="spellEnd"/>
            <w:r w:rsidRPr="007C2475">
              <w:rPr>
                <w:rFonts w:ascii="Times New Roman" w:eastAsia="Times New Roman" w:hAnsi="Times New Roman" w:cs="Times New Roman"/>
                <w:sz w:val="19"/>
                <w:szCs w:val="19"/>
                <w:lang w:eastAsia="ru-RU"/>
              </w:rPr>
              <w:t>)</w:t>
            </w:r>
            <w:r w:rsidRPr="007C2475">
              <w:rPr>
                <w:rFonts w:ascii="Times New Roman" w:eastAsia="Times New Roman" w:hAnsi="Times New Roman" w:cs="Times New Roman"/>
                <w:sz w:val="19"/>
                <w:szCs w:val="19"/>
                <w:vertAlign w:val="superscript"/>
                <w:lang w:eastAsia="ru-RU"/>
              </w:rPr>
              <w:footnoteReference w:id="14"/>
            </w:r>
            <w:r w:rsidRPr="007C2475">
              <w:rPr>
                <w:rFonts w:ascii="Times New Roman" w:eastAsia="Times New Roman" w:hAnsi="Times New Roman" w:cs="Times New Roman"/>
                <w:sz w:val="19"/>
                <w:szCs w:val="19"/>
                <w:lang w:eastAsia="ru-RU"/>
              </w:rPr>
              <w:t>, а также увеличения цены реализации природного газа за пределы территорий государств</w:t>
            </w:r>
            <w:r w:rsidR="001568F1">
              <w:rPr>
                <w:rFonts w:ascii="Times New Roman" w:eastAsia="Times New Roman" w:hAnsi="Times New Roman" w:cs="Times New Roman"/>
                <w:sz w:val="19"/>
                <w:szCs w:val="19"/>
                <w:lang w:val="en-US" w:eastAsia="ru-RU"/>
              </w:rPr>
              <w:t> </w:t>
            </w:r>
            <w:r w:rsidRPr="007C2475">
              <w:rPr>
                <w:rFonts w:ascii="Times New Roman" w:eastAsia="Times New Roman" w:hAnsi="Times New Roman" w:cs="Times New Roman"/>
                <w:sz w:val="19"/>
                <w:szCs w:val="19"/>
                <w:lang w:eastAsia="ru-RU"/>
              </w:rPr>
              <w:t>-</w:t>
            </w:r>
            <w:r w:rsidR="001568F1">
              <w:rPr>
                <w:rFonts w:ascii="Times New Roman" w:eastAsia="Times New Roman" w:hAnsi="Times New Roman" w:cs="Times New Roman"/>
                <w:sz w:val="19"/>
                <w:szCs w:val="19"/>
                <w:lang w:val="en-US" w:eastAsia="ru-RU"/>
              </w:rPr>
              <w:t> </w:t>
            </w:r>
            <w:r w:rsidRPr="007C2475">
              <w:rPr>
                <w:rFonts w:ascii="Times New Roman" w:eastAsia="Times New Roman" w:hAnsi="Times New Roman" w:cs="Times New Roman"/>
                <w:sz w:val="19"/>
                <w:szCs w:val="19"/>
                <w:lang w:eastAsia="ru-RU"/>
              </w:rPr>
              <w:t>участников Содружества независимых госуда</w:t>
            </w:r>
            <w:proofErr w:type="gramStart"/>
            <w:r w:rsidRPr="007C2475">
              <w:rPr>
                <w:rFonts w:ascii="Times New Roman" w:eastAsia="Times New Roman" w:hAnsi="Times New Roman" w:cs="Times New Roman"/>
                <w:sz w:val="19"/>
                <w:szCs w:val="19"/>
                <w:lang w:eastAsia="ru-RU"/>
              </w:rPr>
              <w:t>рств в д</w:t>
            </w:r>
            <w:proofErr w:type="gramEnd"/>
            <w:r w:rsidRPr="007C2475">
              <w:rPr>
                <w:rFonts w:ascii="Times New Roman" w:eastAsia="Times New Roman" w:hAnsi="Times New Roman" w:cs="Times New Roman"/>
                <w:sz w:val="19"/>
                <w:szCs w:val="19"/>
                <w:lang w:eastAsia="ru-RU"/>
              </w:rPr>
              <w:t>екабре 2017 года – ноябре 2018 года на 26,8 % (со 176,0 до 22</w:t>
            </w:r>
            <w:r w:rsidR="00B22B58">
              <w:rPr>
                <w:rFonts w:ascii="Times New Roman" w:eastAsia="Times New Roman" w:hAnsi="Times New Roman" w:cs="Times New Roman"/>
                <w:sz w:val="19"/>
                <w:szCs w:val="19"/>
                <w:lang w:eastAsia="ru-RU"/>
              </w:rPr>
              <w:t>3,1 долл./тыс. куб. м)</w:t>
            </w:r>
          </w:p>
        </w:tc>
      </w:tr>
      <w:tr w:rsidR="007C2475" w:rsidRPr="007C2475" w:rsidTr="00FF4D50">
        <w:trPr>
          <w:trHeight w:val="285"/>
        </w:trPr>
        <w:tc>
          <w:tcPr>
            <w:tcW w:w="2978" w:type="dxa"/>
            <w:shd w:val="clear" w:color="auto" w:fill="FFFFFF" w:themeFill="background1"/>
            <w:vAlign w:val="center"/>
            <w:hideMark/>
          </w:tcPr>
          <w:p w:rsidR="00F32772" w:rsidRPr="007C2475" w:rsidRDefault="00F32772" w:rsidP="00B062B6">
            <w:pPr>
              <w:spacing w:after="0" w:line="240" w:lineRule="auto"/>
              <w:ind w:right="-29"/>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Государственная пошлина</w:t>
            </w:r>
          </w:p>
        </w:tc>
        <w:tc>
          <w:tcPr>
            <w:tcW w:w="12757" w:type="dxa"/>
            <w:shd w:val="clear" w:color="auto" w:fill="FFFFFF" w:themeFill="background1"/>
            <w:noWrap/>
            <w:vAlign w:val="center"/>
          </w:tcPr>
          <w:p w:rsidR="000024CF" w:rsidRPr="007C2475" w:rsidRDefault="004D2994" w:rsidP="00F20E43">
            <w:pPr>
              <w:spacing w:after="0" w:line="240" w:lineRule="auto"/>
              <w:ind w:firstLine="175"/>
              <w:jc w:val="both"/>
              <w:rPr>
                <w:rFonts w:ascii="Times New Roman" w:eastAsia="Times New Roman" w:hAnsi="Times New Roman" w:cs="Times New Roman"/>
                <w:bCs/>
                <w:sz w:val="19"/>
                <w:szCs w:val="19"/>
                <w:lang w:eastAsia="ru-RU"/>
              </w:rPr>
            </w:pPr>
            <w:r>
              <w:rPr>
                <w:rFonts w:ascii="Times New Roman" w:eastAsia="Times New Roman" w:hAnsi="Times New Roman" w:cs="Times New Roman"/>
                <w:bCs/>
                <w:sz w:val="19"/>
                <w:szCs w:val="19"/>
                <w:lang w:eastAsia="ru-RU"/>
              </w:rPr>
              <w:t>Недовыполнение</w:t>
            </w:r>
            <w:r w:rsidR="000024CF" w:rsidRPr="007C2475">
              <w:rPr>
                <w:rFonts w:ascii="Times New Roman" w:eastAsia="Times New Roman" w:hAnsi="Times New Roman" w:cs="Times New Roman"/>
                <w:bCs/>
                <w:sz w:val="19"/>
                <w:szCs w:val="19"/>
                <w:lang w:eastAsia="ru-RU"/>
              </w:rPr>
              <w:t xml:space="preserve"> уточненного прогноза составило 119,4 млн. рублей, или 0,1 %.</w:t>
            </w:r>
          </w:p>
          <w:p w:rsidR="00F32772" w:rsidRPr="007C2475" w:rsidRDefault="000024CF" w:rsidP="00F20E43">
            <w:pPr>
              <w:spacing w:after="0" w:line="240" w:lineRule="auto"/>
              <w:ind w:firstLine="175"/>
              <w:jc w:val="both"/>
              <w:rPr>
                <w:rFonts w:ascii="Times New Roman" w:eastAsia="Times New Roman" w:hAnsi="Times New Roman" w:cs="Times New Roman"/>
                <w:bCs/>
                <w:sz w:val="19"/>
                <w:szCs w:val="19"/>
                <w:lang w:eastAsia="ru-RU"/>
              </w:rPr>
            </w:pPr>
            <w:proofErr w:type="gramStart"/>
            <w:r w:rsidRPr="007C2475">
              <w:rPr>
                <w:rFonts w:ascii="Times New Roman" w:eastAsia="Times New Roman" w:hAnsi="Times New Roman" w:cs="Times New Roman"/>
                <w:bCs/>
                <w:sz w:val="19"/>
                <w:szCs w:val="19"/>
                <w:lang w:eastAsia="ru-RU"/>
              </w:rPr>
              <w:t xml:space="preserve">По сравнению с 2017 годом поступление государственной пошлины увеличилось на 2 829,0 млн. рублей, или на 3 %, что обусловлено главным образом увеличением  доходов от уплаты государственной пошлины за государственную регистрацию транспортных средств и иные юридически </w:t>
            </w:r>
            <w:r w:rsidRPr="007C2475">
              <w:rPr>
                <w:rFonts w:ascii="Times New Roman" w:eastAsia="Times New Roman" w:hAnsi="Times New Roman" w:cs="Times New Roman"/>
                <w:bCs/>
                <w:sz w:val="19"/>
                <w:szCs w:val="19"/>
                <w:lang w:eastAsia="ru-RU"/>
              </w:rPr>
              <w:lastRenderedPageBreak/>
              <w:t>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r w:rsidR="00AC2C09">
              <w:rPr>
                <w:rFonts w:ascii="Times New Roman" w:eastAsia="Times New Roman" w:hAnsi="Times New Roman" w:cs="Times New Roman"/>
                <w:bCs/>
                <w:sz w:val="19"/>
                <w:szCs w:val="19"/>
                <w:lang w:eastAsia="ru-RU"/>
              </w:rPr>
              <w:t>,</w:t>
            </w:r>
            <w:r w:rsidRPr="007C2475">
              <w:rPr>
                <w:rFonts w:ascii="Times New Roman" w:eastAsia="Times New Roman" w:hAnsi="Times New Roman" w:cs="Times New Roman"/>
                <w:bCs/>
                <w:sz w:val="19"/>
                <w:szCs w:val="19"/>
                <w:lang w:eastAsia="ru-RU"/>
              </w:rPr>
              <w:t xml:space="preserve"> на 2 257,8 млн. рублей, или</w:t>
            </w:r>
            <w:proofErr w:type="gramEnd"/>
            <w:r w:rsidRPr="007C2475">
              <w:rPr>
                <w:rFonts w:ascii="Times New Roman" w:eastAsia="Times New Roman" w:hAnsi="Times New Roman" w:cs="Times New Roman"/>
                <w:bCs/>
                <w:sz w:val="19"/>
                <w:szCs w:val="19"/>
                <w:lang w:eastAsia="ru-RU"/>
              </w:rPr>
              <w:t xml:space="preserve"> на 8,8 %</w:t>
            </w:r>
            <w:r w:rsidR="00AC2C09">
              <w:rPr>
                <w:rFonts w:ascii="Times New Roman" w:eastAsia="Times New Roman" w:hAnsi="Times New Roman" w:cs="Times New Roman"/>
                <w:bCs/>
                <w:sz w:val="19"/>
                <w:szCs w:val="19"/>
                <w:lang w:eastAsia="ru-RU"/>
              </w:rPr>
              <w:t>,</w:t>
            </w:r>
            <w:r w:rsidRPr="007C2475">
              <w:rPr>
                <w:rFonts w:ascii="Times New Roman" w:eastAsia="Times New Roman" w:hAnsi="Times New Roman" w:cs="Times New Roman"/>
                <w:bCs/>
                <w:sz w:val="19"/>
                <w:szCs w:val="19"/>
                <w:lang w:eastAsia="ru-RU"/>
              </w:rPr>
              <w:t xml:space="preserve"> и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r w:rsidR="00AC2C09">
              <w:rPr>
                <w:rFonts w:ascii="Times New Roman" w:eastAsia="Times New Roman" w:hAnsi="Times New Roman" w:cs="Times New Roman"/>
                <w:bCs/>
                <w:sz w:val="19"/>
                <w:szCs w:val="19"/>
                <w:lang w:eastAsia="ru-RU"/>
              </w:rPr>
              <w:t>,</w:t>
            </w:r>
            <w:r w:rsidRPr="007C2475">
              <w:rPr>
                <w:rFonts w:ascii="Times New Roman" w:eastAsia="Times New Roman" w:hAnsi="Times New Roman" w:cs="Times New Roman"/>
                <w:bCs/>
                <w:sz w:val="19"/>
                <w:szCs w:val="19"/>
                <w:lang w:eastAsia="ru-RU"/>
              </w:rPr>
              <w:t xml:space="preserve"> на 876,0 млн. рублей, или на 6,3 %.</w:t>
            </w:r>
          </w:p>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Более 83 % доходов от уплаты государственной пошлины приходится на 5 видов пошлины</w:t>
            </w:r>
          </w:p>
        </w:tc>
      </w:tr>
      <w:tr w:rsidR="007C2475" w:rsidRPr="007C2475" w:rsidTr="00FF4D50">
        <w:trPr>
          <w:trHeight w:val="60"/>
        </w:trPr>
        <w:tc>
          <w:tcPr>
            <w:tcW w:w="2978" w:type="dxa"/>
            <w:shd w:val="clear" w:color="auto" w:fill="FFFFFF" w:themeFill="background1"/>
            <w:vAlign w:val="center"/>
          </w:tcPr>
          <w:p w:rsidR="00F32772" w:rsidRPr="007C2475" w:rsidRDefault="00F32772" w:rsidP="008F1461">
            <w:pPr>
              <w:spacing w:after="0" w:line="240" w:lineRule="auto"/>
              <w:ind w:firstLineChars="100" w:firstLine="100"/>
              <w:rPr>
                <w:rFonts w:ascii="Times New Roman" w:eastAsia="Times New Roman" w:hAnsi="Times New Roman" w:cs="Times New Roman"/>
                <w:b/>
                <w:bCs/>
                <w:sz w:val="10"/>
                <w:szCs w:val="10"/>
                <w:lang w:eastAsia="ru-RU"/>
              </w:rPr>
            </w:pPr>
          </w:p>
        </w:tc>
        <w:tc>
          <w:tcPr>
            <w:tcW w:w="12757" w:type="dxa"/>
            <w:shd w:val="clear" w:color="auto" w:fill="FFFFFF" w:themeFill="background1"/>
            <w:noWrap/>
            <w:vAlign w:val="center"/>
          </w:tcPr>
          <w:p w:rsidR="00F32772" w:rsidRPr="007C2475" w:rsidRDefault="00F32772" w:rsidP="00F20E43">
            <w:pPr>
              <w:spacing w:after="0" w:line="240" w:lineRule="auto"/>
              <w:ind w:firstLine="175"/>
              <w:rPr>
                <w:rFonts w:ascii="Times New Roman" w:eastAsia="Times New Roman" w:hAnsi="Times New Roman" w:cs="Times New Roman"/>
                <w:iCs/>
                <w:sz w:val="10"/>
                <w:szCs w:val="10"/>
                <w:lang w:eastAsia="ru-RU"/>
              </w:rPr>
            </w:pPr>
          </w:p>
        </w:tc>
      </w:tr>
      <w:tr w:rsidR="007C2475" w:rsidRPr="007C2475" w:rsidTr="00FF4D50">
        <w:trPr>
          <w:trHeight w:val="330"/>
        </w:trPr>
        <w:tc>
          <w:tcPr>
            <w:tcW w:w="2978" w:type="dxa"/>
            <w:shd w:val="clear" w:color="auto" w:fill="FFFFFF" w:themeFill="background1"/>
            <w:vAlign w:val="center"/>
            <w:hideMark/>
          </w:tcPr>
          <w:p w:rsidR="00F32772" w:rsidRPr="007C2475" w:rsidRDefault="00F32772" w:rsidP="001F4618">
            <w:pPr>
              <w:spacing w:after="0" w:line="240" w:lineRule="auto"/>
              <w:ind w:firstLineChars="100" w:firstLine="191"/>
              <w:rPr>
                <w:rFonts w:ascii="Times New Roman" w:eastAsia="Times New Roman" w:hAnsi="Times New Roman" w:cs="Times New Roman"/>
                <w:b/>
                <w:bCs/>
                <w:sz w:val="19"/>
                <w:szCs w:val="19"/>
                <w:lang w:eastAsia="ru-RU"/>
              </w:rPr>
            </w:pPr>
            <w:r w:rsidRPr="007C2475">
              <w:rPr>
                <w:rFonts w:ascii="Times New Roman" w:eastAsia="Times New Roman" w:hAnsi="Times New Roman" w:cs="Times New Roman"/>
                <w:b/>
                <w:bCs/>
                <w:sz w:val="19"/>
                <w:szCs w:val="19"/>
                <w:lang w:eastAsia="ru-RU"/>
              </w:rPr>
              <w:t>II. Неналоговые доходы</w:t>
            </w:r>
          </w:p>
        </w:tc>
        <w:tc>
          <w:tcPr>
            <w:tcW w:w="12757" w:type="dxa"/>
            <w:shd w:val="clear" w:color="auto" w:fill="FFFFFF" w:themeFill="background1"/>
            <w:noWrap/>
            <w:vAlign w:val="center"/>
            <w:hideMark/>
          </w:tcPr>
          <w:p w:rsidR="00F32772" w:rsidRPr="007C2475" w:rsidRDefault="00F32772" w:rsidP="00F20E43">
            <w:pPr>
              <w:spacing w:after="0" w:line="240" w:lineRule="auto"/>
              <w:ind w:firstLine="175"/>
              <w:jc w:val="both"/>
              <w:rPr>
                <w:rFonts w:ascii="Times New Roman" w:eastAsia="Times New Roman" w:hAnsi="Times New Roman" w:cs="Times New Roman"/>
                <w:iCs/>
                <w:sz w:val="19"/>
                <w:szCs w:val="19"/>
                <w:lang w:eastAsia="ru-RU"/>
              </w:rPr>
            </w:pPr>
            <w:r w:rsidRPr="007C2475">
              <w:rPr>
                <w:rFonts w:ascii="Times New Roman" w:eastAsia="Times New Roman" w:hAnsi="Times New Roman" w:cs="Times New Roman"/>
                <w:b/>
                <w:iCs/>
                <w:sz w:val="19"/>
                <w:szCs w:val="19"/>
                <w:lang w:eastAsia="ru-RU"/>
              </w:rPr>
              <w:t>Доля неналоговых доходов</w:t>
            </w:r>
            <w:r w:rsidRPr="007C2475">
              <w:rPr>
                <w:rFonts w:ascii="Times New Roman" w:eastAsia="Times New Roman" w:hAnsi="Times New Roman" w:cs="Times New Roman"/>
                <w:iCs/>
                <w:sz w:val="19"/>
                <w:szCs w:val="19"/>
                <w:lang w:eastAsia="ru-RU"/>
              </w:rPr>
              <w:t xml:space="preserve"> в общем объеме доходов федерального бюджета в 2018 году составила </w:t>
            </w:r>
            <w:r w:rsidRPr="007C2475">
              <w:rPr>
                <w:rFonts w:ascii="Times New Roman" w:eastAsia="Times New Roman" w:hAnsi="Times New Roman" w:cs="Times New Roman"/>
                <w:b/>
                <w:iCs/>
                <w:sz w:val="19"/>
                <w:szCs w:val="19"/>
                <w:lang w:eastAsia="ru-RU"/>
              </w:rPr>
              <w:t>26,89 %,</w:t>
            </w:r>
            <w:r w:rsidRPr="007C2475">
              <w:rPr>
                <w:rFonts w:ascii="Times New Roman" w:eastAsia="Times New Roman" w:hAnsi="Times New Roman" w:cs="Times New Roman"/>
                <w:iCs/>
                <w:sz w:val="19"/>
                <w:szCs w:val="19"/>
                <w:lang w:eastAsia="ru-RU"/>
              </w:rPr>
              <w:t xml:space="preserve"> что на 0,33 процентного пункта выше предусмотренного прогнозом поступлений к Федеральному закону № 362-ФЗ (с изменениями) соотношения (26,56 %) и на 0,54 процентного пункта выше, чем в 2017 году (26,35 %).</w:t>
            </w:r>
          </w:p>
          <w:p w:rsidR="00F32772" w:rsidRPr="007C2475" w:rsidRDefault="00F32772" w:rsidP="00F20E43">
            <w:pPr>
              <w:spacing w:after="0" w:line="240" w:lineRule="auto"/>
              <w:ind w:firstLine="175"/>
              <w:jc w:val="both"/>
              <w:rPr>
                <w:rFonts w:ascii="Times New Roman" w:eastAsia="Times New Roman" w:hAnsi="Times New Roman" w:cs="Times New Roman"/>
                <w:iCs/>
                <w:sz w:val="19"/>
                <w:szCs w:val="19"/>
                <w:lang w:eastAsia="ru-RU"/>
              </w:rPr>
            </w:pPr>
            <w:r w:rsidRPr="007C2475">
              <w:rPr>
                <w:rFonts w:ascii="Times New Roman" w:eastAsia="Times New Roman" w:hAnsi="Times New Roman" w:cs="Times New Roman"/>
                <w:iCs/>
                <w:sz w:val="19"/>
                <w:szCs w:val="19"/>
                <w:lang w:eastAsia="ru-RU"/>
              </w:rPr>
              <w:t>Основную часть неналоговых доходов в 2018 году составили поступления от внешнеэкономической деятельности</w:t>
            </w:r>
            <w:r w:rsidR="004E4C31">
              <w:rPr>
                <w:rFonts w:ascii="Times New Roman" w:eastAsia="Times New Roman" w:hAnsi="Times New Roman" w:cs="Times New Roman"/>
                <w:iCs/>
                <w:sz w:val="19"/>
                <w:szCs w:val="19"/>
                <w:lang w:eastAsia="ru-RU"/>
              </w:rPr>
              <w:t xml:space="preserve"> – 70,9 %, в 2017 году – 65,5 %</w:t>
            </w:r>
          </w:p>
        </w:tc>
      </w:tr>
      <w:tr w:rsidR="007C2475" w:rsidRPr="007C2475" w:rsidTr="00FF4D50">
        <w:trPr>
          <w:trHeight w:val="64"/>
        </w:trPr>
        <w:tc>
          <w:tcPr>
            <w:tcW w:w="2978" w:type="dxa"/>
            <w:shd w:val="clear" w:color="auto" w:fill="FFFFFF" w:themeFill="background1"/>
            <w:vAlign w:val="center"/>
            <w:hideMark/>
          </w:tcPr>
          <w:p w:rsidR="00F32772" w:rsidRPr="007C2475" w:rsidRDefault="00F32772" w:rsidP="00E23B02">
            <w:pPr>
              <w:spacing w:after="0" w:line="240" w:lineRule="auto"/>
              <w:ind w:firstLineChars="100" w:firstLine="190"/>
              <w:rPr>
                <w:rFonts w:ascii="Times New Roman" w:eastAsia="Times New Roman" w:hAnsi="Times New Roman" w:cs="Times New Roman"/>
                <w:i/>
                <w:iCs/>
                <w:sz w:val="19"/>
                <w:szCs w:val="19"/>
                <w:lang w:eastAsia="ru-RU"/>
              </w:rPr>
            </w:pPr>
            <w:r w:rsidRPr="007C2475">
              <w:rPr>
                <w:rFonts w:ascii="Times New Roman" w:eastAsia="Times New Roman" w:hAnsi="Times New Roman" w:cs="Times New Roman"/>
                <w:i/>
                <w:iCs/>
                <w:sz w:val="19"/>
                <w:szCs w:val="19"/>
                <w:lang w:eastAsia="ru-RU"/>
              </w:rPr>
              <w:t>в том числе:</w:t>
            </w:r>
          </w:p>
        </w:tc>
        <w:tc>
          <w:tcPr>
            <w:tcW w:w="12757" w:type="dxa"/>
            <w:shd w:val="clear" w:color="auto" w:fill="FFFFFF" w:themeFill="background1"/>
            <w:noWrap/>
            <w:vAlign w:val="center"/>
          </w:tcPr>
          <w:p w:rsidR="00F32772" w:rsidRPr="007C2475" w:rsidRDefault="00F32772" w:rsidP="00F20E43">
            <w:pPr>
              <w:spacing w:after="0" w:line="240" w:lineRule="auto"/>
              <w:ind w:firstLine="175"/>
              <w:rPr>
                <w:rFonts w:ascii="Times New Roman" w:eastAsia="Times New Roman" w:hAnsi="Times New Roman" w:cs="Times New Roman"/>
                <w:bCs/>
                <w:sz w:val="19"/>
                <w:szCs w:val="19"/>
                <w:lang w:eastAsia="ru-RU"/>
              </w:rPr>
            </w:pPr>
          </w:p>
        </w:tc>
      </w:tr>
      <w:tr w:rsidR="007C2475" w:rsidRPr="007C2475" w:rsidTr="004E4C31">
        <w:trPr>
          <w:trHeight w:val="64"/>
        </w:trPr>
        <w:tc>
          <w:tcPr>
            <w:tcW w:w="2978" w:type="dxa"/>
            <w:shd w:val="clear" w:color="auto" w:fill="FFFFFF" w:themeFill="background1"/>
            <w:vAlign w:val="center"/>
            <w:hideMark/>
          </w:tcPr>
          <w:p w:rsidR="00F32772" w:rsidRPr="007C2475" w:rsidRDefault="00F32772" w:rsidP="00645D1C">
            <w:pPr>
              <w:spacing w:after="0" w:line="240" w:lineRule="auto"/>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Доходы от внешнеэкономической деятельности</w:t>
            </w:r>
          </w:p>
        </w:tc>
        <w:tc>
          <w:tcPr>
            <w:tcW w:w="12757" w:type="dxa"/>
            <w:shd w:val="clear" w:color="auto" w:fill="FFFFFF" w:themeFill="background1"/>
            <w:noWrap/>
          </w:tcPr>
          <w:p w:rsidR="00F32772" w:rsidRPr="007C2475" w:rsidRDefault="00F32772" w:rsidP="004E4C31">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Более 81 % указанных доходов приходится</w:t>
            </w:r>
            <w:r w:rsidR="004E4C31">
              <w:rPr>
                <w:rFonts w:ascii="Times New Roman" w:eastAsia="Times New Roman" w:hAnsi="Times New Roman" w:cs="Times New Roman"/>
                <w:bCs/>
                <w:sz w:val="19"/>
                <w:szCs w:val="19"/>
                <w:lang w:eastAsia="ru-RU"/>
              </w:rPr>
              <w:t xml:space="preserve"> на вывозные таможенные пошлины</w:t>
            </w:r>
          </w:p>
        </w:tc>
      </w:tr>
      <w:tr w:rsidR="007C2475" w:rsidRPr="007C2475" w:rsidTr="00FF4D50">
        <w:trPr>
          <w:trHeight w:val="64"/>
        </w:trPr>
        <w:tc>
          <w:tcPr>
            <w:tcW w:w="2978" w:type="dxa"/>
            <w:shd w:val="clear" w:color="auto" w:fill="FFFFFF" w:themeFill="background1"/>
            <w:vAlign w:val="center"/>
            <w:hideMark/>
          </w:tcPr>
          <w:p w:rsidR="00F32772" w:rsidRPr="007C2475" w:rsidRDefault="00F32772" w:rsidP="004A0DC5">
            <w:pPr>
              <w:spacing w:after="0" w:line="240" w:lineRule="auto"/>
              <w:ind w:firstLineChars="100" w:firstLine="190"/>
              <w:rPr>
                <w:rFonts w:ascii="Times New Roman" w:eastAsia="Times New Roman" w:hAnsi="Times New Roman" w:cs="Times New Roman"/>
                <w:i/>
                <w:iCs/>
                <w:sz w:val="19"/>
                <w:szCs w:val="19"/>
                <w:lang w:eastAsia="ru-RU"/>
              </w:rPr>
            </w:pPr>
            <w:r w:rsidRPr="007C2475">
              <w:rPr>
                <w:rFonts w:ascii="Times New Roman" w:eastAsia="Times New Roman" w:hAnsi="Times New Roman" w:cs="Times New Roman"/>
                <w:i/>
                <w:iCs/>
                <w:sz w:val="19"/>
                <w:szCs w:val="19"/>
                <w:lang w:eastAsia="ru-RU"/>
              </w:rPr>
              <w:t>из них:</w:t>
            </w:r>
          </w:p>
        </w:tc>
        <w:tc>
          <w:tcPr>
            <w:tcW w:w="12757" w:type="dxa"/>
            <w:shd w:val="clear" w:color="auto" w:fill="FFFFFF" w:themeFill="background1"/>
            <w:noWrap/>
            <w:vAlign w:val="center"/>
          </w:tcPr>
          <w:p w:rsidR="00F32772" w:rsidRPr="007C2475" w:rsidRDefault="00F32772" w:rsidP="00F20E43">
            <w:pPr>
              <w:spacing w:after="0" w:line="240" w:lineRule="auto"/>
              <w:ind w:firstLine="175"/>
              <w:rPr>
                <w:rFonts w:ascii="Times New Roman" w:eastAsia="Times New Roman" w:hAnsi="Times New Roman" w:cs="Times New Roman"/>
                <w:bCs/>
                <w:sz w:val="19"/>
                <w:szCs w:val="19"/>
                <w:lang w:eastAsia="ru-RU"/>
              </w:rPr>
            </w:pPr>
          </w:p>
        </w:tc>
      </w:tr>
      <w:tr w:rsidR="007C2475" w:rsidRPr="007C2475" w:rsidTr="00FF4D50">
        <w:trPr>
          <w:trHeight w:val="342"/>
        </w:trPr>
        <w:tc>
          <w:tcPr>
            <w:tcW w:w="2978" w:type="dxa"/>
            <w:shd w:val="clear" w:color="auto" w:fill="FFFFFF" w:themeFill="background1"/>
            <w:vAlign w:val="center"/>
            <w:hideMark/>
          </w:tcPr>
          <w:p w:rsidR="00F32772" w:rsidRPr="007C2475" w:rsidRDefault="00F32772" w:rsidP="00645D1C">
            <w:pPr>
              <w:spacing w:after="0" w:line="240" w:lineRule="auto"/>
              <w:ind w:firstLine="318"/>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Вывозные таможенные пошлины на нефть сырую</w:t>
            </w:r>
          </w:p>
        </w:tc>
        <w:tc>
          <w:tcPr>
            <w:tcW w:w="12757" w:type="dxa"/>
            <w:shd w:val="clear" w:color="auto" w:fill="FFFFFF" w:themeFill="background1"/>
            <w:noWrap/>
            <w:vAlign w:val="center"/>
          </w:tcPr>
          <w:p w:rsidR="00BD399E" w:rsidRPr="007C2475" w:rsidRDefault="00BD399E"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Превышение уточненного прогноза составило 29 669,5 млн. рублей, или 2 %.</w:t>
            </w:r>
          </w:p>
          <w:p w:rsidR="00F32772" w:rsidRPr="007C2475" w:rsidRDefault="00BD399E"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По сравнению с 2017 годом указанные доходы увеличились на 573 864,3 млн. рублей, или в 1,6 раза. Рост поступлений в значительной мере обусловлен ростом цены на нефть марки «Юралс», используемой для расчета ставок вывозных таможенных пошлин на нефть сырую в 1,3 раза, а также ростом курса доллара США</w:t>
            </w:r>
            <w:r w:rsidR="004E4C31">
              <w:rPr>
                <w:rFonts w:ascii="Times New Roman" w:eastAsia="Times New Roman" w:hAnsi="Times New Roman" w:cs="Times New Roman"/>
                <w:sz w:val="19"/>
                <w:szCs w:val="19"/>
                <w:lang w:eastAsia="ru-RU"/>
              </w:rPr>
              <w:t xml:space="preserve"> по отношению к рублю на 7,2 %</w:t>
            </w:r>
          </w:p>
        </w:tc>
      </w:tr>
      <w:tr w:rsidR="007C2475" w:rsidRPr="007C2475" w:rsidTr="00FF4D50">
        <w:trPr>
          <w:trHeight w:val="300"/>
        </w:trPr>
        <w:tc>
          <w:tcPr>
            <w:tcW w:w="2978" w:type="dxa"/>
            <w:shd w:val="clear" w:color="auto" w:fill="FFFFFF" w:themeFill="background1"/>
            <w:vAlign w:val="center"/>
            <w:hideMark/>
          </w:tcPr>
          <w:p w:rsidR="00F32772" w:rsidRPr="007C2475" w:rsidRDefault="00F32772" w:rsidP="00645D1C">
            <w:pPr>
              <w:spacing w:after="0" w:line="240" w:lineRule="auto"/>
              <w:ind w:firstLine="318"/>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Вывозные таможенные пошлины на газ природный</w:t>
            </w:r>
          </w:p>
        </w:tc>
        <w:tc>
          <w:tcPr>
            <w:tcW w:w="12757" w:type="dxa"/>
            <w:shd w:val="clear" w:color="auto" w:fill="FFFFFF" w:themeFill="background1"/>
            <w:noWrap/>
            <w:vAlign w:val="center"/>
          </w:tcPr>
          <w:p w:rsidR="00BD399E" w:rsidRPr="007C2475" w:rsidRDefault="00BD399E"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 xml:space="preserve">Превышение уточненного прогноза составило </w:t>
            </w:r>
            <w:r w:rsidR="00A47A23" w:rsidRPr="007C2475">
              <w:rPr>
                <w:rFonts w:ascii="Times New Roman" w:eastAsia="Times New Roman" w:hAnsi="Times New Roman" w:cs="Times New Roman"/>
                <w:bCs/>
                <w:sz w:val="19"/>
                <w:szCs w:val="19"/>
                <w:lang w:eastAsia="ru-RU"/>
              </w:rPr>
              <w:t>47 177,5 млн. рублей, или 6,2 %</w:t>
            </w:r>
            <w:r w:rsidRPr="007C2475">
              <w:rPr>
                <w:rFonts w:ascii="Times New Roman" w:eastAsia="Times New Roman" w:hAnsi="Times New Roman" w:cs="Times New Roman"/>
                <w:bCs/>
                <w:sz w:val="19"/>
                <w:szCs w:val="19"/>
                <w:lang w:eastAsia="ru-RU"/>
              </w:rPr>
              <w:t>.</w:t>
            </w:r>
          </w:p>
          <w:p w:rsidR="00F32772" w:rsidRPr="007C2475" w:rsidRDefault="00A47A23" w:rsidP="00F20E43">
            <w:pPr>
              <w:spacing w:after="0" w:line="240" w:lineRule="auto"/>
              <w:ind w:firstLine="175"/>
              <w:jc w:val="both"/>
              <w:rPr>
                <w:rFonts w:ascii="Times New Roman" w:eastAsia="Times New Roman" w:hAnsi="Times New Roman" w:cs="Times New Roman"/>
                <w:sz w:val="19"/>
                <w:szCs w:val="19"/>
                <w:lang w:eastAsia="ru-RU"/>
              </w:rPr>
            </w:pPr>
            <w:proofErr w:type="gramStart"/>
            <w:r w:rsidRPr="007C2475">
              <w:rPr>
                <w:rFonts w:ascii="Times New Roman" w:eastAsia="Times New Roman" w:hAnsi="Times New Roman" w:cs="Times New Roman"/>
                <w:sz w:val="19"/>
                <w:szCs w:val="19"/>
                <w:lang w:eastAsia="ru-RU"/>
              </w:rPr>
              <w:t xml:space="preserve">По сравнению с 2017 годом указанные доходы увеличились на 233 009,8 млн. рублей, или на 40,4 %, что связано с увеличением цены на газ природный, экспортируемый в страны дальнего зарубежья на 29,8 %, а также </w:t>
            </w:r>
            <w:r w:rsidR="00B22B58">
              <w:rPr>
                <w:rFonts w:ascii="Times New Roman" w:eastAsia="Times New Roman" w:hAnsi="Times New Roman" w:cs="Times New Roman"/>
                <w:sz w:val="19"/>
                <w:szCs w:val="19"/>
                <w:lang w:eastAsia="ru-RU"/>
              </w:rPr>
              <w:t xml:space="preserve">с </w:t>
            </w:r>
            <w:r w:rsidRPr="007C2475">
              <w:rPr>
                <w:rFonts w:ascii="Times New Roman" w:eastAsia="Times New Roman" w:hAnsi="Times New Roman" w:cs="Times New Roman"/>
                <w:sz w:val="19"/>
                <w:szCs w:val="19"/>
                <w:lang w:eastAsia="ru-RU"/>
              </w:rPr>
              <w:t>ростом физических налогооблагаемых объемов экспорта газа природного на 10,2 %. Также на поступление доходов положительное влияние оказал рост курса долл</w:t>
            </w:r>
            <w:r w:rsidR="004E4C31">
              <w:rPr>
                <w:rFonts w:ascii="Times New Roman" w:eastAsia="Times New Roman" w:hAnsi="Times New Roman" w:cs="Times New Roman"/>
                <w:sz w:val="19"/>
                <w:szCs w:val="19"/>
                <w:lang w:eastAsia="ru-RU"/>
              </w:rPr>
              <w:t>ара США по отношению к рублю</w:t>
            </w:r>
            <w:proofErr w:type="gramEnd"/>
          </w:p>
        </w:tc>
      </w:tr>
      <w:tr w:rsidR="007C2475" w:rsidRPr="007C2475" w:rsidTr="00FF4D50">
        <w:trPr>
          <w:trHeight w:val="600"/>
        </w:trPr>
        <w:tc>
          <w:tcPr>
            <w:tcW w:w="2978" w:type="dxa"/>
            <w:shd w:val="clear" w:color="auto" w:fill="FFFFFF" w:themeFill="background1"/>
            <w:vAlign w:val="center"/>
            <w:hideMark/>
          </w:tcPr>
          <w:p w:rsidR="00F32772" w:rsidRPr="007C2475" w:rsidRDefault="00F32772" w:rsidP="00645D1C">
            <w:pPr>
              <w:spacing w:after="0" w:line="240" w:lineRule="auto"/>
              <w:ind w:firstLine="318"/>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Вывозные таможенные пошлины на товары, выработанные из нефти</w:t>
            </w:r>
          </w:p>
        </w:tc>
        <w:tc>
          <w:tcPr>
            <w:tcW w:w="12757" w:type="dxa"/>
            <w:shd w:val="clear" w:color="auto" w:fill="FFFFFF" w:themeFill="background1"/>
            <w:noWrap/>
            <w:vAlign w:val="center"/>
          </w:tcPr>
          <w:p w:rsidR="00BD399E" w:rsidRPr="007C2475" w:rsidRDefault="00BD399E"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 xml:space="preserve">Превышение уточненного прогноза составило </w:t>
            </w:r>
            <w:r w:rsidR="00A47A23" w:rsidRPr="007C2475">
              <w:rPr>
                <w:rFonts w:ascii="Times New Roman" w:eastAsia="Times New Roman" w:hAnsi="Times New Roman" w:cs="Times New Roman"/>
                <w:bCs/>
                <w:sz w:val="19"/>
                <w:szCs w:val="19"/>
                <w:lang w:eastAsia="ru-RU"/>
              </w:rPr>
              <w:t>21 673,9 млн. рублей, или 3,5 %</w:t>
            </w:r>
            <w:r w:rsidRPr="007C2475">
              <w:rPr>
                <w:rFonts w:ascii="Times New Roman" w:eastAsia="Times New Roman" w:hAnsi="Times New Roman" w:cs="Times New Roman"/>
                <w:bCs/>
                <w:sz w:val="19"/>
                <w:szCs w:val="19"/>
                <w:lang w:eastAsia="ru-RU"/>
              </w:rPr>
              <w:t>.</w:t>
            </w:r>
          </w:p>
          <w:p w:rsidR="00F32772" w:rsidRPr="007C2475" w:rsidRDefault="00A47A23" w:rsidP="00F20E43">
            <w:pPr>
              <w:spacing w:after="0" w:line="240" w:lineRule="auto"/>
              <w:ind w:firstLine="175"/>
              <w:jc w:val="both"/>
              <w:rPr>
                <w:rFonts w:ascii="Times New Roman" w:eastAsia="Times New Roman" w:hAnsi="Times New Roman" w:cs="Times New Roman"/>
                <w:sz w:val="19"/>
                <w:szCs w:val="19"/>
                <w:lang w:eastAsia="ru-RU"/>
              </w:rPr>
            </w:pPr>
            <w:proofErr w:type="gramStart"/>
            <w:r w:rsidRPr="007C2475">
              <w:rPr>
                <w:rFonts w:ascii="Times New Roman" w:eastAsia="Times New Roman" w:hAnsi="Times New Roman" w:cs="Times New Roman"/>
                <w:sz w:val="19"/>
                <w:szCs w:val="19"/>
                <w:lang w:eastAsia="ru-RU"/>
              </w:rPr>
              <w:t>По сравнению с 2017 годом поступления данного вида таможенных пошлин увеличились на 250 730,3 млн. рублей, или в 1,6 раза, что в основном связано с ростом цены на нефть марки «Юралс», используемой для расчета ставок вывозных таможенных пошлин на товары, выработанные из нефти</w:t>
            </w:r>
            <w:r w:rsidR="004E4C31">
              <w:rPr>
                <w:rFonts w:ascii="Times New Roman" w:eastAsia="Times New Roman" w:hAnsi="Times New Roman" w:cs="Times New Roman"/>
                <w:sz w:val="19"/>
                <w:szCs w:val="19"/>
                <w:lang w:eastAsia="ru-RU"/>
              </w:rPr>
              <w:t>,</w:t>
            </w:r>
            <w:r w:rsidRPr="007C2475">
              <w:rPr>
                <w:rFonts w:ascii="Times New Roman" w:eastAsia="Times New Roman" w:hAnsi="Times New Roman" w:cs="Times New Roman"/>
                <w:sz w:val="19"/>
                <w:szCs w:val="19"/>
                <w:lang w:eastAsia="ru-RU"/>
              </w:rPr>
              <w:t xml:space="preserve"> и ростом курса д</w:t>
            </w:r>
            <w:r w:rsidR="00B22B58">
              <w:rPr>
                <w:rFonts w:ascii="Times New Roman" w:eastAsia="Times New Roman" w:hAnsi="Times New Roman" w:cs="Times New Roman"/>
                <w:sz w:val="19"/>
                <w:szCs w:val="19"/>
                <w:lang w:eastAsia="ru-RU"/>
              </w:rPr>
              <w:t>оллара США по отношению к рублю</w:t>
            </w:r>
            <w:proofErr w:type="gramEnd"/>
          </w:p>
        </w:tc>
      </w:tr>
      <w:tr w:rsidR="007C2475" w:rsidRPr="007C2475" w:rsidTr="00B22B58">
        <w:trPr>
          <w:trHeight w:val="900"/>
        </w:trPr>
        <w:tc>
          <w:tcPr>
            <w:tcW w:w="2978" w:type="dxa"/>
            <w:shd w:val="clear" w:color="auto" w:fill="FFFFFF" w:themeFill="background1"/>
            <w:vAlign w:val="center"/>
            <w:hideMark/>
          </w:tcPr>
          <w:p w:rsidR="00F32772" w:rsidRPr="007C2475" w:rsidRDefault="00F32772" w:rsidP="00645D1C">
            <w:pPr>
              <w:spacing w:after="0" w:line="240" w:lineRule="auto"/>
              <w:ind w:firstLine="318"/>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Таможенные пошлины, налоги, уплачиваемые физическими лицами по единым ставкам таможенных пошлин, налогов или в виде совокупного таможенного платежа</w:t>
            </w:r>
          </w:p>
        </w:tc>
        <w:tc>
          <w:tcPr>
            <w:tcW w:w="12757" w:type="dxa"/>
            <w:shd w:val="clear" w:color="auto" w:fill="FFFFFF" w:themeFill="background1"/>
            <w:noWrap/>
          </w:tcPr>
          <w:p w:rsidR="00BD399E" w:rsidRPr="007C2475" w:rsidRDefault="00BD399E"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 xml:space="preserve">Превышение уточненного прогноза составило </w:t>
            </w:r>
            <w:r w:rsidR="002A5C76" w:rsidRPr="007C2475">
              <w:rPr>
                <w:rFonts w:ascii="Times New Roman" w:eastAsia="Times New Roman" w:hAnsi="Times New Roman" w:cs="Times New Roman"/>
                <w:bCs/>
                <w:sz w:val="19"/>
                <w:szCs w:val="19"/>
                <w:lang w:eastAsia="ru-RU"/>
              </w:rPr>
              <w:t>1 976,3 млн. рублей, или 13,8 %</w:t>
            </w:r>
            <w:r w:rsidRPr="007C2475">
              <w:rPr>
                <w:rFonts w:ascii="Times New Roman" w:eastAsia="Times New Roman" w:hAnsi="Times New Roman" w:cs="Times New Roman"/>
                <w:bCs/>
                <w:sz w:val="19"/>
                <w:szCs w:val="19"/>
                <w:lang w:eastAsia="ru-RU"/>
              </w:rPr>
              <w:t>.</w:t>
            </w:r>
          </w:p>
          <w:p w:rsidR="00F32772" w:rsidRPr="007C2475" w:rsidRDefault="002A5C76"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 xml:space="preserve">По сравнению с 2017 годом поступления указанных пошлин увеличились на 8 898,8 млн. рублей, или  в 2,2 раза, что в основном обусловлено увеличением объемов ввоза физическими лицами легковых </w:t>
            </w:r>
            <w:r w:rsidR="00B22B58">
              <w:rPr>
                <w:rFonts w:ascii="Times New Roman" w:eastAsia="Times New Roman" w:hAnsi="Times New Roman" w:cs="Times New Roman"/>
                <w:sz w:val="19"/>
                <w:szCs w:val="19"/>
                <w:lang w:eastAsia="ru-RU"/>
              </w:rPr>
              <w:t>автомобилей  более чем в 2 раза</w:t>
            </w:r>
          </w:p>
        </w:tc>
      </w:tr>
      <w:tr w:rsidR="007C2475" w:rsidRPr="007C2475" w:rsidTr="00FF4D50">
        <w:trPr>
          <w:trHeight w:val="527"/>
        </w:trPr>
        <w:tc>
          <w:tcPr>
            <w:tcW w:w="2978" w:type="dxa"/>
            <w:shd w:val="clear" w:color="auto" w:fill="FFFFFF" w:themeFill="background1"/>
            <w:vAlign w:val="center"/>
            <w:hideMark/>
          </w:tcPr>
          <w:p w:rsidR="00F32772" w:rsidRPr="007C2475" w:rsidRDefault="00F32772" w:rsidP="00645D1C">
            <w:pPr>
              <w:spacing w:after="0" w:line="240" w:lineRule="auto"/>
              <w:ind w:firstLine="318"/>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Авансовые платежи в счет будущих таможенных и иных платежей</w:t>
            </w:r>
          </w:p>
        </w:tc>
        <w:tc>
          <w:tcPr>
            <w:tcW w:w="12757" w:type="dxa"/>
            <w:vMerge w:val="restart"/>
            <w:shd w:val="clear" w:color="auto" w:fill="FFFFFF" w:themeFill="background1"/>
            <w:noWrap/>
            <w:vAlign w:val="center"/>
          </w:tcPr>
          <w:p w:rsidR="00F32772" w:rsidRPr="007C2475" w:rsidRDefault="00F32772" w:rsidP="004E4C31">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На поступление доходов от внешнеэкономической деятельности в январе</w:t>
            </w:r>
            <w:r w:rsidRPr="007C2475">
              <w:rPr>
                <w:rFonts w:ascii="Times New Roman" w:eastAsia="Times New Roman" w:hAnsi="Times New Roman" w:cs="Times New Roman"/>
                <w:sz w:val="19"/>
                <w:szCs w:val="19"/>
                <w:lang w:val="en-US" w:eastAsia="ru-RU"/>
              </w:rPr>
              <w:t> </w:t>
            </w:r>
            <w:r w:rsidRPr="007C2475">
              <w:rPr>
                <w:rFonts w:ascii="Times New Roman" w:eastAsia="Times New Roman" w:hAnsi="Times New Roman" w:cs="Times New Roman"/>
                <w:sz w:val="19"/>
                <w:szCs w:val="19"/>
                <w:lang w:eastAsia="ru-RU"/>
              </w:rPr>
              <w:t xml:space="preserve">- декабре 2018 года оказал возврат поступлений авансовых </w:t>
            </w:r>
            <w:proofErr w:type="gramStart"/>
            <w:r w:rsidRPr="007C2475">
              <w:rPr>
                <w:rFonts w:ascii="Times New Roman" w:eastAsia="Times New Roman" w:hAnsi="Times New Roman" w:cs="Times New Roman"/>
                <w:sz w:val="19"/>
                <w:szCs w:val="19"/>
                <w:lang w:eastAsia="ru-RU"/>
              </w:rPr>
              <w:t>платежей</w:t>
            </w:r>
            <w:proofErr w:type="gramEnd"/>
            <w:r w:rsidRPr="007C2475">
              <w:rPr>
                <w:rFonts w:ascii="Times New Roman" w:eastAsia="Times New Roman" w:hAnsi="Times New Roman" w:cs="Times New Roman"/>
                <w:sz w:val="19"/>
                <w:szCs w:val="19"/>
                <w:lang w:eastAsia="ru-RU"/>
              </w:rPr>
              <w:t xml:space="preserve"> в счет будущих таможенных и иных платежей в сумме («</w:t>
            </w:r>
            <w:r w:rsidR="004E4C31">
              <w:rPr>
                <w:rFonts w:ascii="Times New Roman" w:eastAsia="Times New Roman" w:hAnsi="Times New Roman" w:cs="Times New Roman"/>
                <w:sz w:val="19"/>
                <w:szCs w:val="19"/>
                <w:lang w:eastAsia="ru-RU"/>
              </w:rPr>
              <w:t>-</w:t>
            </w:r>
            <w:r w:rsidRPr="007C2475">
              <w:rPr>
                <w:rFonts w:ascii="Times New Roman" w:eastAsia="Times New Roman" w:hAnsi="Times New Roman" w:cs="Times New Roman"/>
                <w:sz w:val="19"/>
                <w:szCs w:val="19"/>
                <w:lang w:eastAsia="ru-RU"/>
              </w:rPr>
              <w:t>») 27 945,5 млн. рублей (в январе - декабре 2017 года указанные доходы составили «</w:t>
            </w:r>
            <w:r w:rsidR="004E4C31">
              <w:rPr>
                <w:rFonts w:ascii="Times New Roman" w:eastAsia="Times New Roman" w:hAnsi="Times New Roman" w:cs="Times New Roman"/>
                <w:sz w:val="19"/>
                <w:szCs w:val="19"/>
                <w:lang w:eastAsia="ru-RU"/>
              </w:rPr>
              <w:t>+</w:t>
            </w:r>
            <w:r w:rsidRPr="007C2475">
              <w:rPr>
                <w:rFonts w:ascii="Times New Roman" w:eastAsia="Times New Roman" w:hAnsi="Times New Roman" w:cs="Times New Roman"/>
                <w:sz w:val="19"/>
                <w:szCs w:val="19"/>
                <w:lang w:eastAsia="ru-RU"/>
              </w:rPr>
              <w:t>» 24</w:t>
            </w:r>
            <w:r w:rsidRPr="007C2475">
              <w:rPr>
                <w:rFonts w:ascii="Times New Roman" w:eastAsia="Times New Roman" w:hAnsi="Times New Roman" w:cs="Times New Roman"/>
                <w:sz w:val="19"/>
                <w:szCs w:val="19"/>
                <w:lang w:val="en-US" w:eastAsia="ru-RU"/>
              </w:rPr>
              <w:t> </w:t>
            </w:r>
            <w:r w:rsidR="004E4C31">
              <w:rPr>
                <w:rFonts w:ascii="Times New Roman" w:eastAsia="Times New Roman" w:hAnsi="Times New Roman" w:cs="Times New Roman"/>
                <w:sz w:val="19"/>
                <w:szCs w:val="19"/>
                <w:lang w:eastAsia="ru-RU"/>
              </w:rPr>
              <w:t xml:space="preserve">699,8 млн. рублей). </w:t>
            </w:r>
            <w:r w:rsidRPr="007C2475">
              <w:rPr>
                <w:rFonts w:ascii="Times New Roman" w:eastAsia="Times New Roman" w:hAnsi="Times New Roman" w:cs="Times New Roman"/>
                <w:sz w:val="19"/>
                <w:szCs w:val="19"/>
                <w:lang w:eastAsia="ru-RU"/>
              </w:rPr>
              <w:t>Кроме того</w:t>
            </w:r>
            <w:r w:rsidR="004E4C31">
              <w:rPr>
                <w:rFonts w:ascii="Times New Roman" w:eastAsia="Times New Roman" w:hAnsi="Times New Roman" w:cs="Times New Roman"/>
                <w:sz w:val="19"/>
                <w:szCs w:val="19"/>
                <w:lang w:eastAsia="ru-RU"/>
              </w:rPr>
              <w:t>,</w:t>
            </w:r>
            <w:r w:rsidRPr="007C2475">
              <w:rPr>
                <w:rFonts w:ascii="Times New Roman" w:eastAsia="Times New Roman" w:hAnsi="Times New Roman" w:cs="Times New Roman"/>
                <w:sz w:val="19"/>
                <w:szCs w:val="19"/>
                <w:lang w:eastAsia="ru-RU"/>
              </w:rPr>
              <w:t xml:space="preserve"> поступления денежных залогов в обеспечение уплаты таможенных и иных платежей составили 8 594,3 млн. рублей. Прогнозирование указанных платежей не было запланировано ФТС России при формировании Федерального </w:t>
            </w:r>
            <w:r w:rsidR="004E4C31">
              <w:rPr>
                <w:rFonts w:ascii="Times New Roman" w:eastAsia="Times New Roman" w:hAnsi="Times New Roman" w:cs="Times New Roman"/>
                <w:sz w:val="19"/>
                <w:szCs w:val="19"/>
                <w:lang w:eastAsia="ru-RU"/>
              </w:rPr>
              <w:t>закона № 362-ФЗ (с изменениями)</w:t>
            </w:r>
          </w:p>
        </w:tc>
      </w:tr>
      <w:tr w:rsidR="007C2475" w:rsidRPr="007C2475" w:rsidTr="00FF4D50">
        <w:trPr>
          <w:trHeight w:val="600"/>
        </w:trPr>
        <w:tc>
          <w:tcPr>
            <w:tcW w:w="2978" w:type="dxa"/>
            <w:shd w:val="clear" w:color="auto" w:fill="FFFFFF" w:themeFill="background1"/>
            <w:vAlign w:val="center"/>
            <w:hideMark/>
          </w:tcPr>
          <w:p w:rsidR="00F32772" w:rsidRPr="007C2475" w:rsidRDefault="00F32772" w:rsidP="00645D1C">
            <w:pPr>
              <w:spacing w:after="0" w:line="240" w:lineRule="auto"/>
              <w:ind w:right="-107" w:firstLine="318"/>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Денежный залог в обеспечение уплаты таможенных и иных платежей</w:t>
            </w:r>
          </w:p>
        </w:tc>
        <w:tc>
          <w:tcPr>
            <w:tcW w:w="12757" w:type="dxa"/>
            <w:vMerge/>
            <w:shd w:val="clear" w:color="auto" w:fill="FFFFFF" w:themeFill="background1"/>
            <w:noWrap/>
            <w:vAlign w:val="center"/>
          </w:tcPr>
          <w:p w:rsidR="00F32772" w:rsidRPr="007C2475" w:rsidRDefault="00F32772" w:rsidP="00F20E43">
            <w:pPr>
              <w:spacing w:after="0" w:line="240" w:lineRule="auto"/>
              <w:ind w:firstLine="175"/>
              <w:rPr>
                <w:rFonts w:ascii="Times New Roman" w:eastAsia="Times New Roman" w:hAnsi="Times New Roman" w:cs="Times New Roman"/>
                <w:bCs/>
                <w:sz w:val="19"/>
                <w:szCs w:val="19"/>
                <w:lang w:eastAsia="ru-RU"/>
              </w:rPr>
            </w:pPr>
          </w:p>
        </w:tc>
      </w:tr>
      <w:tr w:rsidR="007C2475" w:rsidRPr="007C2475" w:rsidTr="004E4C31">
        <w:trPr>
          <w:trHeight w:val="60"/>
        </w:trPr>
        <w:tc>
          <w:tcPr>
            <w:tcW w:w="2978" w:type="dxa"/>
            <w:shd w:val="clear" w:color="auto" w:fill="FFFFFF" w:themeFill="background1"/>
            <w:vAlign w:val="center"/>
            <w:hideMark/>
          </w:tcPr>
          <w:p w:rsidR="00F32772" w:rsidRPr="007C2475" w:rsidRDefault="00F32772" w:rsidP="00645D1C">
            <w:pPr>
              <w:spacing w:after="0" w:line="240" w:lineRule="auto"/>
              <w:ind w:right="-107" w:firstLine="318"/>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lastRenderedPageBreak/>
              <w:t>Распределенные ввозные таможенные пошлины (иные пошлины, налоги и сборы, имеющие эквивалентное действие), уплаченные на территории Российской Федерации</w:t>
            </w:r>
          </w:p>
        </w:tc>
        <w:tc>
          <w:tcPr>
            <w:tcW w:w="12757" w:type="dxa"/>
            <w:shd w:val="clear" w:color="auto" w:fill="FFFFFF" w:themeFill="background1"/>
            <w:noWrap/>
          </w:tcPr>
          <w:p w:rsidR="002A5C76" w:rsidRPr="007C2475" w:rsidRDefault="002A5C76" w:rsidP="004E4C31">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Превышение уточненного прогноза составило 29 926,6 млн. рублей, или 5,5 %</w:t>
            </w:r>
            <w:r w:rsidR="004E4C31">
              <w:rPr>
                <w:rFonts w:ascii="Times New Roman" w:eastAsia="Times New Roman" w:hAnsi="Times New Roman" w:cs="Times New Roman"/>
                <w:bCs/>
                <w:sz w:val="19"/>
                <w:szCs w:val="19"/>
                <w:lang w:eastAsia="ru-RU"/>
              </w:rPr>
              <w:t>.</w:t>
            </w:r>
          </w:p>
          <w:p w:rsidR="00F32772" w:rsidRPr="007C2475" w:rsidRDefault="002A5C76" w:rsidP="004E4C31">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По сравнению с 2017 годом поступления указанных пошлин увеличились на 72 022,6 млн. рублей, или на 14,4 %, что главным образом обусловлено увеличением стоимости налогооблагаемого импорта на 2,6 % и ростом курса д</w:t>
            </w:r>
            <w:r w:rsidR="004E4C31">
              <w:rPr>
                <w:rFonts w:ascii="Times New Roman" w:eastAsia="Times New Roman" w:hAnsi="Times New Roman" w:cs="Times New Roman"/>
                <w:sz w:val="19"/>
                <w:szCs w:val="19"/>
                <w:lang w:eastAsia="ru-RU"/>
              </w:rPr>
              <w:t>оллара США по отношению к рублю</w:t>
            </w:r>
          </w:p>
        </w:tc>
      </w:tr>
      <w:tr w:rsidR="007C2475" w:rsidRPr="007C2475" w:rsidTr="00FF4D50">
        <w:trPr>
          <w:trHeight w:val="855"/>
        </w:trPr>
        <w:tc>
          <w:tcPr>
            <w:tcW w:w="2978" w:type="dxa"/>
            <w:shd w:val="clear" w:color="auto" w:fill="FFFFFF" w:themeFill="background1"/>
            <w:vAlign w:val="center"/>
            <w:hideMark/>
          </w:tcPr>
          <w:p w:rsidR="00F32772" w:rsidRPr="007C2475" w:rsidRDefault="00F32772" w:rsidP="00682EC6">
            <w:pPr>
              <w:spacing w:after="0" w:line="240" w:lineRule="auto"/>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Доходы от использования имущества, находящегося в государственной и муниципальной собственности</w:t>
            </w:r>
          </w:p>
        </w:tc>
        <w:tc>
          <w:tcPr>
            <w:tcW w:w="12757" w:type="dxa"/>
            <w:shd w:val="clear" w:color="auto" w:fill="FFFFFF" w:themeFill="background1"/>
            <w:noWrap/>
            <w:vAlign w:val="center"/>
          </w:tcPr>
          <w:p w:rsidR="00F32772" w:rsidRPr="007C2475" w:rsidRDefault="00F32772" w:rsidP="004961E2">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 xml:space="preserve">Более 85 % всех доходов данной подгруппы составляют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(312 565,8 млн. рублей), доходы по остаткам средств на счетах федерального бюджета и от их размещения, кроме средств </w:t>
            </w:r>
            <w:r w:rsidR="004961E2">
              <w:rPr>
                <w:rFonts w:ascii="Times New Roman" w:eastAsia="Times New Roman" w:hAnsi="Times New Roman" w:cs="Times New Roman"/>
                <w:sz w:val="19"/>
                <w:szCs w:val="19"/>
                <w:lang w:eastAsia="ru-RU"/>
              </w:rPr>
              <w:t>р</w:t>
            </w:r>
            <w:bookmarkStart w:id="0" w:name="_GoBack"/>
            <w:bookmarkEnd w:id="0"/>
            <w:r w:rsidRPr="007C2475">
              <w:rPr>
                <w:rFonts w:ascii="Times New Roman" w:eastAsia="Times New Roman" w:hAnsi="Times New Roman" w:cs="Times New Roman"/>
                <w:sz w:val="19"/>
                <w:szCs w:val="19"/>
                <w:lang w:eastAsia="ru-RU"/>
              </w:rPr>
              <w:t xml:space="preserve">езервного фонда и Фонда национального благосостояния (86 352,0 млн. рублей), доходы от </w:t>
            </w:r>
            <w:proofErr w:type="gramStart"/>
            <w:r w:rsidRPr="007C2475">
              <w:rPr>
                <w:rFonts w:ascii="Times New Roman" w:eastAsia="Times New Roman" w:hAnsi="Times New Roman" w:cs="Times New Roman"/>
                <w:sz w:val="19"/>
                <w:szCs w:val="19"/>
                <w:lang w:eastAsia="ru-RU"/>
              </w:rPr>
              <w:t>управления</w:t>
            </w:r>
            <w:proofErr w:type="gramEnd"/>
            <w:r w:rsidRPr="007C2475">
              <w:rPr>
                <w:rFonts w:ascii="Times New Roman" w:eastAsia="Times New Roman" w:hAnsi="Times New Roman" w:cs="Times New Roman"/>
                <w:sz w:val="19"/>
                <w:szCs w:val="19"/>
                <w:lang w:eastAsia="ru-RU"/>
              </w:rPr>
              <w:t xml:space="preserve"> средствами Фонда национального благос</w:t>
            </w:r>
            <w:r w:rsidR="004E4C31">
              <w:rPr>
                <w:rFonts w:ascii="Times New Roman" w:eastAsia="Times New Roman" w:hAnsi="Times New Roman" w:cs="Times New Roman"/>
                <w:sz w:val="19"/>
                <w:szCs w:val="19"/>
                <w:lang w:eastAsia="ru-RU"/>
              </w:rPr>
              <w:t>остояния (70 522,0 млн. рублей)</w:t>
            </w:r>
          </w:p>
        </w:tc>
      </w:tr>
      <w:tr w:rsidR="007C2475" w:rsidRPr="007C2475" w:rsidTr="00FF4D50">
        <w:trPr>
          <w:trHeight w:val="60"/>
        </w:trPr>
        <w:tc>
          <w:tcPr>
            <w:tcW w:w="2978" w:type="dxa"/>
            <w:shd w:val="clear" w:color="auto" w:fill="FFFFFF" w:themeFill="background1"/>
            <w:vAlign w:val="center"/>
            <w:hideMark/>
          </w:tcPr>
          <w:p w:rsidR="00F32772" w:rsidRPr="007C2475" w:rsidRDefault="00F32772" w:rsidP="004A0DC5">
            <w:pPr>
              <w:spacing w:after="0" w:line="240" w:lineRule="auto"/>
              <w:ind w:firstLineChars="100" w:firstLine="190"/>
              <w:rPr>
                <w:rFonts w:ascii="Times New Roman" w:eastAsia="Times New Roman" w:hAnsi="Times New Roman" w:cs="Times New Roman"/>
                <w:i/>
                <w:iCs/>
                <w:sz w:val="19"/>
                <w:szCs w:val="19"/>
                <w:lang w:eastAsia="ru-RU"/>
              </w:rPr>
            </w:pPr>
            <w:r w:rsidRPr="007C2475">
              <w:rPr>
                <w:rFonts w:ascii="Times New Roman" w:eastAsia="Times New Roman" w:hAnsi="Times New Roman" w:cs="Times New Roman"/>
                <w:i/>
                <w:iCs/>
                <w:sz w:val="19"/>
                <w:szCs w:val="19"/>
                <w:lang w:eastAsia="ru-RU"/>
              </w:rPr>
              <w:t>из них:</w:t>
            </w:r>
          </w:p>
        </w:tc>
        <w:tc>
          <w:tcPr>
            <w:tcW w:w="12757" w:type="dxa"/>
            <w:shd w:val="clear" w:color="auto" w:fill="FFFFFF" w:themeFill="background1"/>
            <w:noWrap/>
            <w:vAlign w:val="center"/>
          </w:tcPr>
          <w:p w:rsidR="00F32772" w:rsidRPr="007C2475" w:rsidRDefault="00F32772" w:rsidP="00F20E43">
            <w:pPr>
              <w:spacing w:after="0" w:line="240" w:lineRule="auto"/>
              <w:ind w:firstLine="175"/>
              <w:rPr>
                <w:rFonts w:ascii="Times New Roman" w:eastAsia="Times New Roman" w:hAnsi="Times New Roman" w:cs="Times New Roman"/>
                <w:sz w:val="19"/>
                <w:szCs w:val="19"/>
                <w:lang w:eastAsia="ru-RU"/>
              </w:rPr>
            </w:pPr>
          </w:p>
        </w:tc>
      </w:tr>
      <w:tr w:rsidR="007C2475" w:rsidRPr="007C2475" w:rsidTr="00FF4D50">
        <w:trPr>
          <w:trHeight w:val="1200"/>
        </w:trPr>
        <w:tc>
          <w:tcPr>
            <w:tcW w:w="2978" w:type="dxa"/>
            <w:shd w:val="clear" w:color="auto" w:fill="FFFFFF" w:themeFill="background1"/>
            <w:vAlign w:val="center"/>
            <w:hideMark/>
          </w:tcPr>
          <w:p w:rsidR="00F32772" w:rsidRPr="007C2475" w:rsidRDefault="00F32772" w:rsidP="00053A24">
            <w:pPr>
              <w:spacing w:after="0" w:line="240" w:lineRule="auto"/>
              <w:ind w:firstLine="318"/>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c>
          <w:tcPr>
            <w:tcW w:w="12757" w:type="dxa"/>
            <w:shd w:val="clear" w:color="auto" w:fill="FFFFFF" w:themeFill="background1"/>
            <w:noWrap/>
            <w:vAlign w:val="center"/>
          </w:tcPr>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proofErr w:type="gramStart"/>
            <w:r w:rsidRPr="007C2475">
              <w:rPr>
                <w:rFonts w:ascii="Times New Roman" w:eastAsia="Times New Roman" w:hAnsi="Times New Roman" w:cs="Times New Roman"/>
                <w:bCs/>
                <w:sz w:val="19"/>
                <w:szCs w:val="19"/>
                <w:lang w:eastAsia="ru-RU"/>
              </w:rPr>
              <w:t>Перевыполнение прогнозных показателей поступления дивидендов в 2018 году</w:t>
            </w:r>
            <w:r w:rsidR="002A5C76" w:rsidRPr="007C2475">
              <w:rPr>
                <w:rFonts w:ascii="Times New Roman" w:eastAsia="Times New Roman" w:hAnsi="Times New Roman" w:cs="Times New Roman"/>
                <w:bCs/>
                <w:sz w:val="19"/>
                <w:szCs w:val="19"/>
                <w:lang w:eastAsia="ru-RU"/>
              </w:rPr>
              <w:t xml:space="preserve"> составило 28 017,2 млн. рублей, или 9,8 %, что </w:t>
            </w:r>
            <w:r w:rsidRPr="007C2475">
              <w:rPr>
                <w:rFonts w:ascii="Times New Roman" w:eastAsia="Times New Roman" w:hAnsi="Times New Roman" w:cs="Times New Roman"/>
                <w:bCs/>
                <w:sz w:val="19"/>
                <w:szCs w:val="19"/>
                <w:lang w:eastAsia="ru-RU"/>
              </w:rPr>
              <w:t xml:space="preserve">связано с принятием Правительством Российской Федерации решений о выплате отдельными обществами промежуточных дивидендов по итогам </w:t>
            </w:r>
            <w:r w:rsidR="007A1431">
              <w:rPr>
                <w:rFonts w:ascii="Times New Roman" w:eastAsia="Times New Roman" w:hAnsi="Times New Roman" w:cs="Times New Roman"/>
                <w:bCs/>
                <w:sz w:val="19"/>
                <w:szCs w:val="19"/>
                <w:lang w:val="en-US" w:eastAsia="ru-RU"/>
              </w:rPr>
              <w:t>I</w:t>
            </w:r>
            <w:r w:rsidR="007A1431">
              <w:rPr>
                <w:rFonts w:ascii="Times New Roman" w:eastAsia="Times New Roman" w:hAnsi="Times New Roman" w:cs="Times New Roman"/>
                <w:bCs/>
                <w:sz w:val="19"/>
                <w:szCs w:val="19"/>
                <w:lang w:eastAsia="ru-RU"/>
              </w:rPr>
              <w:t xml:space="preserve"> квартала, полугодия и </w:t>
            </w:r>
            <w:r w:rsidR="007A1431" w:rsidRPr="007A1431">
              <w:rPr>
                <w:rFonts w:ascii="Times New Roman" w:eastAsia="Times New Roman" w:hAnsi="Times New Roman" w:cs="Times New Roman"/>
                <w:bCs/>
                <w:sz w:val="19"/>
                <w:szCs w:val="19"/>
                <w:lang w:eastAsia="ru-RU"/>
              </w:rPr>
              <w:t>9</w:t>
            </w:r>
            <w:r w:rsidR="007A1431">
              <w:rPr>
                <w:rFonts w:ascii="Times New Roman" w:eastAsia="Times New Roman" w:hAnsi="Times New Roman" w:cs="Times New Roman"/>
                <w:bCs/>
                <w:sz w:val="19"/>
                <w:szCs w:val="19"/>
                <w:lang w:val="en-US" w:eastAsia="ru-RU"/>
              </w:rPr>
              <w:t> </w:t>
            </w:r>
            <w:r w:rsidRPr="007C2475">
              <w:rPr>
                <w:rFonts w:ascii="Times New Roman" w:eastAsia="Times New Roman" w:hAnsi="Times New Roman" w:cs="Times New Roman"/>
                <w:bCs/>
                <w:sz w:val="19"/>
                <w:szCs w:val="19"/>
                <w:lang w:eastAsia="ru-RU"/>
              </w:rPr>
              <w:t xml:space="preserve"> месяцев 2018 года на общую сумму 74 041,7 млн. рублей, что привело к снижению доходной базы для определения обществами дивидендных выплат в 2019 году</w:t>
            </w:r>
            <w:proofErr w:type="gramEnd"/>
            <w:r w:rsidRPr="007C2475">
              <w:rPr>
                <w:rFonts w:ascii="Times New Roman" w:eastAsia="Times New Roman" w:hAnsi="Times New Roman" w:cs="Times New Roman"/>
                <w:bCs/>
                <w:sz w:val="19"/>
                <w:szCs w:val="19"/>
                <w:lang w:eastAsia="ru-RU"/>
              </w:rPr>
              <w:t xml:space="preserve"> </w:t>
            </w:r>
            <w:proofErr w:type="gramStart"/>
            <w:r w:rsidRPr="007C2475">
              <w:rPr>
                <w:rFonts w:ascii="Times New Roman" w:eastAsia="Times New Roman" w:hAnsi="Times New Roman" w:cs="Times New Roman"/>
                <w:bCs/>
                <w:sz w:val="19"/>
                <w:szCs w:val="19"/>
                <w:lang w:eastAsia="ru-RU"/>
              </w:rPr>
              <w:t>по</w:t>
            </w:r>
            <w:proofErr w:type="gramEnd"/>
            <w:r w:rsidRPr="007C2475">
              <w:rPr>
                <w:rFonts w:ascii="Times New Roman" w:eastAsia="Times New Roman" w:hAnsi="Times New Roman" w:cs="Times New Roman"/>
                <w:bCs/>
                <w:sz w:val="19"/>
                <w:szCs w:val="19"/>
                <w:lang w:eastAsia="ru-RU"/>
              </w:rPr>
              <w:t xml:space="preserve"> итогам деятельности за 2018 год.</w:t>
            </w:r>
          </w:p>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proofErr w:type="gramStart"/>
            <w:r w:rsidRPr="007C2475">
              <w:rPr>
                <w:rFonts w:ascii="Times New Roman" w:eastAsia="Times New Roman" w:hAnsi="Times New Roman" w:cs="Times New Roman"/>
                <w:bCs/>
                <w:sz w:val="19"/>
                <w:szCs w:val="19"/>
                <w:lang w:eastAsia="ru-RU"/>
              </w:rPr>
              <w:t>Счетной палатой отмечается, что в 2018 году кампания проведения годовых общих собраний акционеров в акционерных обществах с государственным участием по итогам 2017 года проводилась в отсутствии поручения Правительства Российской Федерации, устанавливающего распространение единых принципов дивидендной политики по определению минимального норматива диви</w:t>
            </w:r>
            <w:r w:rsidR="004E4C31">
              <w:rPr>
                <w:rFonts w:ascii="Times New Roman" w:eastAsia="Times New Roman" w:hAnsi="Times New Roman" w:cs="Times New Roman"/>
                <w:bCs/>
                <w:sz w:val="19"/>
                <w:szCs w:val="19"/>
                <w:lang w:eastAsia="ru-RU"/>
              </w:rPr>
              <w:t xml:space="preserve">дендных выплат в размере 50 % </w:t>
            </w:r>
            <w:r w:rsidRPr="007C2475">
              <w:rPr>
                <w:rFonts w:ascii="Times New Roman" w:eastAsia="Times New Roman" w:hAnsi="Times New Roman" w:cs="Times New Roman"/>
                <w:bCs/>
                <w:sz w:val="19"/>
                <w:szCs w:val="19"/>
                <w:lang w:eastAsia="ru-RU"/>
              </w:rPr>
              <w:t>чистой прибыли по МСФО на все общества.</w:t>
            </w:r>
            <w:proofErr w:type="gramEnd"/>
          </w:p>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 xml:space="preserve">     При этом следует отметить, что Правительством Российской Федерации до настоящего времени не урегулирован вопрос установления правовым актом норматива перечисления дивидендов в размере не менее 50 % чистой прибыли общества, определенной по международным стандартам финансовой отчетности.</w:t>
            </w:r>
          </w:p>
          <w:p w:rsidR="002A5C76" w:rsidRPr="007C2475" w:rsidRDefault="002A5C76"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По сравнению с 2017 годом объем поступлений увеличился на 61 2</w:t>
            </w:r>
            <w:r w:rsidR="004E4C31">
              <w:rPr>
                <w:rFonts w:ascii="Times New Roman" w:eastAsia="Times New Roman" w:hAnsi="Times New Roman" w:cs="Times New Roman"/>
                <w:bCs/>
                <w:sz w:val="19"/>
                <w:szCs w:val="19"/>
                <w:lang w:eastAsia="ru-RU"/>
              </w:rPr>
              <w:t>38,7 млн. рублей, или на 24,4 %</w:t>
            </w:r>
          </w:p>
        </w:tc>
      </w:tr>
      <w:tr w:rsidR="007C2475" w:rsidRPr="007C2475" w:rsidTr="00FF4D50">
        <w:trPr>
          <w:trHeight w:val="900"/>
        </w:trPr>
        <w:tc>
          <w:tcPr>
            <w:tcW w:w="2978" w:type="dxa"/>
            <w:shd w:val="clear" w:color="auto" w:fill="FFFFFF" w:themeFill="background1"/>
            <w:vAlign w:val="center"/>
            <w:hideMark/>
          </w:tcPr>
          <w:p w:rsidR="00F32772" w:rsidRPr="007C2475" w:rsidRDefault="00F32772" w:rsidP="007A1431">
            <w:pPr>
              <w:spacing w:after="0" w:line="240" w:lineRule="auto"/>
              <w:ind w:firstLine="318"/>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 xml:space="preserve">Доходы по остаткам средств на счетах федерального бюджета и от их размещения, кроме средств </w:t>
            </w:r>
            <w:r w:rsidR="007A1431">
              <w:rPr>
                <w:rFonts w:ascii="Times New Roman" w:eastAsia="Times New Roman" w:hAnsi="Times New Roman" w:cs="Times New Roman"/>
                <w:sz w:val="19"/>
                <w:szCs w:val="19"/>
                <w:lang w:eastAsia="ru-RU"/>
              </w:rPr>
              <w:t>р</w:t>
            </w:r>
            <w:r w:rsidRPr="007C2475">
              <w:rPr>
                <w:rFonts w:ascii="Times New Roman" w:eastAsia="Times New Roman" w:hAnsi="Times New Roman" w:cs="Times New Roman"/>
                <w:sz w:val="19"/>
                <w:szCs w:val="19"/>
                <w:lang w:eastAsia="ru-RU"/>
              </w:rPr>
              <w:t>езервного фонда и Фонда национального благосостояния</w:t>
            </w:r>
          </w:p>
        </w:tc>
        <w:tc>
          <w:tcPr>
            <w:tcW w:w="12757" w:type="dxa"/>
            <w:shd w:val="clear" w:color="auto" w:fill="FFFFFF" w:themeFill="background1"/>
            <w:noWrap/>
            <w:vAlign w:val="center"/>
          </w:tcPr>
          <w:p w:rsidR="002A5C76" w:rsidRPr="007C2475" w:rsidRDefault="002A5C76"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Превышение уточненного прогноза составило 5 899,7 млн. рублей, или 7,3 %.</w:t>
            </w:r>
          </w:p>
          <w:p w:rsidR="00F32772" w:rsidRPr="007C2475" w:rsidRDefault="002A5C76" w:rsidP="00F20E43">
            <w:pPr>
              <w:spacing w:after="0" w:line="240" w:lineRule="auto"/>
              <w:ind w:firstLine="175"/>
              <w:jc w:val="both"/>
              <w:rPr>
                <w:rFonts w:ascii="Times New Roman" w:eastAsia="Times New Roman" w:hAnsi="Times New Roman" w:cs="Times New Roman"/>
                <w:sz w:val="19"/>
                <w:szCs w:val="19"/>
                <w:lang w:eastAsia="ru-RU"/>
              </w:rPr>
            </w:pPr>
            <w:proofErr w:type="gramStart"/>
            <w:r w:rsidRPr="007C2475">
              <w:rPr>
                <w:rFonts w:ascii="Times New Roman" w:eastAsia="Times New Roman" w:hAnsi="Times New Roman" w:cs="Times New Roman"/>
                <w:sz w:val="19"/>
                <w:szCs w:val="19"/>
                <w:lang w:eastAsia="ru-RU"/>
              </w:rPr>
              <w:t>По сравнению с 2017 годом поступление указанных доходов увеличилось на 12 476,0 млн. рублей, или на 16,9 %</w:t>
            </w:r>
            <w:r w:rsidR="004E4C31">
              <w:rPr>
                <w:rFonts w:ascii="Times New Roman" w:eastAsia="Times New Roman" w:hAnsi="Times New Roman" w:cs="Times New Roman"/>
                <w:sz w:val="19"/>
                <w:szCs w:val="19"/>
                <w:lang w:eastAsia="ru-RU"/>
              </w:rPr>
              <w:t>,</w:t>
            </w:r>
            <w:r w:rsidRPr="007C2475">
              <w:rPr>
                <w:rFonts w:ascii="Times New Roman" w:eastAsia="Times New Roman" w:hAnsi="Times New Roman" w:cs="Times New Roman"/>
                <w:sz w:val="19"/>
                <w:szCs w:val="19"/>
                <w:lang w:eastAsia="ru-RU"/>
              </w:rPr>
              <w:t xml:space="preserve"> в связи с увеличением объемов размещаемых средств и более длительным сроком их размещения, связанными с ростом спроса со стороны кредитных организаций на средства федерального бюджета, а также</w:t>
            </w:r>
            <w:r w:rsidR="009E7C8A">
              <w:rPr>
                <w:rFonts w:ascii="Times New Roman" w:eastAsia="Times New Roman" w:hAnsi="Times New Roman" w:cs="Times New Roman"/>
                <w:sz w:val="19"/>
                <w:szCs w:val="19"/>
                <w:lang w:eastAsia="ru-RU"/>
              </w:rPr>
              <w:t xml:space="preserve"> с</w:t>
            </w:r>
            <w:r w:rsidRPr="007C2475">
              <w:rPr>
                <w:rFonts w:ascii="Times New Roman" w:eastAsia="Times New Roman" w:hAnsi="Times New Roman" w:cs="Times New Roman"/>
                <w:sz w:val="19"/>
                <w:szCs w:val="19"/>
                <w:lang w:eastAsia="ru-RU"/>
              </w:rPr>
              <w:t xml:space="preserve"> поступлением доходов по деп</w:t>
            </w:r>
            <w:r w:rsidR="004E4C31">
              <w:rPr>
                <w:rFonts w:ascii="Times New Roman" w:eastAsia="Times New Roman" w:hAnsi="Times New Roman" w:cs="Times New Roman"/>
                <w:sz w:val="19"/>
                <w:szCs w:val="19"/>
                <w:lang w:eastAsia="ru-RU"/>
              </w:rPr>
              <w:t>озитам, размещенным в 2017 году</w:t>
            </w:r>
            <w:proofErr w:type="gramEnd"/>
          </w:p>
        </w:tc>
      </w:tr>
      <w:tr w:rsidR="007C2475" w:rsidRPr="007C2475" w:rsidTr="00FF4D50">
        <w:trPr>
          <w:trHeight w:val="600"/>
        </w:trPr>
        <w:tc>
          <w:tcPr>
            <w:tcW w:w="2978" w:type="dxa"/>
            <w:shd w:val="clear" w:color="auto" w:fill="FFFFFF" w:themeFill="background1"/>
            <w:vAlign w:val="center"/>
            <w:hideMark/>
          </w:tcPr>
          <w:p w:rsidR="00F32772" w:rsidRPr="007C2475" w:rsidRDefault="00F32772" w:rsidP="00645D1C">
            <w:pPr>
              <w:spacing w:after="0" w:line="240" w:lineRule="auto"/>
              <w:ind w:firstLine="318"/>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Доходы от управления средствами Фонда  национального благосостояния</w:t>
            </w:r>
          </w:p>
        </w:tc>
        <w:tc>
          <w:tcPr>
            <w:tcW w:w="12757" w:type="dxa"/>
            <w:shd w:val="clear" w:color="auto" w:fill="FFFFFF" w:themeFill="background1"/>
            <w:noWrap/>
            <w:vAlign w:val="center"/>
          </w:tcPr>
          <w:p w:rsidR="00F32772" w:rsidRPr="007C2475" w:rsidRDefault="00F32772"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 xml:space="preserve">     Перевыполнение прогнозных показателей</w:t>
            </w:r>
            <w:r w:rsidR="002A5C76" w:rsidRPr="007C2475">
              <w:rPr>
                <w:rFonts w:ascii="Times New Roman" w:eastAsia="Times New Roman" w:hAnsi="Times New Roman" w:cs="Times New Roman"/>
                <w:sz w:val="19"/>
                <w:szCs w:val="19"/>
                <w:lang w:eastAsia="ru-RU"/>
              </w:rPr>
              <w:t xml:space="preserve"> на 5 938,8 млн. рублей, или на 9,2 %</w:t>
            </w:r>
            <w:r w:rsidR="009E7C8A">
              <w:rPr>
                <w:rFonts w:ascii="Times New Roman" w:eastAsia="Times New Roman" w:hAnsi="Times New Roman" w:cs="Times New Roman"/>
                <w:sz w:val="19"/>
                <w:szCs w:val="19"/>
                <w:lang w:eastAsia="ru-RU"/>
              </w:rPr>
              <w:t>,</w:t>
            </w:r>
            <w:r w:rsidRPr="007C2475">
              <w:rPr>
                <w:rFonts w:ascii="Times New Roman" w:eastAsia="Times New Roman" w:hAnsi="Times New Roman" w:cs="Times New Roman"/>
                <w:sz w:val="19"/>
                <w:szCs w:val="19"/>
                <w:lang w:eastAsia="ru-RU"/>
              </w:rPr>
              <w:t xml:space="preserve"> связано с увеличением объема поступивших доходов от размещения средств ФНБ на счетах в иностранной валюте в Банке России.</w:t>
            </w:r>
          </w:p>
          <w:p w:rsidR="00F32772" w:rsidRPr="007C2475" w:rsidRDefault="00F32772" w:rsidP="00F20E43">
            <w:pPr>
              <w:spacing w:after="0" w:line="240" w:lineRule="auto"/>
              <w:ind w:firstLine="175"/>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 xml:space="preserve">     </w:t>
            </w:r>
            <w:r w:rsidR="002A5C76" w:rsidRPr="007C2475">
              <w:rPr>
                <w:rFonts w:ascii="Times New Roman" w:eastAsia="Times New Roman" w:hAnsi="Times New Roman" w:cs="Times New Roman"/>
                <w:bCs/>
                <w:sz w:val="19"/>
                <w:szCs w:val="19"/>
                <w:lang w:eastAsia="ru-RU"/>
              </w:rPr>
              <w:t>По сравнению с 2017 годом объем поступлений увеличился на 19 683,0 млн. рублей, или на 38,7 %</w:t>
            </w:r>
            <w:r w:rsidR="004E4C31">
              <w:rPr>
                <w:rFonts w:ascii="Times New Roman" w:eastAsia="Times New Roman" w:hAnsi="Times New Roman" w:cs="Times New Roman"/>
                <w:bCs/>
                <w:sz w:val="19"/>
                <w:szCs w:val="19"/>
                <w:lang w:eastAsia="ru-RU"/>
              </w:rPr>
              <w:t>,</w:t>
            </w:r>
            <w:r w:rsidR="002A5C76" w:rsidRPr="007C2475">
              <w:rPr>
                <w:rFonts w:ascii="Times New Roman" w:eastAsia="Times New Roman" w:hAnsi="Times New Roman" w:cs="Times New Roman"/>
                <w:bCs/>
                <w:sz w:val="19"/>
                <w:szCs w:val="19"/>
                <w:lang w:eastAsia="ru-RU"/>
              </w:rPr>
              <w:t xml:space="preserve"> в связи с выплатой Внешэкономбанком процентов по депозитам, обусловленн</w:t>
            </w:r>
            <w:r w:rsidR="003644AF">
              <w:rPr>
                <w:rFonts w:ascii="Times New Roman" w:eastAsia="Times New Roman" w:hAnsi="Times New Roman" w:cs="Times New Roman"/>
                <w:bCs/>
                <w:sz w:val="19"/>
                <w:szCs w:val="19"/>
                <w:lang w:eastAsia="ru-RU"/>
              </w:rPr>
              <w:t>ой окончанием льготного периода</w:t>
            </w:r>
          </w:p>
        </w:tc>
      </w:tr>
      <w:tr w:rsidR="007C2475" w:rsidRPr="007C2475" w:rsidTr="003644AF">
        <w:trPr>
          <w:trHeight w:val="900"/>
        </w:trPr>
        <w:tc>
          <w:tcPr>
            <w:tcW w:w="2978" w:type="dxa"/>
            <w:shd w:val="clear" w:color="auto" w:fill="FFFFFF" w:themeFill="background1"/>
            <w:vAlign w:val="center"/>
            <w:hideMark/>
          </w:tcPr>
          <w:p w:rsidR="00F32772" w:rsidRPr="007C2475" w:rsidRDefault="00F32772" w:rsidP="00645D1C">
            <w:pPr>
              <w:spacing w:after="0" w:line="240" w:lineRule="auto"/>
              <w:ind w:firstLine="318"/>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lastRenderedPageBreak/>
              <w:t>Проценты по государственным кредитам, предоставленным Российской Федерацией правительствам иностранных государств, их юридическим лицам</w:t>
            </w:r>
          </w:p>
        </w:tc>
        <w:tc>
          <w:tcPr>
            <w:tcW w:w="12757" w:type="dxa"/>
            <w:shd w:val="clear" w:color="auto" w:fill="FFFFFF" w:themeFill="background1"/>
            <w:noWrap/>
          </w:tcPr>
          <w:p w:rsidR="0078278A" w:rsidRPr="007C2475" w:rsidRDefault="0078278A" w:rsidP="003644AF">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Превышение уточненного прогноза составило 4 845,5 млн. рублей, или 9,6 %, что связанно с ростом курса иностранных валют по отношению к рублю.</w:t>
            </w:r>
          </w:p>
          <w:p w:rsidR="00F32772" w:rsidRPr="007C2475" w:rsidRDefault="0078278A" w:rsidP="003644AF">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По сравнению с 2017 годом указанные доходы увеличились на 16 061,2 млн. рублей, или на 41,2 %, в связи с увеличением задолженности иностранных заемщиков и соответству</w:t>
            </w:r>
            <w:r w:rsidR="003644AF">
              <w:rPr>
                <w:rFonts w:ascii="Times New Roman" w:eastAsia="Times New Roman" w:hAnsi="Times New Roman" w:cs="Times New Roman"/>
                <w:sz w:val="19"/>
                <w:szCs w:val="19"/>
                <w:lang w:eastAsia="ru-RU"/>
              </w:rPr>
              <w:t>ющим ростом процентных платежей</w:t>
            </w:r>
          </w:p>
        </w:tc>
      </w:tr>
      <w:tr w:rsidR="007C2475" w:rsidRPr="007C2475" w:rsidTr="00FF4D50">
        <w:trPr>
          <w:trHeight w:val="177"/>
        </w:trPr>
        <w:tc>
          <w:tcPr>
            <w:tcW w:w="2978" w:type="dxa"/>
            <w:shd w:val="clear" w:color="auto" w:fill="FFFFFF" w:themeFill="background1"/>
            <w:vAlign w:val="center"/>
            <w:hideMark/>
          </w:tcPr>
          <w:p w:rsidR="00F32772" w:rsidRPr="007C2475" w:rsidRDefault="00F32772" w:rsidP="00053A24">
            <w:pPr>
              <w:spacing w:after="0" w:line="240" w:lineRule="auto"/>
              <w:jc w:val="both"/>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Платежи при пользовании природными ресурсами</w:t>
            </w:r>
          </w:p>
        </w:tc>
        <w:tc>
          <w:tcPr>
            <w:tcW w:w="12757" w:type="dxa"/>
            <w:shd w:val="clear" w:color="auto" w:fill="FFFFFF" w:themeFill="background1"/>
            <w:noWrap/>
            <w:vAlign w:val="center"/>
          </w:tcPr>
          <w:p w:rsidR="00F32772" w:rsidRPr="007C2475" w:rsidRDefault="00F32772"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 xml:space="preserve">В общем объеме платежей при пользовании природными ресурсами 290 525,0 млн. рублей, или более 84 %, приходится на утилизационный сбор и </w:t>
            </w:r>
            <w:r w:rsidR="003644AF">
              <w:rPr>
                <w:rFonts w:ascii="Times New Roman" w:eastAsia="Times New Roman" w:hAnsi="Times New Roman" w:cs="Times New Roman"/>
                <w:sz w:val="19"/>
                <w:szCs w:val="19"/>
                <w:lang w:eastAsia="ru-RU"/>
              </w:rPr>
              <w:t>платежи при пользовании недрами</w:t>
            </w:r>
          </w:p>
        </w:tc>
      </w:tr>
      <w:tr w:rsidR="007C2475" w:rsidRPr="007C2475" w:rsidTr="00FF4D50">
        <w:trPr>
          <w:trHeight w:val="60"/>
        </w:trPr>
        <w:tc>
          <w:tcPr>
            <w:tcW w:w="2978" w:type="dxa"/>
            <w:shd w:val="clear" w:color="auto" w:fill="FFFFFF" w:themeFill="background1"/>
            <w:vAlign w:val="center"/>
            <w:hideMark/>
          </w:tcPr>
          <w:p w:rsidR="00F32772" w:rsidRPr="007C2475" w:rsidRDefault="00F32772" w:rsidP="004A0DC5">
            <w:pPr>
              <w:spacing w:after="0" w:line="240" w:lineRule="auto"/>
              <w:ind w:firstLineChars="100" w:firstLine="190"/>
              <w:rPr>
                <w:rFonts w:ascii="Times New Roman" w:eastAsia="Times New Roman" w:hAnsi="Times New Roman" w:cs="Times New Roman"/>
                <w:i/>
                <w:iCs/>
                <w:sz w:val="19"/>
                <w:szCs w:val="19"/>
                <w:lang w:eastAsia="ru-RU"/>
              </w:rPr>
            </w:pPr>
            <w:r w:rsidRPr="007C2475">
              <w:rPr>
                <w:rFonts w:ascii="Times New Roman" w:eastAsia="Times New Roman" w:hAnsi="Times New Roman" w:cs="Times New Roman"/>
                <w:i/>
                <w:iCs/>
                <w:sz w:val="19"/>
                <w:szCs w:val="19"/>
                <w:lang w:eastAsia="ru-RU"/>
              </w:rPr>
              <w:t>из них:</w:t>
            </w:r>
          </w:p>
        </w:tc>
        <w:tc>
          <w:tcPr>
            <w:tcW w:w="12757" w:type="dxa"/>
            <w:shd w:val="clear" w:color="auto" w:fill="FFFFFF" w:themeFill="background1"/>
            <w:noWrap/>
            <w:vAlign w:val="center"/>
          </w:tcPr>
          <w:p w:rsidR="00F32772" w:rsidRPr="007C2475" w:rsidRDefault="00F32772" w:rsidP="00F20E43">
            <w:pPr>
              <w:spacing w:after="0" w:line="240" w:lineRule="auto"/>
              <w:ind w:firstLine="175"/>
              <w:rPr>
                <w:rFonts w:ascii="Times New Roman" w:eastAsia="Times New Roman" w:hAnsi="Times New Roman" w:cs="Times New Roman"/>
                <w:sz w:val="19"/>
                <w:szCs w:val="19"/>
                <w:lang w:eastAsia="ru-RU"/>
              </w:rPr>
            </w:pPr>
          </w:p>
        </w:tc>
      </w:tr>
      <w:tr w:rsidR="007C2475" w:rsidRPr="007C2475" w:rsidTr="00FF4D50">
        <w:trPr>
          <w:trHeight w:val="300"/>
        </w:trPr>
        <w:tc>
          <w:tcPr>
            <w:tcW w:w="2978" w:type="dxa"/>
            <w:shd w:val="clear" w:color="auto" w:fill="FFFFFF" w:themeFill="background1"/>
            <w:vAlign w:val="center"/>
            <w:hideMark/>
          </w:tcPr>
          <w:p w:rsidR="00F32772" w:rsidRPr="007C2475" w:rsidRDefault="00F32772" w:rsidP="00645D1C">
            <w:pPr>
              <w:spacing w:after="0" w:line="240" w:lineRule="auto"/>
              <w:ind w:firstLine="318"/>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w:t>
            </w:r>
          </w:p>
        </w:tc>
        <w:tc>
          <w:tcPr>
            <w:tcW w:w="12757" w:type="dxa"/>
            <w:shd w:val="clear" w:color="auto" w:fill="FFFFFF" w:themeFill="background1"/>
            <w:noWrap/>
            <w:vAlign w:val="center"/>
          </w:tcPr>
          <w:p w:rsidR="00342996" w:rsidRDefault="00226FF6" w:rsidP="00F20E43">
            <w:pPr>
              <w:overflowPunct w:val="0"/>
              <w:autoSpaceDE w:val="0"/>
              <w:autoSpaceDN w:val="0"/>
              <w:adjustRightInd w:val="0"/>
              <w:spacing w:after="0" w:line="240" w:lineRule="auto"/>
              <w:ind w:firstLine="175"/>
              <w:jc w:val="both"/>
              <w:textAlignment w:val="baseline"/>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Недовыполнение</w:t>
            </w:r>
            <w:r w:rsidR="00342996" w:rsidRPr="00342996">
              <w:rPr>
                <w:rFonts w:ascii="Times New Roman" w:eastAsia="Times New Roman" w:hAnsi="Times New Roman" w:cs="Times New Roman"/>
                <w:sz w:val="19"/>
                <w:szCs w:val="19"/>
                <w:lang w:eastAsia="ru-RU"/>
              </w:rPr>
              <w:t xml:space="preserve"> уточненного прогноза составило </w:t>
            </w:r>
            <w:r>
              <w:rPr>
                <w:rFonts w:ascii="Times New Roman" w:eastAsia="Times New Roman" w:hAnsi="Times New Roman" w:cs="Times New Roman"/>
                <w:sz w:val="19"/>
                <w:szCs w:val="19"/>
                <w:lang w:eastAsia="ru-RU"/>
              </w:rPr>
              <w:t>3 330,5</w:t>
            </w:r>
            <w:r w:rsidR="00342996" w:rsidRPr="00342996">
              <w:rPr>
                <w:rFonts w:ascii="Times New Roman" w:eastAsia="Times New Roman" w:hAnsi="Times New Roman" w:cs="Times New Roman"/>
                <w:sz w:val="19"/>
                <w:szCs w:val="19"/>
                <w:lang w:eastAsia="ru-RU"/>
              </w:rPr>
              <w:t xml:space="preserve"> млн. рублей, или </w:t>
            </w:r>
            <w:r>
              <w:rPr>
                <w:rFonts w:ascii="Times New Roman" w:eastAsia="Times New Roman" w:hAnsi="Times New Roman" w:cs="Times New Roman"/>
                <w:sz w:val="19"/>
                <w:szCs w:val="19"/>
                <w:lang w:eastAsia="ru-RU"/>
              </w:rPr>
              <w:t>11,</w:t>
            </w:r>
            <w:r w:rsidR="00342996" w:rsidRPr="00342996">
              <w:rPr>
                <w:rFonts w:ascii="Times New Roman" w:eastAsia="Times New Roman" w:hAnsi="Times New Roman" w:cs="Times New Roman"/>
                <w:sz w:val="19"/>
                <w:szCs w:val="19"/>
                <w:lang w:eastAsia="ru-RU"/>
              </w:rPr>
              <w:t>9 %</w:t>
            </w:r>
            <w:r w:rsidR="003644AF">
              <w:rPr>
                <w:rFonts w:ascii="Times New Roman" w:eastAsia="Times New Roman" w:hAnsi="Times New Roman" w:cs="Times New Roman"/>
                <w:sz w:val="19"/>
                <w:szCs w:val="19"/>
                <w:lang w:eastAsia="ru-RU"/>
              </w:rPr>
              <w:t>.</w:t>
            </w:r>
          </w:p>
          <w:p w:rsidR="00342996" w:rsidRPr="00342996" w:rsidRDefault="00342996" w:rsidP="00F20E43">
            <w:pPr>
              <w:overflowPunct w:val="0"/>
              <w:autoSpaceDE w:val="0"/>
              <w:autoSpaceDN w:val="0"/>
              <w:adjustRightInd w:val="0"/>
              <w:spacing w:after="0" w:line="240" w:lineRule="auto"/>
              <w:ind w:firstLine="175"/>
              <w:jc w:val="both"/>
              <w:textAlignment w:val="baseline"/>
              <w:rPr>
                <w:rFonts w:ascii="Times New Roman" w:eastAsia="Times New Roman" w:hAnsi="Times New Roman" w:cs="Times New Roman"/>
                <w:sz w:val="19"/>
                <w:szCs w:val="19"/>
                <w:lang w:eastAsia="ru-RU"/>
              </w:rPr>
            </w:pPr>
            <w:r w:rsidRPr="00342996">
              <w:rPr>
                <w:rFonts w:ascii="Times New Roman" w:eastAsia="Times New Roman" w:hAnsi="Times New Roman" w:cs="Times New Roman"/>
                <w:sz w:val="19"/>
                <w:szCs w:val="19"/>
                <w:lang w:eastAsia="ru-RU"/>
              </w:rPr>
              <w:t>По сравнению с 2017 годом поступления разовых платежей уменьшилось на 41 671,4 млн. рублей, или в 2,7 раза.</w:t>
            </w:r>
          </w:p>
          <w:p w:rsidR="00F32772" w:rsidRPr="007C2475" w:rsidRDefault="00F32772"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 xml:space="preserve">Около 94 % всех поступлений разовых платежей за пользование недрами приходится на поступления </w:t>
            </w:r>
            <w:proofErr w:type="spellStart"/>
            <w:r w:rsidRPr="007C2475">
              <w:rPr>
                <w:rFonts w:ascii="Times New Roman" w:eastAsia="Times New Roman" w:hAnsi="Times New Roman" w:cs="Times New Roman"/>
                <w:sz w:val="19"/>
                <w:szCs w:val="19"/>
                <w:lang w:eastAsia="ru-RU"/>
              </w:rPr>
              <w:t>Роснедр</w:t>
            </w:r>
            <w:proofErr w:type="spellEnd"/>
            <w:r w:rsidRPr="007C2475">
              <w:rPr>
                <w:rFonts w:ascii="Times New Roman" w:eastAsia="Times New Roman" w:hAnsi="Times New Roman" w:cs="Times New Roman"/>
                <w:sz w:val="19"/>
                <w:szCs w:val="19"/>
                <w:lang w:eastAsia="ru-RU"/>
              </w:rPr>
              <w:t>.</w:t>
            </w:r>
          </w:p>
          <w:p w:rsidR="00F32772" w:rsidRPr="007C2475" w:rsidRDefault="00F32772" w:rsidP="00F20E43">
            <w:pPr>
              <w:spacing w:after="0" w:line="240" w:lineRule="auto"/>
              <w:ind w:firstLine="175"/>
              <w:jc w:val="both"/>
              <w:rPr>
                <w:rFonts w:ascii="Times New Roman" w:eastAsia="Times New Roman" w:hAnsi="Times New Roman" w:cs="Times New Roman"/>
                <w:sz w:val="19"/>
                <w:szCs w:val="19"/>
                <w:lang w:eastAsia="ru-RU"/>
              </w:rPr>
            </w:pPr>
            <w:proofErr w:type="gramStart"/>
            <w:r w:rsidRPr="007C2475">
              <w:rPr>
                <w:rFonts w:ascii="Times New Roman" w:eastAsia="Times New Roman" w:hAnsi="Times New Roman" w:cs="Times New Roman"/>
                <w:sz w:val="19"/>
                <w:szCs w:val="19"/>
                <w:lang w:eastAsia="ru-RU"/>
              </w:rPr>
              <w:t xml:space="preserve">По данным </w:t>
            </w:r>
            <w:proofErr w:type="spellStart"/>
            <w:r w:rsidRPr="007C2475">
              <w:rPr>
                <w:rFonts w:ascii="Times New Roman" w:eastAsia="Times New Roman" w:hAnsi="Times New Roman" w:cs="Times New Roman"/>
                <w:sz w:val="19"/>
                <w:szCs w:val="19"/>
                <w:lang w:eastAsia="ru-RU"/>
              </w:rPr>
              <w:t>Роснедр</w:t>
            </w:r>
            <w:proofErr w:type="spellEnd"/>
            <w:r w:rsidRPr="007C2475">
              <w:rPr>
                <w:rFonts w:ascii="Times New Roman" w:eastAsia="Times New Roman" w:hAnsi="Times New Roman" w:cs="Times New Roman"/>
                <w:sz w:val="19"/>
                <w:szCs w:val="19"/>
                <w:lang w:eastAsia="ru-RU"/>
              </w:rPr>
              <w:t>, из запланированных на 2018 год 468 аукционов (конкурсов) на право пользования участками недр состоялись 308, или 65,6 %, отменено – 7, или 1,5 %. Общая сумма разовых платежей за пользование недрами по результатам состоявшихся аукционов составила 39 413,7 млн. рублей с учетом значительного превышения разового платежа по итогам аукциона по сравнению с его стартовым размером по участкам недр углеводородного сырья</w:t>
            </w:r>
            <w:proofErr w:type="gramEnd"/>
            <w:r w:rsidRPr="007C2475">
              <w:rPr>
                <w:rFonts w:ascii="Times New Roman" w:eastAsia="Times New Roman" w:hAnsi="Times New Roman" w:cs="Times New Roman"/>
                <w:sz w:val="19"/>
                <w:szCs w:val="19"/>
                <w:lang w:eastAsia="ru-RU"/>
              </w:rPr>
              <w:t xml:space="preserve"> </w:t>
            </w:r>
            <w:proofErr w:type="gramStart"/>
            <w:r w:rsidRPr="007C2475">
              <w:rPr>
                <w:rFonts w:ascii="Times New Roman" w:eastAsia="Times New Roman" w:hAnsi="Times New Roman" w:cs="Times New Roman"/>
                <w:sz w:val="19"/>
                <w:szCs w:val="19"/>
                <w:lang w:eastAsia="ru-RU"/>
              </w:rPr>
              <w:t xml:space="preserve">Оренбургской и Самарской областей, а также Красноярского края (например, по </w:t>
            </w:r>
            <w:proofErr w:type="spellStart"/>
            <w:r w:rsidRPr="007C2475">
              <w:rPr>
                <w:rFonts w:ascii="Times New Roman" w:eastAsia="Times New Roman" w:hAnsi="Times New Roman" w:cs="Times New Roman"/>
                <w:sz w:val="19"/>
                <w:szCs w:val="19"/>
                <w:lang w:eastAsia="ru-RU"/>
              </w:rPr>
              <w:t>Надеждинскому</w:t>
            </w:r>
            <w:proofErr w:type="spellEnd"/>
            <w:r w:rsidRPr="007C2475">
              <w:rPr>
                <w:rFonts w:ascii="Times New Roman" w:eastAsia="Times New Roman" w:hAnsi="Times New Roman" w:cs="Times New Roman"/>
                <w:sz w:val="19"/>
                <w:szCs w:val="19"/>
                <w:lang w:eastAsia="ru-RU"/>
              </w:rPr>
              <w:t xml:space="preserve"> участку размер фактического разового платежа составил 2 653,2 млн. рублей по сравнению с 134,0 млн. рублей стартового размера разового платежа; по </w:t>
            </w:r>
            <w:proofErr w:type="spellStart"/>
            <w:r w:rsidRPr="007C2475">
              <w:rPr>
                <w:rFonts w:ascii="Times New Roman" w:eastAsia="Times New Roman" w:hAnsi="Times New Roman" w:cs="Times New Roman"/>
                <w:sz w:val="19"/>
                <w:szCs w:val="19"/>
                <w:lang w:eastAsia="ru-RU"/>
              </w:rPr>
              <w:t>Карнаваринскому</w:t>
            </w:r>
            <w:proofErr w:type="spellEnd"/>
            <w:r w:rsidRPr="007C2475">
              <w:rPr>
                <w:rFonts w:ascii="Times New Roman" w:eastAsia="Times New Roman" w:hAnsi="Times New Roman" w:cs="Times New Roman"/>
                <w:sz w:val="19"/>
                <w:szCs w:val="19"/>
                <w:lang w:eastAsia="ru-RU"/>
              </w:rPr>
              <w:t xml:space="preserve"> участку – 2 545,6 млн. рублей и 218,1 млн. рублей; Савицкому участку – 1 803,9 млн. рублей и 95,6 млн. рублей соответственно).</w:t>
            </w:r>
            <w:proofErr w:type="gramEnd"/>
            <w:r w:rsidRPr="007C2475">
              <w:rPr>
                <w:rFonts w:ascii="Times New Roman" w:eastAsia="Times New Roman" w:hAnsi="Times New Roman" w:cs="Times New Roman"/>
                <w:sz w:val="19"/>
                <w:szCs w:val="19"/>
                <w:lang w:eastAsia="ru-RU"/>
              </w:rPr>
              <w:t xml:space="preserve"> На достижение прогнозных показателей поступления разовых платежей за пользование недрами оказало влияние то, что по результатам 4 аукционов, проведенных территориальными органами </w:t>
            </w:r>
            <w:proofErr w:type="spellStart"/>
            <w:r w:rsidRPr="007C2475">
              <w:rPr>
                <w:rFonts w:ascii="Times New Roman" w:eastAsia="Times New Roman" w:hAnsi="Times New Roman" w:cs="Times New Roman"/>
                <w:sz w:val="19"/>
                <w:szCs w:val="19"/>
                <w:lang w:eastAsia="ru-RU"/>
              </w:rPr>
              <w:t>Роснедр</w:t>
            </w:r>
            <w:proofErr w:type="spellEnd"/>
            <w:r w:rsidRPr="007C2475">
              <w:rPr>
                <w:rFonts w:ascii="Times New Roman" w:eastAsia="Times New Roman" w:hAnsi="Times New Roman" w:cs="Times New Roman"/>
                <w:sz w:val="19"/>
                <w:szCs w:val="19"/>
                <w:lang w:eastAsia="ru-RU"/>
              </w:rPr>
              <w:t>, выдача лицензий находится в стадии оформления. Кроме того, не утверждены результаты проведенного на основании распоряжения Правительства Российской Федерации от 8 сентября 2018 г. № 1899-р аукциона на право пользования Южно-Обским участком недр федер</w:t>
            </w:r>
            <w:r w:rsidR="003644AF">
              <w:rPr>
                <w:rFonts w:ascii="Times New Roman" w:eastAsia="Times New Roman" w:hAnsi="Times New Roman" w:cs="Times New Roman"/>
                <w:sz w:val="19"/>
                <w:szCs w:val="19"/>
                <w:lang w:eastAsia="ru-RU"/>
              </w:rPr>
              <w:t>ального значения, расположенным</w:t>
            </w:r>
            <w:r w:rsidRPr="007C2475">
              <w:rPr>
                <w:rFonts w:ascii="Times New Roman" w:eastAsia="Times New Roman" w:hAnsi="Times New Roman" w:cs="Times New Roman"/>
                <w:sz w:val="19"/>
                <w:szCs w:val="19"/>
                <w:lang w:eastAsia="ru-RU"/>
              </w:rPr>
              <w:t xml:space="preserve"> в аква</w:t>
            </w:r>
            <w:r w:rsidR="003644AF">
              <w:rPr>
                <w:rFonts w:ascii="Times New Roman" w:eastAsia="Times New Roman" w:hAnsi="Times New Roman" w:cs="Times New Roman"/>
                <w:sz w:val="19"/>
                <w:szCs w:val="19"/>
                <w:lang w:eastAsia="ru-RU"/>
              </w:rPr>
              <w:t>тории Обской губы Карского моря</w:t>
            </w:r>
          </w:p>
        </w:tc>
      </w:tr>
      <w:tr w:rsidR="007C2475" w:rsidRPr="007C2475" w:rsidTr="00FF4D50">
        <w:trPr>
          <w:trHeight w:val="300"/>
        </w:trPr>
        <w:tc>
          <w:tcPr>
            <w:tcW w:w="2978" w:type="dxa"/>
            <w:shd w:val="clear" w:color="auto" w:fill="FFFFFF" w:themeFill="background1"/>
            <w:vAlign w:val="center"/>
            <w:hideMark/>
          </w:tcPr>
          <w:p w:rsidR="00F32772" w:rsidRPr="007C2475" w:rsidRDefault="00F32772" w:rsidP="00682EC6">
            <w:pPr>
              <w:spacing w:after="0" w:line="240" w:lineRule="auto"/>
              <w:ind w:firstLine="318"/>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Утилизационный сбор</w:t>
            </w:r>
          </w:p>
        </w:tc>
        <w:tc>
          <w:tcPr>
            <w:tcW w:w="12757" w:type="dxa"/>
            <w:shd w:val="clear" w:color="auto" w:fill="FFFFFF" w:themeFill="background1"/>
            <w:noWrap/>
            <w:vAlign w:val="center"/>
          </w:tcPr>
          <w:p w:rsidR="0078278A" w:rsidRPr="007C2475" w:rsidRDefault="0078278A"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Превышение уточненного прогноза составило 749,4 млн. рублей, или 0,3 %.</w:t>
            </w:r>
          </w:p>
          <w:p w:rsidR="00F32772" w:rsidRPr="007C2475" w:rsidRDefault="00F32772"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Таможенными органами утилизационный сбор собран в сумме 84 413,8 млн. рублей (100,6 % уточненного прогноза поступлений), налоговыми органами</w:t>
            </w:r>
            <w:r w:rsidR="00FF4D50">
              <w:rPr>
                <w:rFonts w:ascii="Times New Roman" w:eastAsia="Times New Roman" w:hAnsi="Times New Roman" w:cs="Times New Roman"/>
                <w:sz w:val="19"/>
                <w:szCs w:val="19"/>
                <w:lang w:eastAsia="ru-RU"/>
              </w:rPr>
              <w:t> </w:t>
            </w:r>
            <w:r w:rsidRPr="007C2475">
              <w:rPr>
                <w:rFonts w:ascii="Times New Roman" w:eastAsia="Times New Roman" w:hAnsi="Times New Roman" w:cs="Times New Roman"/>
                <w:sz w:val="19"/>
                <w:szCs w:val="19"/>
                <w:lang w:eastAsia="ru-RU"/>
              </w:rPr>
              <w:t>– 178 775,4 млн. рублей (99,2 %).</w:t>
            </w:r>
          </w:p>
          <w:p w:rsidR="00F32772" w:rsidRPr="007C2475" w:rsidRDefault="0078278A" w:rsidP="00F20E43">
            <w:pPr>
              <w:spacing w:after="0" w:line="240" w:lineRule="auto"/>
              <w:ind w:firstLine="175"/>
              <w:jc w:val="both"/>
              <w:rPr>
                <w:rFonts w:ascii="Times New Roman" w:eastAsia="Times New Roman" w:hAnsi="Times New Roman" w:cs="Times New Roman"/>
                <w:sz w:val="19"/>
                <w:szCs w:val="19"/>
                <w:lang w:eastAsia="ru-RU"/>
              </w:rPr>
            </w:pPr>
            <w:proofErr w:type="gramStart"/>
            <w:r w:rsidRPr="007C2475">
              <w:rPr>
                <w:rFonts w:ascii="Times New Roman" w:eastAsia="Times New Roman" w:hAnsi="Times New Roman" w:cs="Times New Roman"/>
                <w:sz w:val="19"/>
                <w:szCs w:val="19"/>
                <w:lang w:eastAsia="ru-RU"/>
              </w:rPr>
              <w:t>По сравнению с 2017 годом поступления утилизационного сбора увеличились на 57 262,4 млн. рублей, или на 27,8 %, что обусловлено увеличением объемов производства и ввоза транспортных средств</w:t>
            </w:r>
            <w:r w:rsidRPr="007C2475">
              <w:rPr>
                <w:rFonts w:ascii="Times New Roman" w:eastAsia="Times New Roman" w:hAnsi="Times New Roman" w:cs="Times New Roman"/>
                <w:sz w:val="19"/>
                <w:szCs w:val="19"/>
                <w:vertAlign w:val="superscript"/>
                <w:lang w:eastAsia="ru-RU"/>
              </w:rPr>
              <w:footnoteReference w:id="15"/>
            </w:r>
            <w:r w:rsidRPr="007C2475">
              <w:rPr>
                <w:rFonts w:ascii="Times New Roman" w:eastAsia="Times New Roman" w:hAnsi="Times New Roman" w:cs="Times New Roman"/>
                <w:sz w:val="19"/>
                <w:szCs w:val="19"/>
                <w:lang w:eastAsia="ru-RU"/>
              </w:rPr>
              <w:t>, а также увеличением коэффициентов для расчета утилизационного сбора (с 1 апреля 2018 года)</w:t>
            </w:r>
            <w:r w:rsidRPr="007C2475">
              <w:rPr>
                <w:rFonts w:ascii="Times New Roman" w:eastAsia="Times New Roman" w:hAnsi="Times New Roman" w:cs="Times New Roman"/>
                <w:sz w:val="19"/>
                <w:szCs w:val="19"/>
                <w:vertAlign w:val="superscript"/>
                <w:lang w:eastAsia="ru-RU"/>
              </w:rPr>
              <w:footnoteReference w:id="16"/>
            </w:r>
            <w:r w:rsidRPr="007C2475">
              <w:rPr>
                <w:rFonts w:ascii="Times New Roman" w:eastAsia="Times New Roman" w:hAnsi="Times New Roman" w:cs="Times New Roman"/>
                <w:sz w:val="19"/>
                <w:szCs w:val="19"/>
                <w:lang w:eastAsia="ru-RU"/>
              </w:rPr>
              <w:t xml:space="preserve"> и базовой ставки для расчета утилизационного сбора в отношении самоходной техники</w:t>
            </w:r>
            <w:r w:rsidRPr="007C2475">
              <w:rPr>
                <w:rFonts w:ascii="Times New Roman" w:eastAsia="Times New Roman" w:hAnsi="Times New Roman" w:cs="Times New Roman"/>
                <w:sz w:val="19"/>
                <w:szCs w:val="19"/>
                <w:vertAlign w:val="superscript"/>
                <w:lang w:eastAsia="ru-RU"/>
              </w:rPr>
              <w:footnoteReference w:id="17"/>
            </w:r>
            <w:r w:rsidR="003644AF">
              <w:rPr>
                <w:rFonts w:ascii="Times New Roman" w:eastAsia="Times New Roman" w:hAnsi="Times New Roman" w:cs="Times New Roman"/>
                <w:sz w:val="19"/>
                <w:szCs w:val="19"/>
                <w:lang w:eastAsia="ru-RU"/>
              </w:rPr>
              <w:t xml:space="preserve"> (с 13 июня 2018 года)</w:t>
            </w:r>
            <w:proofErr w:type="gramEnd"/>
          </w:p>
        </w:tc>
      </w:tr>
      <w:tr w:rsidR="007C2475" w:rsidRPr="007C2475" w:rsidTr="00FF4D50">
        <w:trPr>
          <w:trHeight w:val="64"/>
        </w:trPr>
        <w:tc>
          <w:tcPr>
            <w:tcW w:w="2978" w:type="dxa"/>
            <w:shd w:val="clear" w:color="auto" w:fill="FFFFFF" w:themeFill="background1"/>
            <w:vAlign w:val="center"/>
            <w:hideMark/>
          </w:tcPr>
          <w:p w:rsidR="00F32772" w:rsidRPr="007C2475" w:rsidRDefault="00F32772" w:rsidP="00E23B02">
            <w:pPr>
              <w:spacing w:after="0" w:line="240" w:lineRule="auto"/>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Административные платежи и сборы</w:t>
            </w:r>
          </w:p>
        </w:tc>
        <w:tc>
          <w:tcPr>
            <w:tcW w:w="12757" w:type="dxa"/>
            <w:vMerge w:val="restart"/>
            <w:shd w:val="clear" w:color="auto" w:fill="FFFFFF" w:themeFill="background1"/>
            <w:noWrap/>
            <w:vAlign w:val="center"/>
          </w:tcPr>
          <w:p w:rsidR="00F32772" w:rsidRPr="007C2475" w:rsidRDefault="00F32772"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 xml:space="preserve">Указанный уровень исполнения прогноза поступления административных платежей и сборов обусловлен учетом при исполнении доходов федерального бюджета поступлений от взимания консульских сборов, не прогнозируемых главным администратором доходов (МИД России), в сумме </w:t>
            </w:r>
            <w:r w:rsidRPr="007C2475">
              <w:rPr>
                <w:rFonts w:ascii="Times New Roman" w:eastAsia="Times New Roman" w:hAnsi="Times New Roman" w:cs="Times New Roman"/>
                <w:sz w:val="19"/>
                <w:szCs w:val="19"/>
                <w:lang w:eastAsia="ru-RU"/>
              </w:rPr>
              <w:lastRenderedPageBreak/>
              <w:t>11 217,1 млн. рублей, что составляет 31,4 % всех административных платежей и сборов.</w:t>
            </w:r>
          </w:p>
          <w:p w:rsidR="00F32772" w:rsidRPr="007C2475" w:rsidRDefault="00F32772"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 xml:space="preserve">Более 48 % всех административных платежей и сборов составляет </w:t>
            </w:r>
            <w:r w:rsidRPr="007C2475">
              <w:rPr>
                <w:rFonts w:ascii="Times New Roman" w:eastAsia="Times New Roman" w:hAnsi="Times New Roman" w:cs="Times New Roman"/>
                <w:b/>
                <w:sz w:val="19"/>
                <w:szCs w:val="19"/>
                <w:lang w:eastAsia="ru-RU"/>
              </w:rPr>
              <w:t>исполнительский сбор.</w:t>
            </w:r>
            <w:r w:rsidRPr="007C2475">
              <w:rPr>
                <w:rFonts w:ascii="Times New Roman" w:eastAsia="Times New Roman" w:hAnsi="Times New Roman" w:cs="Times New Roman"/>
                <w:sz w:val="19"/>
                <w:szCs w:val="19"/>
                <w:lang w:eastAsia="ru-RU"/>
              </w:rPr>
              <w:t xml:space="preserve"> </w:t>
            </w:r>
          </w:p>
          <w:p w:rsidR="0078278A" w:rsidRPr="007C2475" w:rsidRDefault="0078278A"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Превышение уточненного прогноза</w:t>
            </w:r>
            <w:r w:rsidR="00A40D85">
              <w:rPr>
                <w:rFonts w:ascii="Times New Roman" w:eastAsia="Times New Roman" w:hAnsi="Times New Roman" w:cs="Times New Roman"/>
                <w:sz w:val="19"/>
                <w:szCs w:val="19"/>
                <w:lang w:eastAsia="ru-RU"/>
              </w:rPr>
              <w:t xml:space="preserve"> исполнительского сбора</w:t>
            </w:r>
            <w:r w:rsidRPr="007C2475">
              <w:rPr>
                <w:rFonts w:ascii="Times New Roman" w:eastAsia="Times New Roman" w:hAnsi="Times New Roman" w:cs="Times New Roman"/>
                <w:sz w:val="19"/>
                <w:szCs w:val="19"/>
                <w:lang w:eastAsia="ru-RU"/>
              </w:rPr>
              <w:t xml:space="preserve"> составило 8,1</w:t>
            </w:r>
            <w:r w:rsidR="007C2475" w:rsidRPr="007C2475">
              <w:rPr>
                <w:rFonts w:ascii="Times New Roman" w:eastAsia="Times New Roman" w:hAnsi="Times New Roman" w:cs="Times New Roman"/>
                <w:sz w:val="19"/>
                <w:szCs w:val="19"/>
                <w:lang w:eastAsia="ru-RU"/>
              </w:rPr>
              <w:t> млн. рублей</w:t>
            </w:r>
            <w:r w:rsidRPr="007C2475">
              <w:rPr>
                <w:rFonts w:ascii="Times New Roman" w:eastAsia="Times New Roman" w:hAnsi="Times New Roman" w:cs="Times New Roman"/>
                <w:sz w:val="19"/>
                <w:szCs w:val="19"/>
                <w:lang w:eastAsia="ru-RU"/>
              </w:rPr>
              <w:t>.</w:t>
            </w:r>
          </w:p>
          <w:p w:rsidR="0078278A" w:rsidRPr="007C2475" w:rsidRDefault="0078278A"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По сравнению с 2017 годом поступление исполнительского сбора увеличилось на 3 4</w:t>
            </w:r>
            <w:r w:rsidR="003644AF">
              <w:rPr>
                <w:rFonts w:ascii="Times New Roman" w:eastAsia="Times New Roman" w:hAnsi="Times New Roman" w:cs="Times New Roman"/>
                <w:sz w:val="19"/>
                <w:szCs w:val="19"/>
                <w:lang w:eastAsia="ru-RU"/>
              </w:rPr>
              <w:t>72,8 млн. рублей, или на 25,1 %</w:t>
            </w:r>
          </w:p>
        </w:tc>
      </w:tr>
      <w:tr w:rsidR="007C2475" w:rsidRPr="007C2475" w:rsidTr="00FF4D50">
        <w:trPr>
          <w:trHeight w:val="60"/>
        </w:trPr>
        <w:tc>
          <w:tcPr>
            <w:tcW w:w="2978" w:type="dxa"/>
            <w:shd w:val="clear" w:color="auto" w:fill="FFFFFF" w:themeFill="background1"/>
            <w:vAlign w:val="center"/>
            <w:hideMark/>
          </w:tcPr>
          <w:p w:rsidR="00F32772" w:rsidRPr="007C2475" w:rsidRDefault="00F32772" w:rsidP="004A0DC5">
            <w:pPr>
              <w:spacing w:after="0" w:line="240" w:lineRule="auto"/>
              <w:ind w:firstLineChars="100" w:firstLine="190"/>
              <w:rPr>
                <w:rFonts w:ascii="Times New Roman" w:eastAsia="Times New Roman" w:hAnsi="Times New Roman" w:cs="Times New Roman"/>
                <w:i/>
                <w:iCs/>
                <w:sz w:val="19"/>
                <w:szCs w:val="19"/>
                <w:lang w:eastAsia="ru-RU"/>
              </w:rPr>
            </w:pPr>
            <w:r w:rsidRPr="007C2475">
              <w:rPr>
                <w:rFonts w:ascii="Times New Roman" w:eastAsia="Times New Roman" w:hAnsi="Times New Roman" w:cs="Times New Roman"/>
                <w:i/>
                <w:iCs/>
                <w:sz w:val="19"/>
                <w:szCs w:val="19"/>
                <w:lang w:eastAsia="ru-RU"/>
              </w:rPr>
              <w:lastRenderedPageBreak/>
              <w:t>из них:</w:t>
            </w:r>
          </w:p>
        </w:tc>
        <w:tc>
          <w:tcPr>
            <w:tcW w:w="12757" w:type="dxa"/>
            <w:vMerge/>
            <w:shd w:val="clear" w:color="auto" w:fill="FFFFFF" w:themeFill="background1"/>
            <w:noWrap/>
            <w:vAlign w:val="center"/>
          </w:tcPr>
          <w:p w:rsidR="00F32772" w:rsidRPr="007C2475" w:rsidRDefault="00F32772" w:rsidP="00F20E43">
            <w:pPr>
              <w:spacing w:after="0" w:line="240" w:lineRule="auto"/>
              <w:ind w:firstLine="175"/>
              <w:rPr>
                <w:rFonts w:ascii="Times New Roman" w:eastAsia="Times New Roman" w:hAnsi="Times New Roman" w:cs="Times New Roman"/>
                <w:sz w:val="19"/>
                <w:szCs w:val="19"/>
                <w:lang w:eastAsia="ru-RU"/>
              </w:rPr>
            </w:pPr>
          </w:p>
        </w:tc>
      </w:tr>
      <w:tr w:rsidR="007C2475" w:rsidRPr="007C2475" w:rsidTr="00FF4D50">
        <w:trPr>
          <w:trHeight w:val="304"/>
        </w:trPr>
        <w:tc>
          <w:tcPr>
            <w:tcW w:w="2978" w:type="dxa"/>
            <w:shd w:val="clear" w:color="auto" w:fill="FFFFFF" w:themeFill="background1"/>
            <w:vAlign w:val="center"/>
            <w:hideMark/>
          </w:tcPr>
          <w:p w:rsidR="00F32772" w:rsidRPr="007C2475" w:rsidRDefault="00F32772" w:rsidP="00682EC6">
            <w:pPr>
              <w:spacing w:after="0" w:line="240" w:lineRule="auto"/>
              <w:ind w:firstLine="318"/>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lastRenderedPageBreak/>
              <w:t>Исполнительский сбор</w:t>
            </w:r>
          </w:p>
        </w:tc>
        <w:tc>
          <w:tcPr>
            <w:tcW w:w="12757" w:type="dxa"/>
            <w:vMerge/>
            <w:shd w:val="clear" w:color="auto" w:fill="FFFFFF" w:themeFill="background1"/>
            <w:noWrap/>
            <w:vAlign w:val="center"/>
          </w:tcPr>
          <w:p w:rsidR="00F32772" w:rsidRPr="007C2475" w:rsidRDefault="00F32772" w:rsidP="00F20E43">
            <w:pPr>
              <w:spacing w:after="0" w:line="240" w:lineRule="auto"/>
              <w:ind w:firstLine="175"/>
              <w:rPr>
                <w:rFonts w:ascii="Times New Roman" w:eastAsia="Times New Roman" w:hAnsi="Times New Roman" w:cs="Times New Roman"/>
                <w:sz w:val="19"/>
                <w:szCs w:val="19"/>
                <w:lang w:eastAsia="ru-RU"/>
              </w:rPr>
            </w:pPr>
          </w:p>
        </w:tc>
      </w:tr>
      <w:tr w:rsidR="007C2475" w:rsidRPr="007C2475" w:rsidTr="00FF4D50">
        <w:trPr>
          <w:trHeight w:val="60"/>
        </w:trPr>
        <w:tc>
          <w:tcPr>
            <w:tcW w:w="2978" w:type="dxa"/>
            <w:shd w:val="clear" w:color="auto" w:fill="FFFFFF" w:themeFill="background1"/>
            <w:vAlign w:val="center"/>
            <w:hideMark/>
          </w:tcPr>
          <w:p w:rsidR="00F32772" w:rsidRPr="007C2475" w:rsidRDefault="00F32772" w:rsidP="00682EC6">
            <w:pPr>
              <w:spacing w:after="0" w:line="240" w:lineRule="auto"/>
              <w:ind w:firstLine="318"/>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Консульские сборы</w:t>
            </w:r>
          </w:p>
        </w:tc>
        <w:tc>
          <w:tcPr>
            <w:tcW w:w="12757" w:type="dxa"/>
            <w:vMerge/>
            <w:shd w:val="clear" w:color="auto" w:fill="FFFFFF" w:themeFill="background1"/>
            <w:noWrap/>
            <w:vAlign w:val="center"/>
          </w:tcPr>
          <w:p w:rsidR="00F32772" w:rsidRPr="007C2475" w:rsidRDefault="00F32772" w:rsidP="00F20E43">
            <w:pPr>
              <w:spacing w:after="0" w:line="240" w:lineRule="auto"/>
              <w:ind w:firstLine="175"/>
              <w:rPr>
                <w:rFonts w:ascii="Times New Roman" w:eastAsia="Times New Roman" w:hAnsi="Times New Roman" w:cs="Times New Roman"/>
                <w:sz w:val="19"/>
                <w:szCs w:val="19"/>
                <w:lang w:eastAsia="ru-RU"/>
              </w:rPr>
            </w:pPr>
          </w:p>
        </w:tc>
      </w:tr>
      <w:tr w:rsidR="007C2475" w:rsidRPr="007C2475" w:rsidTr="00FF4D50">
        <w:trPr>
          <w:trHeight w:val="300"/>
        </w:trPr>
        <w:tc>
          <w:tcPr>
            <w:tcW w:w="2978" w:type="dxa"/>
            <w:shd w:val="clear" w:color="auto" w:fill="FFFFFF" w:themeFill="background1"/>
            <w:vAlign w:val="center"/>
            <w:hideMark/>
          </w:tcPr>
          <w:p w:rsidR="00F32772" w:rsidRPr="007C2475" w:rsidRDefault="00F32772" w:rsidP="00E23B02">
            <w:pPr>
              <w:spacing w:after="0" w:line="240" w:lineRule="auto"/>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Штрафы, санкции, возмещение ущерба</w:t>
            </w:r>
          </w:p>
        </w:tc>
        <w:tc>
          <w:tcPr>
            <w:tcW w:w="12757" w:type="dxa"/>
            <w:shd w:val="clear" w:color="auto" w:fill="FFFFFF" w:themeFill="background1"/>
            <w:noWrap/>
            <w:vAlign w:val="center"/>
          </w:tcPr>
          <w:p w:rsidR="007C2475" w:rsidRPr="007C2475" w:rsidRDefault="007C2475"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Превышение уточненного прогноза составило 18 513,4 млн. рублей, или 27,6 %.</w:t>
            </w:r>
          </w:p>
          <w:p w:rsidR="00F32772" w:rsidRPr="007C2475" w:rsidRDefault="00F32772" w:rsidP="003644AF">
            <w:pPr>
              <w:spacing w:after="0" w:line="240" w:lineRule="auto"/>
              <w:ind w:firstLine="175"/>
              <w:jc w:val="both"/>
              <w:rPr>
                <w:rFonts w:ascii="Times New Roman" w:eastAsia="Times New Roman" w:hAnsi="Times New Roman" w:cs="Times New Roman"/>
                <w:sz w:val="19"/>
                <w:szCs w:val="19"/>
                <w:lang w:eastAsia="ru-RU"/>
              </w:rPr>
            </w:pPr>
            <w:proofErr w:type="gramStart"/>
            <w:r w:rsidRPr="007C2475">
              <w:rPr>
                <w:rFonts w:ascii="Times New Roman" w:eastAsia="Times New Roman" w:hAnsi="Times New Roman" w:cs="Times New Roman"/>
                <w:sz w:val="19"/>
                <w:szCs w:val="19"/>
                <w:lang w:eastAsia="ru-RU"/>
              </w:rPr>
              <w:t xml:space="preserve">По сравнению с 2017 годом объем поступлений увеличился на 18 666,9 млн. рублей, или на 27,9 %. Поступления сумм в возмещение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администрируемых </w:t>
            </w:r>
            <w:proofErr w:type="spellStart"/>
            <w:r w:rsidRPr="007C2475">
              <w:rPr>
                <w:rFonts w:ascii="Times New Roman" w:eastAsia="Times New Roman" w:hAnsi="Times New Roman" w:cs="Times New Roman"/>
                <w:sz w:val="19"/>
                <w:szCs w:val="19"/>
                <w:lang w:eastAsia="ru-RU"/>
              </w:rPr>
              <w:t>Росавтодором</w:t>
            </w:r>
            <w:proofErr w:type="spellEnd"/>
            <w:r w:rsidRPr="007C2475">
              <w:rPr>
                <w:rFonts w:ascii="Times New Roman" w:eastAsia="Times New Roman" w:hAnsi="Times New Roman" w:cs="Times New Roman"/>
                <w:sz w:val="19"/>
                <w:szCs w:val="19"/>
                <w:lang w:eastAsia="ru-RU"/>
              </w:rPr>
              <w:t>, превысили объем поступлений 2017 года на 3 345,3 млн. рублей</w:t>
            </w:r>
            <w:r w:rsidR="003644AF">
              <w:rPr>
                <w:rFonts w:ascii="Times New Roman" w:eastAsia="Times New Roman" w:hAnsi="Times New Roman" w:cs="Times New Roman"/>
                <w:sz w:val="19"/>
                <w:szCs w:val="19"/>
                <w:lang w:eastAsia="ru-RU"/>
              </w:rPr>
              <w:t>,</w:t>
            </w:r>
            <w:r w:rsidRPr="007C2475">
              <w:rPr>
                <w:rFonts w:ascii="Times New Roman" w:eastAsia="Times New Roman" w:hAnsi="Times New Roman" w:cs="Times New Roman"/>
                <w:sz w:val="19"/>
                <w:szCs w:val="19"/>
                <w:lang w:eastAsia="ru-RU"/>
              </w:rPr>
              <w:t xml:space="preserve"> или на 16,9 %. Одно</w:t>
            </w:r>
            <w:r w:rsidR="003644AF">
              <w:rPr>
                <w:rFonts w:ascii="Times New Roman" w:eastAsia="Times New Roman" w:hAnsi="Times New Roman" w:cs="Times New Roman"/>
                <w:sz w:val="19"/>
                <w:szCs w:val="19"/>
                <w:lang w:eastAsia="ru-RU"/>
              </w:rPr>
              <w:t>й из причин является применение</w:t>
            </w:r>
            <w:r w:rsidR="00534466">
              <w:rPr>
                <w:rFonts w:ascii="Times New Roman" w:eastAsia="Times New Roman" w:hAnsi="Times New Roman" w:cs="Times New Roman"/>
                <w:sz w:val="19"/>
                <w:szCs w:val="19"/>
                <w:lang w:eastAsia="ru-RU"/>
              </w:rPr>
              <w:t>,</w:t>
            </w:r>
            <w:r w:rsidRPr="007C2475">
              <w:rPr>
                <w:rFonts w:ascii="Times New Roman" w:eastAsia="Times New Roman" w:hAnsi="Times New Roman" w:cs="Times New Roman"/>
                <w:sz w:val="19"/>
                <w:szCs w:val="19"/>
                <w:lang w:eastAsia="ru-RU"/>
              </w:rPr>
              <w:t xml:space="preserve"> начиная с 15</w:t>
            </w:r>
            <w:proofErr w:type="gramEnd"/>
            <w:r w:rsidRPr="007C2475">
              <w:rPr>
                <w:rFonts w:ascii="Times New Roman" w:eastAsia="Times New Roman" w:hAnsi="Times New Roman" w:cs="Times New Roman"/>
                <w:sz w:val="19"/>
                <w:szCs w:val="19"/>
                <w:lang w:eastAsia="ru-RU"/>
              </w:rPr>
              <w:t> апреля 2017 года</w:t>
            </w:r>
            <w:r w:rsidR="00534466">
              <w:rPr>
                <w:rFonts w:ascii="Times New Roman" w:eastAsia="Times New Roman" w:hAnsi="Times New Roman" w:cs="Times New Roman"/>
                <w:sz w:val="19"/>
                <w:szCs w:val="19"/>
                <w:lang w:eastAsia="ru-RU"/>
              </w:rPr>
              <w:t>,</w:t>
            </w:r>
            <w:r w:rsidRPr="007C2475">
              <w:rPr>
                <w:rFonts w:ascii="Times New Roman" w:eastAsia="Times New Roman" w:hAnsi="Times New Roman" w:cs="Times New Roman"/>
                <w:sz w:val="19"/>
                <w:szCs w:val="19"/>
                <w:lang w:eastAsia="ru-RU"/>
              </w:rPr>
              <w:t xml:space="preserve"> коэффициента 0,51</w:t>
            </w:r>
            <w:r w:rsidRPr="007C2475">
              <w:rPr>
                <w:rFonts w:ascii="Times New Roman" w:eastAsia="Times New Roman" w:hAnsi="Times New Roman" w:cs="Times New Roman"/>
                <w:sz w:val="19"/>
                <w:szCs w:val="19"/>
                <w:vertAlign w:val="superscript"/>
                <w:lang w:eastAsia="ru-RU"/>
              </w:rPr>
              <w:footnoteReference w:id="18"/>
            </w:r>
            <w:r w:rsidRPr="007C2475">
              <w:rPr>
                <w:rFonts w:ascii="Times New Roman" w:eastAsia="Times New Roman" w:hAnsi="Times New Roman" w:cs="Times New Roman"/>
                <w:sz w:val="19"/>
                <w:szCs w:val="19"/>
                <w:lang w:eastAsia="ru-RU"/>
              </w:rPr>
              <w:t xml:space="preserve"> к размеру платы</w:t>
            </w:r>
            <w:r w:rsidRPr="007C2475">
              <w:rPr>
                <w:rFonts w:ascii="Times New Roman" w:eastAsia="Times New Roman" w:hAnsi="Times New Roman" w:cs="Times New Roman"/>
                <w:sz w:val="19"/>
                <w:szCs w:val="19"/>
                <w:vertAlign w:val="superscript"/>
                <w:lang w:eastAsia="ru-RU"/>
              </w:rPr>
              <w:footnoteReference w:id="19"/>
            </w:r>
            <w:r w:rsidRPr="007C2475">
              <w:rPr>
                <w:rFonts w:ascii="Times New Roman" w:eastAsia="Times New Roman" w:hAnsi="Times New Roman" w:cs="Times New Roman"/>
                <w:sz w:val="19"/>
                <w:szCs w:val="19"/>
                <w:lang w:eastAsia="ru-RU"/>
              </w:rPr>
              <w:t xml:space="preserve"> (размер платы составил 1,9023 </w:t>
            </w:r>
            <w:proofErr w:type="spellStart"/>
            <w:r w:rsidRPr="007C2475">
              <w:rPr>
                <w:rFonts w:ascii="Times New Roman" w:eastAsia="Times New Roman" w:hAnsi="Times New Roman" w:cs="Times New Roman"/>
                <w:sz w:val="19"/>
                <w:szCs w:val="19"/>
                <w:lang w:eastAsia="ru-RU"/>
              </w:rPr>
              <w:t>руб</w:t>
            </w:r>
            <w:proofErr w:type="spellEnd"/>
            <w:r w:rsidRPr="007C2475">
              <w:rPr>
                <w:rFonts w:ascii="Times New Roman" w:eastAsia="Times New Roman" w:hAnsi="Times New Roman" w:cs="Times New Roman"/>
                <w:sz w:val="19"/>
                <w:szCs w:val="19"/>
                <w:lang w:eastAsia="ru-RU"/>
              </w:rPr>
              <w:t>/</w:t>
            </w:r>
            <w:proofErr w:type="gramStart"/>
            <w:r w:rsidRPr="007C2475">
              <w:rPr>
                <w:rFonts w:ascii="Times New Roman" w:eastAsia="Times New Roman" w:hAnsi="Times New Roman" w:cs="Times New Roman"/>
                <w:sz w:val="19"/>
                <w:szCs w:val="19"/>
                <w:lang w:eastAsia="ru-RU"/>
              </w:rPr>
              <w:t>км</w:t>
            </w:r>
            <w:proofErr w:type="gramEnd"/>
            <w:r w:rsidRPr="007C2475">
              <w:rPr>
                <w:rFonts w:ascii="Times New Roman" w:eastAsia="Times New Roman" w:hAnsi="Times New Roman" w:cs="Times New Roman"/>
                <w:sz w:val="19"/>
                <w:szCs w:val="19"/>
                <w:lang w:eastAsia="ru-RU"/>
              </w:rPr>
              <w:t>) вместо действующего в период с 1 января по 14 апреля 2017 года коэффициента 0,41</w:t>
            </w:r>
            <w:r w:rsidRPr="007C2475">
              <w:rPr>
                <w:rFonts w:ascii="Times New Roman" w:eastAsia="Times New Roman" w:hAnsi="Times New Roman" w:cs="Times New Roman"/>
                <w:sz w:val="19"/>
                <w:szCs w:val="19"/>
                <w:vertAlign w:val="superscript"/>
                <w:lang w:eastAsia="ru-RU"/>
              </w:rPr>
              <w:footnoteReference w:id="20"/>
            </w:r>
            <w:r w:rsidRPr="007C2475">
              <w:rPr>
                <w:rFonts w:ascii="Times New Roman" w:eastAsia="Times New Roman" w:hAnsi="Times New Roman" w:cs="Times New Roman"/>
                <w:sz w:val="19"/>
                <w:szCs w:val="19"/>
                <w:lang w:eastAsia="ru-RU"/>
              </w:rPr>
              <w:t xml:space="preserve"> (размер</w:t>
            </w:r>
            <w:r w:rsidR="00EA490F">
              <w:rPr>
                <w:rFonts w:ascii="Times New Roman" w:eastAsia="Times New Roman" w:hAnsi="Times New Roman" w:cs="Times New Roman"/>
                <w:sz w:val="19"/>
                <w:szCs w:val="19"/>
                <w:lang w:eastAsia="ru-RU"/>
              </w:rPr>
              <w:t xml:space="preserve"> платы составлял 1,5293 </w:t>
            </w:r>
            <w:proofErr w:type="spellStart"/>
            <w:r w:rsidR="00EA490F">
              <w:rPr>
                <w:rFonts w:ascii="Times New Roman" w:eastAsia="Times New Roman" w:hAnsi="Times New Roman" w:cs="Times New Roman"/>
                <w:sz w:val="19"/>
                <w:szCs w:val="19"/>
                <w:lang w:eastAsia="ru-RU"/>
              </w:rPr>
              <w:t>руб</w:t>
            </w:r>
            <w:proofErr w:type="spellEnd"/>
            <w:r w:rsidR="00EA490F">
              <w:rPr>
                <w:rFonts w:ascii="Times New Roman" w:eastAsia="Times New Roman" w:hAnsi="Times New Roman" w:cs="Times New Roman"/>
                <w:sz w:val="19"/>
                <w:szCs w:val="19"/>
                <w:lang w:eastAsia="ru-RU"/>
              </w:rPr>
              <w:t>/км)</w:t>
            </w:r>
          </w:p>
        </w:tc>
      </w:tr>
      <w:tr w:rsidR="007C2475" w:rsidRPr="007C2475" w:rsidTr="00FF4D50">
        <w:trPr>
          <w:trHeight w:val="64"/>
        </w:trPr>
        <w:tc>
          <w:tcPr>
            <w:tcW w:w="2978" w:type="dxa"/>
            <w:shd w:val="clear" w:color="auto" w:fill="FFFFFF" w:themeFill="background1"/>
            <w:vAlign w:val="center"/>
            <w:hideMark/>
          </w:tcPr>
          <w:p w:rsidR="00F32772" w:rsidRPr="007C2475" w:rsidRDefault="00F32772" w:rsidP="00E23B02">
            <w:pPr>
              <w:spacing w:after="0" w:line="240" w:lineRule="auto"/>
              <w:rPr>
                <w:rFonts w:ascii="Times New Roman" w:eastAsia="Times New Roman" w:hAnsi="Times New Roman" w:cs="Times New Roman"/>
                <w:sz w:val="10"/>
                <w:szCs w:val="10"/>
                <w:lang w:eastAsia="ru-RU"/>
              </w:rPr>
            </w:pPr>
            <w:r w:rsidRPr="007C2475">
              <w:rPr>
                <w:rFonts w:ascii="Times New Roman" w:eastAsia="Times New Roman" w:hAnsi="Times New Roman" w:cs="Times New Roman"/>
                <w:sz w:val="10"/>
                <w:szCs w:val="10"/>
                <w:lang w:eastAsia="ru-RU"/>
              </w:rPr>
              <w:t> </w:t>
            </w:r>
          </w:p>
        </w:tc>
        <w:tc>
          <w:tcPr>
            <w:tcW w:w="12757" w:type="dxa"/>
            <w:shd w:val="clear" w:color="auto" w:fill="FFFFFF" w:themeFill="background1"/>
            <w:noWrap/>
            <w:vAlign w:val="bottom"/>
          </w:tcPr>
          <w:p w:rsidR="00F32772" w:rsidRPr="007C2475" w:rsidRDefault="00F32772" w:rsidP="00F20E43">
            <w:pPr>
              <w:spacing w:after="0" w:line="240" w:lineRule="auto"/>
              <w:ind w:firstLine="175"/>
              <w:rPr>
                <w:rFonts w:ascii="Times New Roman" w:eastAsia="Times New Roman" w:hAnsi="Times New Roman" w:cs="Times New Roman"/>
                <w:sz w:val="10"/>
                <w:szCs w:val="10"/>
                <w:lang w:eastAsia="ru-RU"/>
              </w:rPr>
            </w:pPr>
          </w:p>
        </w:tc>
      </w:tr>
      <w:tr w:rsidR="007C2475" w:rsidRPr="007C2475" w:rsidTr="00FF4D50">
        <w:trPr>
          <w:trHeight w:val="60"/>
        </w:trPr>
        <w:tc>
          <w:tcPr>
            <w:tcW w:w="2978" w:type="dxa"/>
            <w:shd w:val="clear" w:color="auto" w:fill="FFFFFF" w:themeFill="background1"/>
            <w:vAlign w:val="center"/>
            <w:hideMark/>
          </w:tcPr>
          <w:p w:rsidR="00F32772" w:rsidRPr="007C2475" w:rsidRDefault="00F32772" w:rsidP="00E23B02">
            <w:pPr>
              <w:spacing w:after="0" w:line="240" w:lineRule="auto"/>
              <w:rPr>
                <w:rFonts w:ascii="Times New Roman" w:eastAsia="Times New Roman" w:hAnsi="Times New Roman" w:cs="Times New Roman"/>
                <w:bCs/>
                <w:sz w:val="19"/>
                <w:szCs w:val="19"/>
                <w:lang w:eastAsia="ru-RU"/>
              </w:rPr>
            </w:pPr>
            <w:r w:rsidRPr="007C2475">
              <w:rPr>
                <w:rFonts w:ascii="Times New Roman" w:eastAsia="Times New Roman" w:hAnsi="Times New Roman" w:cs="Times New Roman"/>
                <w:bCs/>
                <w:sz w:val="19"/>
                <w:szCs w:val="19"/>
                <w:lang w:eastAsia="ru-RU"/>
              </w:rPr>
              <w:t>III. Безвозмездные поступления</w:t>
            </w:r>
          </w:p>
        </w:tc>
        <w:tc>
          <w:tcPr>
            <w:tcW w:w="12757" w:type="dxa"/>
            <w:shd w:val="clear" w:color="auto" w:fill="FFFFFF" w:themeFill="background1"/>
            <w:noWrap/>
            <w:vAlign w:val="bottom"/>
          </w:tcPr>
          <w:p w:rsidR="007C2475" w:rsidRPr="007C2475" w:rsidRDefault="007C2475"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Превышение уточненного прогноза составило 12 585,6 млн. рублей, или 31 %.</w:t>
            </w:r>
          </w:p>
          <w:p w:rsidR="00F32772" w:rsidRPr="007C2475" w:rsidRDefault="00F32772" w:rsidP="00F20E43">
            <w:pPr>
              <w:spacing w:after="0" w:line="240" w:lineRule="auto"/>
              <w:ind w:firstLine="175"/>
              <w:jc w:val="both"/>
              <w:rPr>
                <w:rFonts w:ascii="Times New Roman" w:eastAsia="Times New Roman" w:hAnsi="Times New Roman" w:cs="Times New Roman"/>
                <w:sz w:val="19"/>
                <w:szCs w:val="19"/>
                <w:lang w:eastAsia="ru-RU"/>
              </w:rPr>
            </w:pPr>
            <w:proofErr w:type="gramStart"/>
            <w:r w:rsidRPr="007C2475">
              <w:rPr>
                <w:rFonts w:ascii="Times New Roman" w:eastAsia="Times New Roman" w:hAnsi="Times New Roman" w:cs="Times New Roman"/>
                <w:sz w:val="19"/>
                <w:szCs w:val="19"/>
                <w:lang w:eastAsia="ru-RU"/>
              </w:rPr>
              <w:t>Около 50 % всех безвозмездных поступлений приходится на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 объем которых составил 26 554,2 млн. рублей, в том числе 10 422,5 млн. рублей – в части возврата организациями остатков субсидий прошлых лет и 16 131,7 млн</w:t>
            </w:r>
            <w:proofErr w:type="gramEnd"/>
            <w:r w:rsidRPr="007C2475">
              <w:rPr>
                <w:rFonts w:ascii="Times New Roman" w:eastAsia="Times New Roman" w:hAnsi="Times New Roman" w:cs="Times New Roman"/>
                <w:sz w:val="19"/>
                <w:szCs w:val="19"/>
                <w:lang w:eastAsia="ru-RU"/>
              </w:rPr>
              <w:t xml:space="preserve">. рублей – </w:t>
            </w:r>
            <w:r w:rsidR="00534466">
              <w:rPr>
                <w:rFonts w:ascii="Times New Roman" w:eastAsia="Times New Roman" w:hAnsi="Times New Roman" w:cs="Times New Roman"/>
                <w:sz w:val="19"/>
                <w:szCs w:val="19"/>
                <w:lang w:eastAsia="ru-RU"/>
              </w:rPr>
              <w:t>в части возврата</w:t>
            </w:r>
            <w:r w:rsidRPr="007C2475">
              <w:rPr>
                <w:rFonts w:ascii="Times New Roman" w:eastAsia="Times New Roman" w:hAnsi="Times New Roman" w:cs="Times New Roman"/>
                <w:sz w:val="19"/>
                <w:szCs w:val="19"/>
                <w:lang w:eastAsia="ru-RU"/>
              </w:rPr>
              <w:t xml:space="preserve"> из бюджетов субъектов Российской Федерации.</w:t>
            </w:r>
          </w:p>
          <w:p w:rsidR="00F32772" w:rsidRPr="007C2475" w:rsidRDefault="00F32772"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Увеличение поступлений по сравнению с 2017 годом обусловлено в основном за счет роста безвозмездных поступлений от государственных (муниципальных) организаций на 8 866,7 млн. рублей, или в 710,3 раза, иных межбюджетных трансфертов на 1 505,9 млн. рублей, или на 15,9 %.</w:t>
            </w:r>
          </w:p>
          <w:p w:rsidR="00F32772" w:rsidRPr="007C2475" w:rsidRDefault="00F32772" w:rsidP="00F20E43">
            <w:pPr>
              <w:spacing w:after="0" w:line="240" w:lineRule="auto"/>
              <w:ind w:firstLine="175"/>
              <w:jc w:val="both"/>
              <w:rPr>
                <w:rFonts w:ascii="Times New Roman" w:eastAsia="Times New Roman" w:hAnsi="Times New Roman" w:cs="Times New Roman"/>
                <w:sz w:val="19"/>
                <w:szCs w:val="19"/>
                <w:lang w:eastAsia="ru-RU"/>
              </w:rPr>
            </w:pPr>
            <w:proofErr w:type="gramStart"/>
            <w:r w:rsidRPr="007C2475">
              <w:rPr>
                <w:rFonts w:ascii="Times New Roman" w:eastAsia="Times New Roman" w:hAnsi="Times New Roman" w:cs="Times New Roman"/>
                <w:sz w:val="19"/>
                <w:szCs w:val="19"/>
                <w:lang w:eastAsia="ru-RU"/>
              </w:rPr>
              <w:t xml:space="preserve">Общая сумма возвращенных остатков субсидий, субвенций и иных межбюджетных трансфертов, имеющих целевое назначение, прошлых лет из бюджетов бюджетной системы Российской Федерации на 1 января 2019 года составила 16 131,7 млн. рублей, из которых 20,4 % приходится на Минсельхоз России, 12,2 % – на </w:t>
            </w:r>
            <w:proofErr w:type="spellStart"/>
            <w:r w:rsidRPr="007C2475">
              <w:rPr>
                <w:rFonts w:ascii="Times New Roman" w:eastAsia="Times New Roman" w:hAnsi="Times New Roman" w:cs="Times New Roman"/>
                <w:sz w:val="19"/>
                <w:szCs w:val="19"/>
                <w:lang w:eastAsia="ru-RU"/>
              </w:rPr>
              <w:t>Минобрнауки</w:t>
            </w:r>
            <w:proofErr w:type="spellEnd"/>
            <w:r w:rsidRPr="007C2475">
              <w:rPr>
                <w:rFonts w:ascii="Times New Roman" w:eastAsia="Times New Roman" w:hAnsi="Times New Roman" w:cs="Times New Roman"/>
                <w:sz w:val="19"/>
                <w:szCs w:val="19"/>
                <w:lang w:eastAsia="ru-RU"/>
              </w:rPr>
              <w:t xml:space="preserve"> России, 9,9 % – на Минэкономразвития России, 9,9 % – на </w:t>
            </w:r>
            <w:proofErr w:type="spellStart"/>
            <w:r w:rsidRPr="007C2475">
              <w:rPr>
                <w:rFonts w:ascii="Times New Roman" w:eastAsia="Times New Roman" w:hAnsi="Times New Roman" w:cs="Times New Roman"/>
                <w:sz w:val="19"/>
                <w:szCs w:val="19"/>
                <w:lang w:eastAsia="ru-RU"/>
              </w:rPr>
              <w:t>Росавтодор</w:t>
            </w:r>
            <w:proofErr w:type="spellEnd"/>
            <w:r w:rsidRPr="007C2475">
              <w:rPr>
                <w:rFonts w:ascii="Times New Roman" w:eastAsia="Times New Roman" w:hAnsi="Times New Roman" w:cs="Times New Roman"/>
                <w:sz w:val="19"/>
                <w:szCs w:val="19"/>
                <w:lang w:eastAsia="ru-RU"/>
              </w:rPr>
              <w:t>, 8,5 % – на Минстрой России  и 8,4 % – на Минэнерго России.</w:t>
            </w:r>
            <w:proofErr w:type="gramEnd"/>
          </w:p>
          <w:p w:rsidR="00F32772" w:rsidRPr="007C2475" w:rsidRDefault="00F32772" w:rsidP="00F20E43">
            <w:pPr>
              <w:spacing w:after="0" w:line="240" w:lineRule="auto"/>
              <w:ind w:firstLine="175"/>
              <w:jc w:val="both"/>
              <w:rPr>
                <w:rFonts w:ascii="Times New Roman" w:eastAsia="Times New Roman" w:hAnsi="Times New Roman" w:cs="Times New Roman"/>
                <w:sz w:val="19"/>
                <w:szCs w:val="19"/>
                <w:lang w:eastAsia="ru-RU"/>
              </w:rPr>
            </w:pPr>
            <w:r w:rsidRPr="007C2475">
              <w:rPr>
                <w:rFonts w:ascii="Times New Roman" w:eastAsia="Times New Roman" w:hAnsi="Times New Roman" w:cs="Times New Roman"/>
                <w:sz w:val="19"/>
                <w:szCs w:val="19"/>
                <w:lang w:eastAsia="ru-RU"/>
              </w:rPr>
              <w:t>По сравнению с 2017 годом объем возвращенных остатков межбюджетных трансфертов увеличился на 4 91</w:t>
            </w:r>
            <w:r w:rsidR="00EA490F">
              <w:rPr>
                <w:rFonts w:ascii="Times New Roman" w:eastAsia="Times New Roman" w:hAnsi="Times New Roman" w:cs="Times New Roman"/>
                <w:sz w:val="19"/>
                <w:szCs w:val="19"/>
                <w:lang w:eastAsia="ru-RU"/>
              </w:rPr>
              <w:t>3,8 млн. рублей, или в 1,4 раза</w:t>
            </w:r>
          </w:p>
        </w:tc>
      </w:tr>
    </w:tbl>
    <w:p w:rsidR="003E59F6" w:rsidRDefault="003E59F6" w:rsidP="004C2809">
      <w:pPr>
        <w:widowControl w:val="0"/>
        <w:tabs>
          <w:tab w:val="left" w:pos="9923"/>
        </w:tabs>
        <w:overflowPunct w:val="0"/>
        <w:autoSpaceDE w:val="0"/>
        <w:autoSpaceDN w:val="0"/>
        <w:adjustRightInd w:val="0"/>
        <w:spacing w:after="0" w:line="360" w:lineRule="auto"/>
        <w:jc w:val="both"/>
        <w:textAlignment w:val="baseline"/>
        <w:rPr>
          <w:rFonts w:ascii="Times New Roman" w:eastAsia="Calibri" w:hAnsi="Times New Roman" w:cs="Times New Roman"/>
          <w:sz w:val="24"/>
          <w:szCs w:val="24"/>
          <w:lang w:eastAsia="ru-RU"/>
        </w:rPr>
      </w:pPr>
    </w:p>
    <w:sectPr w:rsidR="003E59F6" w:rsidSect="00E03AD9">
      <w:headerReference w:type="default" r:id="rId9"/>
      <w:pgSz w:w="16838" w:h="11906" w:orient="landscape" w:code="9"/>
      <w:pgMar w:top="850" w:right="536" w:bottom="1701" w:left="1134" w:header="709" w:footer="709" w:gutter="0"/>
      <w:paperSrc w:first="260" w:other="26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8C0" w:rsidRDefault="000328C0" w:rsidP="00F551C4">
      <w:pPr>
        <w:spacing w:after="0" w:line="240" w:lineRule="auto"/>
      </w:pPr>
      <w:r>
        <w:separator/>
      </w:r>
    </w:p>
  </w:endnote>
  <w:endnote w:type="continuationSeparator" w:id="0">
    <w:p w:rsidR="000328C0" w:rsidRDefault="000328C0" w:rsidP="00F55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8C0" w:rsidRDefault="000328C0" w:rsidP="00F551C4">
      <w:pPr>
        <w:spacing w:after="0" w:line="240" w:lineRule="auto"/>
      </w:pPr>
      <w:r>
        <w:separator/>
      </w:r>
    </w:p>
  </w:footnote>
  <w:footnote w:type="continuationSeparator" w:id="0">
    <w:p w:rsidR="000328C0" w:rsidRDefault="000328C0" w:rsidP="00F551C4">
      <w:pPr>
        <w:spacing w:after="0" w:line="240" w:lineRule="auto"/>
      </w:pPr>
      <w:r>
        <w:continuationSeparator/>
      </w:r>
    </w:p>
  </w:footnote>
  <w:footnote w:id="1">
    <w:p w:rsidR="00F32772" w:rsidRPr="00F551C4" w:rsidRDefault="00F32772" w:rsidP="00B062B6">
      <w:pPr>
        <w:pStyle w:val="a3"/>
        <w:spacing w:line="216" w:lineRule="auto"/>
        <w:jc w:val="both"/>
        <w:rPr>
          <w:rFonts w:ascii="Times New Roman" w:hAnsi="Times New Roman" w:cs="Times New Roman"/>
        </w:rPr>
      </w:pPr>
      <w:r w:rsidRPr="00F551C4">
        <w:rPr>
          <w:rStyle w:val="a5"/>
          <w:rFonts w:ascii="Times New Roman" w:hAnsi="Times New Roman" w:cs="Times New Roman"/>
        </w:rPr>
        <w:footnoteRef/>
      </w:r>
      <w:r w:rsidRPr="00F551C4">
        <w:rPr>
          <w:rFonts w:ascii="Times New Roman" w:hAnsi="Times New Roman" w:cs="Times New Roman"/>
        </w:rPr>
        <w:t xml:space="preserve"> Федеральный закон от 20 ноября 2016 г. № 401-ФЗ «О внесении изменений в части первую и вторую Налогового кодекса Российской Федерации и отдельные законодательные акты Российской Федерации». При этом в </w:t>
      </w:r>
      <w:r w:rsidR="00B84208">
        <w:rPr>
          <w:rFonts w:ascii="Times New Roman" w:hAnsi="Times New Roman" w:cs="Times New Roman"/>
          <w:lang w:val="en-US"/>
        </w:rPr>
        <w:t>I</w:t>
      </w:r>
      <w:r w:rsidRPr="00F551C4">
        <w:rPr>
          <w:rFonts w:ascii="Times New Roman" w:hAnsi="Times New Roman" w:cs="Times New Roman"/>
        </w:rPr>
        <w:t xml:space="preserve"> квартале 2017 года уплата авансовых платежей и годовых перерасчетов производилась по налоговой ставке 2 %</w:t>
      </w:r>
      <w:r>
        <w:rPr>
          <w:rFonts w:ascii="Times New Roman" w:hAnsi="Times New Roman" w:cs="Times New Roman"/>
        </w:rPr>
        <w:t>.</w:t>
      </w:r>
    </w:p>
  </w:footnote>
  <w:footnote w:id="2">
    <w:p w:rsidR="00F32772" w:rsidRPr="00F551C4" w:rsidRDefault="00F32772" w:rsidP="00B062B6">
      <w:pPr>
        <w:pStyle w:val="a3"/>
        <w:jc w:val="both"/>
        <w:rPr>
          <w:rFonts w:ascii="Times New Roman" w:hAnsi="Times New Roman" w:cs="Times New Roman"/>
        </w:rPr>
      </w:pPr>
      <w:r w:rsidRPr="00F551C4">
        <w:rPr>
          <w:rStyle w:val="a5"/>
          <w:rFonts w:ascii="Times New Roman" w:hAnsi="Times New Roman" w:cs="Times New Roman"/>
        </w:rPr>
        <w:footnoteRef/>
      </w:r>
      <w:r w:rsidRPr="00F551C4">
        <w:rPr>
          <w:rFonts w:ascii="Times New Roman" w:hAnsi="Times New Roman" w:cs="Times New Roman"/>
        </w:rPr>
        <w:t xml:space="preserve"> По данным Росстата, в январе</w:t>
      </w:r>
      <w:r w:rsidR="00984B58">
        <w:rPr>
          <w:rFonts w:ascii="Times New Roman" w:hAnsi="Times New Roman" w:cs="Times New Roman"/>
        </w:rPr>
        <w:t xml:space="preserve"> </w:t>
      </w:r>
      <w:r w:rsidRPr="00F551C4">
        <w:rPr>
          <w:rFonts w:ascii="Times New Roman" w:hAnsi="Times New Roman" w:cs="Times New Roman"/>
        </w:rPr>
        <w:t>-</w:t>
      </w:r>
      <w:r w:rsidR="00984B58">
        <w:rPr>
          <w:rFonts w:ascii="Times New Roman" w:hAnsi="Times New Roman" w:cs="Times New Roman"/>
        </w:rPr>
        <w:t xml:space="preserve"> </w:t>
      </w:r>
      <w:r w:rsidRPr="00F551C4">
        <w:rPr>
          <w:rFonts w:ascii="Times New Roman" w:hAnsi="Times New Roman" w:cs="Times New Roman"/>
        </w:rPr>
        <w:t>октябре 2018 года сальдированный финансовый результат организаций составил (+) 11 551,6 млрд. рублей (в январе</w:t>
      </w:r>
      <w:r w:rsidR="00984B58">
        <w:rPr>
          <w:rFonts w:ascii="Times New Roman" w:hAnsi="Times New Roman" w:cs="Times New Roman"/>
        </w:rPr>
        <w:t xml:space="preserve"> </w:t>
      </w:r>
      <w:r w:rsidRPr="00F551C4">
        <w:rPr>
          <w:rFonts w:ascii="Times New Roman" w:hAnsi="Times New Roman" w:cs="Times New Roman"/>
        </w:rPr>
        <w:t>-</w:t>
      </w:r>
      <w:r w:rsidR="00984B58">
        <w:rPr>
          <w:rFonts w:ascii="Times New Roman" w:hAnsi="Times New Roman" w:cs="Times New Roman"/>
        </w:rPr>
        <w:t xml:space="preserve"> </w:t>
      </w:r>
      <w:r w:rsidRPr="00F551C4">
        <w:rPr>
          <w:rFonts w:ascii="Times New Roman" w:hAnsi="Times New Roman" w:cs="Times New Roman"/>
        </w:rPr>
        <w:t>октябре 2017 года он составлял (+) 8 698,1 млрд. рублей).</w:t>
      </w:r>
    </w:p>
  </w:footnote>
  <w:footnote w:id="3">
    <w:p w:rsidR="00F32772" w:rsidRPr="00F551C4" w:rsidRDefault="00F32772" w:rsidP="00E03AD9">
      <w:pPr>
        <w:pStyle w:val="a3"/>
        <w:spacing w:line="216" w:lineRule="auto"/>
        <w:jc w:val="both"/>
        <w:rPr>
          <w:rFonts w:ascii="Times New Roman" w:hAnsi="Times New Roman" w:cs="Times New Roman"/>
        </w:rPr>
      </w:pPr>
      <w:r w:rsidRPr="00F551C4">
        <w:rPr>
          <w:rStyle w:val="a5"/>
          <w:rFonts w:ascii="Times New Roman" w:hAnsi="Times New Roman" w:cs="Times New Roman"/>
        </w:rPr>
        <w:footnoteRef/>
      </w:r>
      <w:r w:rsidRPr="00F551C4">
        <w:rPr>
          <w:rFonts w:ascii="Times New Roman" w:hAnsi="Times New Roman" w:cs="Times New Roman"/>
        </w:rPr>
        <w:t xml:space="preserve"> </w:t>
      </w:r>
      <w:proofErr w:type="gramStart"/>
      <w:r w:rsidRPr="00F551C4">
        <w:rPr>
          <w:rFonts w:ascii="Times New Roman" w:hAnsi="Times New Roman" w:cs="Times New Roman"/>
        </w:rPr>
        <w:t>В соответствии с Федеральным законом от 27 ноября 2017 г. № 355-ФЗ «О внесении изменений в части первую и вторую Налогового кодекса Российской Федерации и отдельные законодательные акты Российской Федерации» налогообложение легковых автомобилей мощностью свыше 200 л.</w:t>
      </w:r>
      <w:r w:rsidR="00984B58">
        <w:rPr>
          <w:rFonts w:ascii="Times New Roman" w:hAnsi="Times New Roman" w:cs="Times New Roman"/>
        </w:rPr>
        <w:t xml:space="preserve"> </w:t>
      </w:r>
      <w:r w:rsidRPr="00F551C4">
        <w:rPr>
          <w:rFonts w:ascii="Times New Roman" w:hAnsi="Times New Roman" w:cs="Times New Roman"/>
        </w:rPr>
        <w:t>с. осуществляется по следующим налоговым ставкам: в размере 714 рублей за 1 л.</w:t>
      </w:r>
      <w:r w:rsidR="00984B58">
        <w:rPr>
          <w:rFonts w:ascii="Times New Roman" w:hAnsi="Times New Roman" w:cs="Times New Roman"/>
        </w:rPr>
        <w:t xml:space="preserve"> </w:t>
      </w:r>
      <w:r w:rsidRPr="00F551C4">
        <w:rPr>
          <w:rFonts w:ascii="Times New Roman" w:hAnsi="Times New Roman" w:cs="Times New Roman"/>
        </w:rPr>
        <w:t>с. для автомобилей с мощностью двигателя от 200 до 300 л</w:t>
      </w:r>
      <w:proofErr w:type="gramEnd"/>
      <w:r w:rsidRPr="00F551C4">
        <w:rPr>
          <w:rFonts w:ascii="Times New Roman" w:hAnsi="Times New Roman" w:cs="Times New Roman"/>
        </w:rPr>
        <w:t>.</w:t>
      </w:r>
      <w:r w:rsidR="00984B58">
        <w:rPr>
          <w:rFonts w:ascii="Times New Roman" w:hAnsi="Times New Roman" w:cs="Times New Roman"/>
        </w:rPr>
        <w:t xml:space="preserve"> </w:t>
      </w:r>
      <w:proofErr w:type="gramStart"/>
      <w:r w:rsidRPr="00F551C4">
        <w:rPr>
          <w:rFonts w:ascii="Times New Roman" w:hAnsi="Times New Roman" w:cs="Times New Roman"/>
        </w:rPr>
        <w:t>с., 1 218 рублей за 1 л.</w:t>
      </w:r>
      <w:r w:rsidR="00984B58">
        <w:rPr>
          <w:rFonts w:ascii="Times New Roman" w:hAnsi="Times New Roman" w:cs="Times New Roman"/>
        </w:rPr>
        <w:t xml:space="preserve"> </w:t>
      </w:r>
      <w:r w:rsidRPr="00F551C4">
        <w:rPr>
          <w:rFonts w:ascii="Times New Roman" w:hAnsi="Times New Roman" w:cs="Times New Roman"/>
        </w:rPr>
        <w:t>с. для автомобилей с мощностью от 300 до 400 л.</w:t>
      </w:r>
      <w:r w:rsidR="00984B58">
        <w:rPr>
          <w:rFonts w:ascii="Times New Roman" w:hAnsi="Times New Roman" w:cs="Times New Roman"/>
        </w:rPr>
        <w:t xml:space="preserve"> </w:t>
      </w:r>
      <w:r w:rsidRPr="00F551C4">
        <w:rPr>
          <w:rFonts w:ascii="Times New Roman" w:hAnsi="Times New Roman" w:cs="Times New Roman"/>
        </w:rPr>
        <w:t>с., 1 260 рублей за 1 л.</w:t>
      </w:r>
      <w:r w:rsidR="00984B58">
        <w:rPr>
          <w:rFonts w:ascii="Times New Roman" w:hAnsi="Times New Roman" w:cs="Times New Roman"/>
        </w:rPr>
        <w:t xml:space="preserve"> </w:t>
      </w:r>
      <w:r w:rsidRPr="00F551C4">
        <w:rPr>
          <w:rFonts w:ascii="Times New Roman" w:hAnsi="Times New Roman" w:cs="Times New Roman"/>
        </w:rPr>
        <w:t>с. для автомобилей с мощностью от 400 до 500 л.</w:t>
      </w:r>
      <w:r w:rsidR="00D51C35" w:rsidRPr="00D51C35">
        <w:rPr>
          <w:rFonts w:ascii="Times New Roman" w:hAnsi="Times New Roman" w:cs="Times New Roman"/>
        </w:rPr>
        <w:t xml:space="preserve"> </w:t>
      </w:r>
      <w:r w:rsidRPr="00F551C4">
        <w:rPr>
          <w:rFonts w:ascii="Times New Roman" w:hAnsi="Times New Roman" w:cs="Times New Roman"/>
        </w:rPr>
        <w:t>с., 1 302 рубля за 1 л.</w:t>
      </w:r>
      <w:r w:rsidR="00984B58">
        <w:rPr>
          <w:rFonts w:ascii="Times New Roman" w:hAnsi="Times New Roman" w:cs="Times New Roman"/>
        </w:rPr>
        <w:t xml:space="preserve"> </w:t>
      </w:r>
      <w:r w:rsidRPr="00F551C4">
        <w:rPr>
          <w:rFonts w:ascii="Times New Roman" w:hAnsi="Times New Roman" w:cs="Times New Roman"/>
        </w:rPr>
        <w:t>с. для автомобилей с мощностью свыше 500 л.</w:t>
      </w:r>
      <w:r w:rsidR="00D51C35" w:rsidRPr="00D51C35">
        <w:rPr>
          <w:rFonts w:ascii="Times New Roman" w:hAnsi="Times New Roman" w:cs="Times New Roman"/>
        </w:rPr>
        <w:t xml:space="preserve"> </w:t>
      </w:r>
      <w:r w:rsidRPr="00F551C4">
        <w:rPr>
          <w:rFonts w:ascii="Times New Roman" w:hAnsi="Times New Roman" w:cs="Times New Roman"/>
        </w:rPr>
        <w:t>с. В 2017 году в отношении автомобилей с мощностью двигателя свыше</w:t>
      </w:r>
      <w:proofErr w:type="gramEnd"/>
      <w:r w:rsidRPr="00F551C4">
        <w:rPr>
          <w:rFonts w:ascii="Times New Roman" w:hAnsi="Times New Roman" w:cs="Times New Roman"/>
        </w:rPr>
        <w:t xml:space="preserve"> 150 л.</w:t>
      </w:r>
      <w:r w:rsidR="00984B58">
        <w:rPr>
          <w:rFonts w:ascii="Times New Roman" w:hAnsi="Times New Roman" w:cs="Times New Roman"/>
        </w:rPr>
        <w:t xml:space="preserve"> </w:t>
      </w:r>
      <w:r w:rsidRPr="00F551C4">
        <w:rPr>
          <w:rFonts w:ascii="Times New Roman" w:hAnsi="Times New Roman" w:cs="Times New Roman"/>
        </w:rPr>
        <w:t>с. была установлена с</w:t>
      </w:r>
      <w:r w:rsidR="00D51C35">
        <w:rPr>
          <w:rFonts w:ascii="Times New Roman" w:hAnsi="Times New Roman" w:cs="Times New Roman"/>
        </w:rPr>
        <w:t>тавка в размере 420 рублей за 1</w:t>
      </w:r>
      <w:r w:rsidR="00D51C35" w:rsidRPr="00D51C35">
        <w:rPr>
          <w:rFonts w:ascii="Times New Roman" w:hAnsi="Times New Roman" w:cs="Times New Roman"/>
        </w:rPr>
        <w:t xml:space="preserve"> </w:t>
      </w:r>
      <w:r w:rsidRPr="00F551C4">
        <w:rPr>
          <w:rFonts w:ascii="Times New Roman" w:hAnsi="Times New Roman" w:cs="Times New Roman"/>
        </w:rPr>
        <w:t>л.</w:t>
      </w:r>
      <w:r w:rsidR="00984B58">
        <w:rPr>
          <w:rFonts w:ascii="Times New Roman" w:hAnsi="Times New Roman" w:cs="Times New Roman"/>
        </w:rPr>
        <w:t xml:space="preserve"> </w:t>
      </w:r>
      <w:proofErr w:type="gramStart"/>
      <w:r w:rsidRPr="00F551C4">
        <w:rPr>
          <w:rFonts w:ascii="Times New Roman" w:hAnsi="Times New Roman" w:cs="Times New Roman"/>
        </w:rPr>
        <w:t>с</w:t>
      </w:r>
      <w:proofErr w:type="gramEnd"/>
      <w:r w:rsidRPr="00F551C4">
        <w:rPr>
          <w:rFonts w:ascii="Times New Roman" w:hAnsi="Times New Roman" w:cs="Times New Roman"/>
        </w:rPr>
        <w:t>.</w:t>
      </w:r>
    </w:p>
  </w:footnote>
  <w:footnote w:id="4">
    <w:p w:rsidR="00F32772" w:rsidRPr="00F551C4" w:rsidRDefault="00F32772" w:rsidP="00E03AD9">
      <w:pPr>
        <w:pStyle w:val="a3"/>
        <w:jc w:val="both"/>
        <w:rPr>
          <w:rFonts w:ascii="Times New Roman" w:hAnsi="Times New Roman" w:cs="Times New Roman"/>
        </w:rPr>
      </w:pPr>
      <w:r w:rsidRPr="00F551C4">
        <w:rPr>
          <w:rStyle w:val="a5"/>
          <w:rFonts w:ascii="Times New Roman" w:hAnsi="Times New Roman" w:cs="Times New Roman"/>
        </w:rPr>
        <w:footnoteRef/>
      </w:r>
      <w:r w:rsidRPr="00F551C4">
        <w:rPr>
          <w:rFonts w:ascii="Times New Roman" w:hAnsi="Times New Roman" w:cs="Times New Roman"/>
        </w:rPr>
        <w:t xml:space="preserve"> По данным Ассоциации европейского бизнеса (АЕБ), в 2018 году в России продано на 204 854 </w:t>
      </w:r>
      <w:proofErr w:type="gramStart"/>
      <w:r w:rsidRPr="00F551C4">
        <w:rPr>
          <w:rFonts w:ascii="Times New Roman" w:hAnsi="Times New Roman" w:cs="Times New Roman"/>
        </w:rPr>
        <w:t>новых</w:t>
      </w:r>
      <w:proofErr w:type="gramEnd"/>
      <w:r w:rsidRPr="00F551C4">
        <w:rPr>
          <w:rFonts w:ascii="Times New Roman" w:hAnsi="Times New Roman" w:cs="Times New Roman"/>
        </w:rPr>
        <w:t xml:space="preserve"> автомобиля (на 12,8</w:t>
      </w:r>
      <w:r w:rsidR="00984B58">
        <w:rPr>
          <w:rFonts w:ascii="Times New Roman" w:hAnsi="Times New Roman" w:cs="Times New Roman"/>
        </w:rPr>
        <w:t xml:space="preserve"> </w:t>
      </w:r>
      <w:r w:rsidR="00D51C35">
        <w:rPr>
          <w:rFonts w:ascii="Times New Roman" w:hAnsi="Times New Roman" w:cs="Times New Roman"/>
        </w:rPr>
        <w:t>%</w:t>
      </w:r>
      <w:r w:rsidRPr="00F551C4">
        <w:rPr>
          <w:rFonts w:ascii="Times New Roman" w:hAnsi="Times New Roman" w:cs="Times New Roman"/>
        </w:rPr>
        <w:t xml:space="preserve"> больше, чем в 2017 году</w:t>
      </w:r>
      <w:r w:rsidR="00D51C35" w:rsidRPr="00D51C35">
        <w:rPr>
          <w:rFonts w:ascii="Times New Roman" w:hAnsi="Times New Roman" w:cs="Times New Roman"/>
        </w:rPr>
        <w:t>)</w:t>
      </w:r>
      <w:r w:rsidRPr="00F551C4">
        <w:rPr>
          <w:rFonts w:ascii="Times New Roman" w:hAnsi="Times New Roman" w:cs="Times New Roman"/>
        </w:rPr>
        <w:t>.</w:t>
      </w:r>
    </w:p>
  </w:footnote>
  <w:footnote w:id="5">
    <w:p w:rsidR="00BD646F" w:rsidRPr="00F551C4" w:rsidRDefault="00BD646F" w:rsidP="00BD646F">
      <w:pPr>
        <w:pStyle w:val="a3"/>
        <w:spacing w:line="216" w:lineRule="auto"/>
        <w:jc w:val="both"/>
        <w:rPr>
          <w:rFonts w:ascii="Times New Roman" w:hAnsi="Times New Roman" w:cs="Times New Roman"/>
        </w:rPr>
      </w:pPr>
      <w:r w:rsidRPr="00F551C4">
        <w:rPr>
          <w:rStyle w:val="a5"/>
          <w:rFonts w:ascii="Times New Roman" w:hAnsi="Times New Roman" w:cs="Times New Roman"/>
        </w:rPr>
        <w:footnoteRef/>
      </w:r>
      <w:r w:rsidRPr="00F551C4">
        <w:rPr>
          <w:rFonts w:ascii="Times New Roman" w:hAnsi="Times New Roman" w:cs="Times New Roman"/>
        </w:rPr>
        <w:t xml:space="preserve"> Федеральный закон от 19 июля 2018 г. № 199-ФЗ «О внесении изменений в части первую и вторую Налогового кодекса Российской Федерации».</w:t>
      </w:r>
    </w:p>
  </w:footnote>
  <w:footnote w:id="6">
    <w:p w:rsidR="00BD646F" w:rsidRPr="00F551C4" w:rsidRDefault="00BD646F" w:rsidP="00BD646F">
      <w:pPr>
        <w:pStyle w:val="a3"/>
        <w:spacing w:line="216" w:lineRule="auto"/>
        <w:jc w:val="both"/>
        <w:rPr>
          <w:rFonts w:ascii="Times New Roman" w:hAnsi="Times New Roman" w:cs="Times New Roman"/>
        </w:rPr>
      </w:pPr>
      <w:r w:rsidRPr="00F551C4">
        <w:rPr>
          <w:rStyle w:val="a5"/>
          <w:rFonts w:ascii="Times New Roman" w:hAnsi="Times New Roman" w:cs="Times New Roman"/>
        </w:rPr>
        <w:footnoteRef/>
      </w:r>
      <w:r w:rsidRPr="00F551C4">
        <w:rPr>
          <w:rFonts w:ascii="Times New Roman" w:hAnsi="Times New Roman" w:cs="Times New Roman"/>
        </w:rPr>
        <w:t xml:space="preserve"> Федеральный закон от 19 июля 2018 г. № 222-ФЗ «О внесении изменений в Бюджетный кодекс Российской Федерации и статью 43 Федерального закона «О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w:t>
      </w:r>
    </w:p>
  </w:footnote>
  <w:footnote w:id="7">
    <w:p w:rsidR="00BD646F" w:rsidRPr="00F551C4" w:rsidRDefault="00BD646F" w:rsidP="00BD646F">
      <w:pPr>
        <w:pStyle w:val="a3"/>
        <w:spacing w:line="216" w:lineRule="auto"/>
        <w:jc w:val="both"/>
        <w:rPr>
          <w:rFonts w:ascii="Times New Roman" w:hAnsi="Times New Roman" w:cs="Times New Roman"/>
        </w:rPr>
      </w:pPr>
      <w:r w:rsidRPr="00F551C4">
        <w:rPr>
          <w:rStyle w:val="a5"/>
          <w:rFonts w:ascii="Times New Roman" w:hAnsi="Times New Roman" w:cs="Times New Roman"/>
        </w:rPr>
        <w:footnoteRef/>
      </w:r>
      <w:r w:rsidRPr="00F551C4">
        <w:rPr>
          <w:rFonts w:ascii="Times New Roman" w:hAnsi="Times New Roman" w:cs="Times New Roman"/>
        </w:rPr>
        <w:t xml:space="preserve"> </w:t>
      </w:r>
      <w:proofErr w:type="gramStart"/>
      <w:r w:rsidRPr="00F551C4">
        <w:rPr>
          <w:rFonts w:ascii="Times New Roman" w:hAnsi="Times New Roman" w:cs="Times New Roman"/>
        </w:rPr>
        <w:t xml:space="preserve">По оценке ФНС России, в результате изменения ставок акцизов на автомобильный бензин класса 5 и на дизельное топливо (с учетом их увеличения с 1 января 2018 года и снижения с 1 июня 2018 года)  в 2018 году </w:t>
      </w:r>
      <w:proofErr w:type="spellStart"/>
      <w:r w:rsidRPr="00F551C4">
        <w:rPr>
          <w:rFonts w:ascii="Times New Roman" w:hAnsi="Times New Roman" w:cs="Times New Roman"/>
        </w:rPr>
        <w:t>недопоступление</w:t>
      </w:r>
      <w:proofErr w:type="spellEnd"/>
      <w:r w:rsidRPr="00F551C4">
        <w:rPr>
          <w:rFonts w:ascii="Times New Roman" w:hAnsi="Times New Roman" w:cs="Times New Roman"/>
        </w:rPr>
        <w:t xml:space="preserve"> акцизов на автомобильный бензин класса 5 составило порядка 17 млрд. рублей, акцизов на дизельное топливо – порядка 3 млрд. рублей.</w:t>
      </w:r>
      <w:proofErr w:type="gramEnd"/>
    </w:p>
  </w:footnote>
  <w:footnote w:id="8">
    <w:p w:rsidR="00E05C07" w:rsidRPr="00F551C4" w:rsidRDefault="00E05C07" w:rsidP="00E05C07">
      <w:pPr>
        <w:pStyle w:val="a3"/>
        <w:jc w:val="both"/>
        <w:rPr>
          <w:rFonts w:ascii="Times New Roman" w:hAnsi="Times New Roman" w:cs="Times New Roman"/>
        </w:rPr>
      </w:pPr>
      <w:r w:rsidRPr="00F551C4">
        <w:rPr>
          <w:rStyle w:val="a5"/>
          <w:rFonts w:ascii="Times New Roman" w:hAnsi="Times New Roman" w:cs="Times New Roman"/>
        </w:rPr>
        <w:footnoteRef/>
      </w:r>
      <w:r w:rsidRPr="00F551C4">
        <w:rPr>
          <w:rFonts w:ascii="Times New Roman" w:hAnsi="Times New Roman" w:cs="Times New Roman"/>
        </w:rPr>
        <w:t xml:space="preserve"> По данным таможенной статистики</w:t>
      </w:r>
      <w:r w:rsidR="00765FA6">
        <w:rPr>
          <w:rFonts w:ascii="Times New Roman" w:hAnsi="Times New Roman" w:cs="Times New Roman"/>
        </w:rPr>
        <w:t>,</w:t>
      </w:r>
      <w:r w:rsidRPr="00F551C4">
        <w:rPr>
          <w:rFonts w:ascii="Times New Roman" w:hAnsi="Times New Roman" w:cs="Times New Roman"/>
        </w:rPr>
        <w:t xml:space="preserve"> объем импорта в январе</w:t>
      </w:r>
      <w:r w:rsidR="00765FA6">
        <w:rPr>
          <w:rFonts w:ascii="Times New Roman" w:hAnsi="Times New Roman" w:cs="Times New Roman"/>
        </w:rPr>
        <w:t xml:space="preserve"> </w:t>
      </w:r>
      <w:r w:rsidRPr="00F551C4">
        <w:rPr>
          <w:rFonts w:ascii="Times New Roman" w:hAnsi="Times New Roman" w:cs="Times New Roman"/>
        </w:rPr>
        <w:t>-</w:t>
      </w:r>
      <w:r w:rsidR="00765FA6">
        <w:rPr>
          <w:rFonts w:ascii="Times New Roman" w:hAnsi="Times New Roman" w:cs="Times New Roman"/>
        </w:rPr>
        <w:t xml:space="preserve"> </w:t>
      </w:r>
      <w:r w:rsidRPr="00F551C4">
        <w:rPr>
          <w:rFonts w:ascii="Times New Roman" w:hAnsi="Times New Roman" w:cs="Times New Roman"/>
        </w:rPr>
        <w:t>ноябре 2018 года составил 218,8 млрд. долларов США и увеличился по сравнению с январем</w:t>
      </w:r>
      <w:r w:rsidR="00765FA6">
        <w:rPr>
          <w:rFonts w:ascii="Times New Roman" w:hAnsi="Times New Roman" w:cs="Times New Roman"/>
        </w:rPr>
        <w:t xml:space="preserve"> </w:t>
      </w:r>
      <w:r w:rsidRPr="00F551C4">
        <w:rPr>
          <w:rFonts w:ascii="Times New Roman" w:hAnsi="Times New Roman" w:cs="Times New Roman"/>
        </w:rPr>
        <w:t>-</w:t>
      </w:r>
      <w:r w:rsidR="00765FA6">
        <w:rPr>
          <w:rFonts w:ascii="Times New Roman" w:hAnsi="Times New Roman" w:cs="Times New Roman"/>
        </w:rPr>
        <w:t xml:space="preserve"> </w:t>
      </w:r>
      <w:r w:rsidRPr="00F551C4">
        <w:rPr>
          <w:rFonts w:ascii="Times New Roman" w:hAnsi="Times New Roman" w:cs="Times New Roman"/>
        </w:rPr>
        <w:t>ноябрем 2017 года на 6,4 %.</w:t>
      </w:r>
    </w:p>
  </w:footnote>
  <w:footnote w:id="9">
    <w:p w:rsidR="00DA398C" w:rsidRPr="00F551C4" w:rsidRDefault="00DA398C" w:rsidP="00C24B32">
      <w:pPr>
        <w:pStyle w:val="a3"/>
        <w:spacing w:line="216" w:lineRule="auto"/>
        <w:jc w:val="both"/>
        <w:rPr>
          <w:rFonts w:ascii="Times New Roman" w:hAnsi="Times New Roman" w:cs="Times New Roman"/>
        </w:rPr>
      </w:pPr>
      <w:r w:rsidRPr="00F551C4">
        <w:rPr>
          <w:rStyle w:val="a5"/>
          <w:rFonts w:ascii="Times New Roman" w:hAnsi="Times New Roman" w:cs="Times New Roman"/>
        </w:rPr>
        <w:footnoteRef/>
      </w:r>
      <w:r w:rsidRPr="00F551C4">
        <w:rPr>
          <w:rFonts w:ascii="Times New Roman" w:hAnsi="Times New Roman" w:cs="Times New Roman"/>
        </w:rPr>
        <w:t xml:space="preserve"> По данным таможенной статистики, в январе</w:t>
      </w:r>
      <w:r w:rsidR="001568F1">
        <w:rPr>
          <w:rFonts w:ascii="Times New Roman" w:hAnsi="Times New Roman" w:cs="Times New Roman"/>
          <w:lang w:val="en-US"/>
        </w:rPr>
        <w:t> </w:t>
      </w:r>
      <w:r w:rsidRPr="00F551C4">
        <w:rPr>
          <w:rFonts w:ascii="Times New Roman" w:hAnsi="Times New Roman" w:cs="Times New Roman"/>
        </w:rPr>
        <w:t>-</w:t>
      </w:r>
      <w:r w:rsidR="001568F1">
        <w:rPr>
          <w:rFonts w:ascii="Times New Roman" w:hAnsi="Times New Roman" w:cs="Times New Roman"/>
          <w:lang w:val="en-US"/>
        </w:rPr>
        <w:t> </w:t>
      </w:r>
      <w:r w:rsidRPr="00F551C4">
        <w:rPr>
          <w:rFonts w:ascii="Times New Roman" w:hAnsi="Times New Roman" w:cs="Times New Roman"/>
        </w:rPr>
        <w:t>ноябре 2018 года физический объем импорта легковых автомобилей увеличился по сравнению с январем</w:t>
      </w:r>
      <w:r w:rsidR="00C24B32">
        <w:rPr>
          <w:rFonts w:ascii="Times New Roman" w:hAnsi="Times New Roman" w:cs="Times New Roman"/>
        </w:rPr>
        <w:t xml:space="preserve"> </w:t>
      </w:r>
      <w:r w:rsidRPr="00F551C4">
        <w:rPr>
          <w:rFonts w:ascii="Times New Roman" w:hAnsi="Times New Roman" w:cs="Times New Roman"/>
        </w:rPr>
        <w:t>-</w:t>
      </w:r>
      <w:r w:rsidR="00C24B32">
        <w:rPr>
          <w:rFonts w:ascii="Times New Roman" w:hAnsi="Times New Roman" w:cs="Times New Roman"/>
        </w:rPr>
        <w:t xml:space="preserve"> </w:t>
      </w:r>
      <w:r w:rsidRPr="00F551C4">
        <w:rPr>
          <w:rFonts w:ascii="Times New Roman" w:hAnsi="Times New Roman" w:cs="Times New Roman"/>
        </w:rPr>
        <w:t xml:space="preserve">ноябрем 2017 года на 12,9 %, </w:t>
      </w:r>
      <w:proofErr w:type="gramStart"/>
      <w:r w:rsidRPr="00F551C4">
        <w:rPr>
          <w:rFonts w:ascii="Times New Roman" w:hAnsi="Times New Roman" w:cs="Times New Roman"/>
        </w:rPr>
        <w:t>стоимостной</w:t>
      </w:r>
      <w:proofErr w:type="gramEnd"/>
      <w:r w:rsidRPr="00F551C4">
        <w:rPr>
          <w:rFonts w:ascii="Times New Roman" w:hAnsi="Times New Roman" w:cs="Times New Roman"/>
        </w:rPr>
        <w:t xml:space="preserve"> объем – на 9,9</w:t>
      </w:r>
      <w:r w:rsidR="001568F1">
        <w:rPr>
          <w:rFonts w:ascii="Times New Roman" w:hAnsi="Times New Roman" w:cs="Times New Roman"/>
          <w:lang w:val="en-US"/>
        </w:rPr>
        <w:t> </w:t>
      </w:r>
      <w:r w:rsidRPr="00F551C4">
        <w:rPr>
          <w:rFonts w:ascii="Times New Roman" w:hAnsi="Times New Roman" w:cs="Times New Roman"/>
        </w:rPr>
        <w:t>%.</w:t>
      </w:r>
    </w:p>
  </w:footnote>
  <w:footnote w:id="10">
    <w:p w:rsidR="00C16781" w:rsidRPr="00F551C4" w:rsidRDefault="00C16781" w:rsidP="00C24B32">
      <w:pPr>
        <w:pStyle w:val="a3"/>
        <w:jc w:val="both"/>
        <w:rPr>
          <w:rFonts w:ascii="Times New Roman" w:hAnsi="Times New Roman" w:cs="Times New Roman"/>
        </w:rPr>
      </w:pPr>
      <w:r w:rsidRPr="00F551C4">
        <w:rPr>
          <w:rStyle w:val="a5"/>
          <w:rFonts w:ascii="Times New Roman" w:hAnsi="Times New Roman" w:cs="Times New Roman"/>
        </w:rPr>
        <w:footnoteRef/>
      </w:r>
      <w:r w:rsidRPr="00F551C4">
        <w:rPr>
          <w:rFonts w:ascii="Times New Roman" w:hAnsi="Times New Roman" w:cs="Times New Roman"/>
        </w:rPr>
        <w:t xml:space="preserve"> По данным Банка России</w:t>
      </w:r>
      <w:r w:rsidR="000B66ED">
        <w:rPr>
          <w:rFonts w:ascii="Times New Roman" w:hAnsi="Times New Roman" w:cs="Times New Roman"/>
        </w:rPr>
        <w:t>,</w:t>
      </w:r>
      <w:r w:rsidRPr="00F551C4">
        <w:rPr>
          <w:rFonts w:ascii="Times New Roman" w:hAnsi="Times New Roman" w:cs="Times New Roman"/>
        </w:rPr>
        <w:t xml:space="preserve"> за январь</w:t>
      </w:r>
      <w:r w:rsidR="001568F1">
        <w:rPr>
          <w:rFonts w:ascii="Times New Roman" w:hAnsi="Times New Roman" w:cs="Times New Roman"/>
          <w:lang w:val="en-US"/>
        </w:rPr>
        <w:t> </w:t>
      </w:r>
      <w:r w:rsidRPr="00F551C4">
        <w:rPr>
          <w:rFonts w:ascii="Times New Roman" w:hAnsi="Times New Roman" w:cs="Times New Roman"/>
        </w:rPr>
        <w:t>-</w:t>
      </w:r>
      <w:r w:rsidR="001568F1">
        <w:rPr>
          <w:rFonts w:ascii="Times New Roman" w:hAnsi="Times New Roman" w:cs="Times New Roman"/>
          <w:lang w:val="en-US"/>
        </w:rPr>
        <w:t> </w:t>
      </w:r>
      <w:r w:rsidRPr="00F551C4">
        <w:rPr>
          <w:rFonts w:ascii="Times New Roman" w:hAnsi="Times New Roman" w:cs="Times New Roman"/>
        </w:rPr>
        <w:t>декабрь 2018 года средний номинальный курс доллара США по отношен</w:t>
      </w:r>
      <w:r w:rsidR="00C24B32">
        <w:rPr>
          <w:rFonts w:ascii="Times New Roman" w:hAnsi="Times New Roman" w:cs="Times New Roman"/>
        </w:rPr>
        <w:t>ию к рублю составил 62,54 рубля</w:t>
      </w:r>
      <w:r w:rsidRPr="00F551C4">
        <w:rPr>
          <w:rFonts w:ascii="Times New Roman" w:hAnsi="Times New Roman" w:cs="Times New Roman"/>
        </w:rPr>
        <w:t xml:space="preserve"> за доллар США против  58,33 рублей за доллар США в январе</w:t>
      </w:r>
      <w:r w:rsidR="00C24B32">
        <w:rPr>
          <w:rFonts w:ascii="Times New Roman" w:hAnsi="Times New Roman" w:cs="Times New Roman"/>
        </w:rPr>
        <w:t xml:space="preserve"> </w:t>
      </w:r>
      <w:r w:rsidRPr="00F551C4">
        <w:rPr>
          <w:rFonts w:ascii="Times New Roman" w:hAnsi="Times New Roman" w:cs="Times New Roman"/>
        </w:rPr>
        <w:t>-</w:t>
      </w:r>
      <w:r w:rsidR="00C24B32">
        <w:rPr>
          <w:rFonts w:ascii="Times New Roman" w:hAnsi="Times New Roman" w:cs="Times New Roman"/>
        </w:rPr>
        <w:t xml:space="preserve"> </w:t>
      </w:r>
      <w:r w:rsidRPr="00F551C4">
        <w:rPr>
          <w:rFonts w:ascii="Times New Roman" w:hAnsi="Times New Roman" w:cs="Times New Roman"/>
        </w:rPr>
        <w:t>декабре 2017 года.</w:t>
      </w:r>
    </w:p>
  </w:footnote>
  <w:footnote w:id="11">
    <w:p w:rsidR="00C16781" w:rsidRPr="00F551C4" w:rsidRDefault="00C16781" w:rsidP="00C24B32">
      <w:pPr>
        <w:pStyle w:val="a3"/>
        <w:jc w:val="both"/>
        <w:rPr>
          <w:rFonts w:ascii="Times New Roman" w:hAnsi="Times New Roman" w:cs="Times New Roman"/>
        </w:rPr>
      </w:pPr>
      <w:r w:rsidRPr="00F551C4">
        <w:rPr>
          <w:rStyle w:val="a5"/>
          <w:rFonts w:ascii="Times New Roman" w:hAnsi="Times New Roman" w:cs="Times New Roman"/>
        </w:rPr>
        <w:footnoteRef/>
      </w:r>
      <w:r w:rsidRPr="00F551C4">
        <w:rPr>
          <w:rFonts w:ascii="Times New Roman" w:hAnsi="Times New Roman" w:cs="Times New Roman"/>
        </w:rPr>
        <w:t xml:space="preserve"> В результате увеличения коэффициента </w:t>
      </w:r>
      <w:proofErr w:type="spellStart"/>
      <w:r w:rsidRPr="00F551C4">
        <w:rPr>
          <w:rFonts w:ascii="Times New Roman" w:hAnsi="Times New Roman" w:cs="Times New Roman"/>
        </w:rPr>
        <w:t>К</w:t>
      </w:r>
      <w:r w:rsidRPr="00F551C4">
        <w:rPr>
          <w:rFonts w:ascii="Times New Roman" w:hAnsi="Times New Roman" w:cs="Times New Roman"/>
          <w:vertAlign w:val="subscript"/>
        </w:rPr>
        <w:t>к</w:t>
      </w:r>
      <w:proofErr w:type="spellEnd"/>
      <w:r w:rsidRPr="00F551C4">
        <w:rPr>
          <w:rFonts w:ascii="Times New Roman" w:hAnsi="Times New Roman" w:cs="Times New Roman"/>
        </w:rPr>
        <w:t xml:space="preserve"> с 306 до 357 дополнительные поступления в 2018 году оцениваются ФНС России на сумму порядка 35,8 млрд. рублей.</w:t>
      </w:r>
    </w:p>
  </w:footnote>
  <w:footnote w:id="12">
    <w:p w:rsidR="00C16781" w:rsidRPr="00F551C4" w:rsidRDefault="00C16781" w:rsidP="00C24B32">
      <w:pPr>
        <w:pStyle w:val="a3"/>
        <w:jc w:val="both"/>
        <w:rPr>
          <w:rFonts w:ascii="Times New Roman" w:hAnsi="Times New Roman" w:cs="Times New Roman"/>
        </w:rPr>
      </w:pPr>
      <w:r w:rsidRPr="00F551C4">
        <w:rPr>
          <w:rStyle w:val="a5"/>
          <w:rFonts w:ascii="Times New Roman" w:hAnsi="Times New Roman" w:cs="Times New Roman"/>
        </w:rPr>
        <w:footnoteRef/>
      </w:r>
      <w:r w:rsidRPr="00F551C4">
        <w:rPr>
          <w:rFonts w:ascii="Times New Roman" w:hAnsi="Times New Roman" w:cs="Times New Roman"/>
        </w:rPr>
        <w:t xml:space="preserve"> По данным Росстата, темп роста объема добычи нефти (включая газовый конденсат) в январе</w:t>
      </w:r>
      <w:r w:rsidR="001568F1">
        <w:rPr>
          <w:rFonts w:ascii="Times New Roman" w:hAnsi="Times New Roman" w:cs="Times New Roman"/>
          <w:lang w:val="en-US"/>
        </w:rPr>
        <w:t> </w:t>
      </w:r>
      <w:r w:rsidRPr="00F551C4">
        <w:rPr>
          <w:rFonts w:ascii="Times New Roman" w:hAnsi="Times New Roman" w:cs="Times New Roman"/>
        </w:rPr>
        <w:t>-</w:t>
      </w:r>
      <w:r w:rsidR="001568F1">
        <w:rPr>
          <w:rFonts w:ascii="Times New Roman" w:hAnsi="Times New Roman" w:cs="Times New Roman"/>
          <w:lang w:val="en-US"/>
        </w:rPr>
        <w:t> </w:t>
      </w:r>
      <w:r w:rsidRPr="00F551C4">
        <w:rPr>
          <w:rFonts w:ascii="Times New Roman" w:hAnsi="Times New Roman" w:cs="Times New Roman"/>
        </w:rPr>
        <w:t>ноябре  2018 года к январю</w:t>
      </w:r>
      <w:r w:rsidR="001568F1">
        <w:rPr>
          <w:rFonts w:ascii="Times New Roman" w:hAnsi="Times New Roman" w:cs="Times New Roman"/>
          <w:lang w:val="en-US"/>
        </w:rPr>
        <w:t> </w:t>
      </w:r>
      <w:r w:rsidRPr="00F551C4">
        <w:rPr>
          <w:rFonts w:ascii="Times New Roman" w:hAnsi="Times New Roman" w:cs="Times New Roman"/>
        </w:rPr>
        <w:t>-</w:t>
      </w:r>
      <w:r w:rsidR="001568F1">
        <w:rPr>
          <w:rFonts w:ascii="Times New Roman" w:hAnsi="Times New Roman" w:cs="Times New Roman"/>
          <w:lang w:val="en-US"/>
        </w:rPr>
        <w:t> </w:t>
      </w:r>
      <w:r w:rsidRPr="00F551C4">
        <w:rPr>
          <w:rFonts w:ascii="Times New Roman" w:hAnsi="Times New Roman" w:cs="Times New Roman"/>
        </w:rPr>
        <w:t>ноябрю 2017 года составил 101,5 %.</w:t>
      </w:r>
    </w:p>
  </w:footnote>
  <w:footnote w:id="13">
    <w:p w:rsidR="009D3BCB" w:rsidRPr="00F551C4" w:rsidRDefault="009D3BCB" w:rsidP="00C24B32">
      <w:pPr>
        <w:pStyle w:val="a3"/>
        <w:jc w:val="both"/>
        <w:rPr>
          <w:rFonts w:ascii="Times New Roman" w:hAnsi="Times New Roman" w:cs="Times New Roman"/>
        </w:rPr>
      </w:pPr>
      <w:r w:rsidRPr="00F551C4">
        <w:rPr>
          <w:rStyle w:val="a5"/>
          <w:rFonts w:ascii="Times New Roman" w:hAnsi="Times New Roman" w:cs="Times New Roman"/>
        </w:rPr>
        <w:footnoteRef/>
      </w:r>
      <w:r w:rsidRPr="00F551C4">
        <w:rPr>
          <w:rFonts w:ascii="Times New Roman" w:hAnsi="Times New Roman" w:cs="Times New Roman"/>
        </w:rPr>
        <w:t xml:space="preserve"> По данным Росстата, темп роста объема добычи природного газа в январе</w:t>
      </w:r>
      <w:r w:rsidR="001568F1">
        <w:rPr>
          <w:rFonts w:ascii="Times New Roman" w:hAnsi="Times New Roman" w:cs="Times New Roman"/>
          <w:lang w:val="en-US"/>
        </w:rPr>
        <w:t> </w:t>
      </w:r>
      <w:r w:rsidRPr="00F551C4">
        <w:rPr>
          <w:rFonts w:ascii="Times New Roman" w:hAnsi="Times New Roman" w:cs="Times New Roman"/>
        </w:rPr>
        <w:t>-</w:t>
      </w:r>
      <w:r w:rsidR="001568F1">
        <w:rPr>
          <w:rFonts w:ascii="Times New Roman" w:hAnsi="Times New Roman" w:cs="Times New Roman"/>
          <w:lang w:val="en-US"/>
        </w:rPr>
        <w:t> </w:t>
      </w:r>
      <w:r w:rsidRPr="00F551C4">
        <w:rPr>
          <w:rFonts w:ascii="Times New Roman" w:hAnsi="Times New Roman" w:cs="Times New Roman"/>
        </w:rPr>
        <w:t>ноябре 2018 года к январю</w:t>
      </w:r>
      <w:r w:rsidR="00C24B32">
        <w:rPr>
          <w:rFonts w:ascii="Times New Roman" w:hAnsi="Times New Roman" w:cs="Times New Roman"/>
        </w:rPr>
        <w:t xml:space="preserve"> </w:t>
      </w:r>
      <w:r w:rsidRPr="00F551C4">
        <w:rPr>
          <w:rFonts w:ascii="Times New Roman" w:hAnsi="Times New Roman" w:cs="Times New Roman"/>
        </w:rPr>
        <w:t>-</w:t>
      </w:r>
      <w:r w:rsidR="00C24B32">
        <w:rPr>
          <w:rFonts w:ascii="Times New Roman" w:hAnsi="Times New Roman" w:cs="Times New Roman"/>
        </w:rPr>
        <w:t xml:space="preserve"> </w:t>
      </w:r>
      <w:r w:rsidRPr="00F551C4">
        <w:rPr>
          <w:rFonts w:ascii="Times New Roman" w:hAnsi="Times New Roman" w:cs="Times New Roman"/>
        </w:rPr>
        <w:t>ноябрю 2017  года составил 105,3 %.</w:t>
      </w:r>
    </w:p>
  </w:footnote>
  <w:footnote w:id="14">
    <w:p w:rsidR="009D3BCB" w:rsidRPr="00F551C4" w:rsidRDefault="009D3BCB" w:rsidP="00C24B32">
      <w:pPr>
        <w:spacing w:line="240" w:lineRule="auto"/>
        <w:ind w:right="-1"/>
        <w:jc w:val="both"/>
        <w:rPr>
          <w:rFonts w:ascii="Times New Roman" w:hAnsi="Times New Roman" w:cs="Times New Roman"/>
          <w:sz w:val="20"/>
          <w:szCs w:val="20"/>
        </w:rPr>
      </w:pPr>
      <w:r w:rsidRPr="00F551C4">
        <w:rPr>
          <w:rStyle w:val="a5"/>
          <w:rFonts w:ascii="Times New Roman" w:hAnsi="Times New Roman" w:cs="Times New Roman"/>
          <w:sz w:val="20"/>
          <w:szCs w:val="20"/>
        </w:rPr>
        <w:footnoteRef/>
      </w:r>
      <w:r w:rsidR="00C24B32">
        <w:rPr>
          <w:rFonts w:ascii="Times New Roman" w:hAnsi="Times New Roman" w:cs="Times New Roman"/>
          <w:sz w:val="20"/>
          <w:szCs w:val="20"/>
        </w:rPr>
        <w:t xml:space="preserve"> С 1 октября </w:t>
      </w:r>
      <w:r w:rsidRPr="00F551C4">
        <w:rPr>
          <w:rFonts w:ascii="Times New Roman" w:hAnsi="Times New Roman" w:cs="Times New Roman"/>
          <w:sz w:val="20"/>
          <w:szCs w:val="20"/>
        </w:rPr>
        <w:t xml:space="preserve"> по 31 декабря 2017 года для налогоплательщиков, являющихся в течение всего налогового периода организациями - собственниками объектов Единой системы газоснабжения и (или) организациями, в которых непосредственно и (или) косвенно участвуют собственники объектов Единой системы газоснабжения и суммарная доля такого участия составляет более 50</w:t>
      </w:r>
      <w:r w:rsidR="001568F1">
        <w:rPr>
          <w:rFonts w:ascii="Times New Roman" w:hAnsi="Times New Roman" w:cs="Times New Roman"/>
          <w:sz w:val="20"/>
          <w:szCs w:val="20"/>
          <w:lang w:val="en-US"/>
        </w:rPr>
        <w:t> </w:t>
      </w:r>
      <w:r w:rsidRPr="00F551C4">
        <w:rPr>
          <w:rFonts w:ascii="Times New Roman" w:hAnsi="Times New Roman" w:cs="Times New Roman"/>
          <w:sz w:val="20"/>
          <w:szCs w:val="20"/>
        </w:rPr>
        <w:t>%,  применялся коэффициент</w:t>
      </w:r>
      <w:r w:rsidRPr="00F551C4">
        <w:rPr>
          <w:rFonts w:ascii="Times New Roman" w:hAnsi="Times New Roman" w:cs="Times New Roman"/>
          <w:bCs/>
          <w:sz w:val="20"/>
          <w:szCs w:val="20"/>
        </w:rPr>
        <w:t xml:space="preserve"> </w:t>
      </w:r>
      <w:proofErr w:type="spellStart"/>
      <w:r w:rsidRPr="00F551C4">
        <w:rPr>
          <w:rFonts w:ascii="Times New Roman" w:hAnsi="Times New Roman" w:cs="Times New Roman"/>
          <w:bCs/>
          <w:sz w:val="20"/>
          <w:szCs w:val="20"/>
        </w:rPr>
        <w:t>К</w:t>
      </w:r>
      <w:r w:rsidRPr="00F551C4">
        <w:rPr>
          <w:rFonts w:ascii="Times New Roman" w:hAnsi="Times New Roman" w:cs="Times New Roman"/>
          <w:bCs/>
          <w:sz w:val="20"/>
          <w:szCs w:val="20"/>
          <w:vertAlign w:val="subscript"/>
        </w:rPr>
        <w:t>гп</w:t>
      </w:r>
      <w:proofErr w:type="spellEnd"/>
      <w:proofErr w:type="gramStart"/>
      <w:r w:rsidRPr="00F551C4">
        <w:rPr>
          <w:rFonts w:ascii="Times New Roman" w:hAnsi="Times New Roman" w:cs="Times New Roman"/>
          <w:sz w:val="20"/>
          <w:szCs w:val="20"/>
        </w:rPr>
        <w:t xml:space="preserve">,, </w:t>
      </w:r>
      <w:proofErr w:type="gramEnd"/>
      <w:r w:rsidRPr="00F551C4">
        <w:rPr>
          <w:rFonts w:ascii="Times New Roman" w:hAnsi="Times New Roman" w:cs="Times New Roman"/>
          <w:sz w:val="20"/>
          <w:szCs w:val="20"/>
        </w:rPr>
        <w:t>равный 2,2738. К</w:t>
      </w:r>
      <w:r w:rsidRPr="00F551C4">
        <w:rPr>
          <w:rFonts w:ascii="Times New Roman" w:hAnsi="Times New Roman" w:cs="Times New Roman"/>
          <w:bCs/>
          <w:sz w:val="20"/>
          <w:szCs w:val="20"/>
        </w:rPr>
        <w:t xml:space="preserve">оэффициент </w:t>
      </w:r>
      <w:proofErr w:type="spellStart"/>
      <w:r w:rsidRPr="00F551C4">
        <w:rPr>
          <w:rFonts w:ascii="Times New Roman" w:hAnsi="Times New Roman" w:cs="Times New Roman"/>
          <w:bCs/>
          <w:sz w:val="20"/>
          <w:szCs w:val="20"/>
        </w:rPr>
        <w:t>К</w:t>
      </w:r>
      <w:r w:rsidRPr="00F551C4">
        <w:rPr>
          <w:rFonts w:ascii="Times New Roman" w:hAnsi="Times New Roman" w:cs="Times New Roman"/>
          <w:bCs/>
          <w:sz w:val="20"/>
          <w:szCs w:val="20"/>
          <w:vertAlign w:val="subscript"/>
        </w:rPr>
        <w:t>гп</w:t>
      </w:r>
      <w:proofErr w:type="spellEnd"/>
      <w:r w:rsidRPr="00F551C4">
        <w:rPr>
          <w:rFonts w:ascii="Times New Roman" w:hAnsi="Times New Roman" w:cs="Times New Roman"/>
          <w:sz w:val="20"/>
          <w:szCs w:val="20"/>
        </w:rPr>
        <w:t xml:space="preserve"> на 2018 год был установлен с 1 января по 31 августа 2018 года равным 1,4022, а с 1 сентября 2018 года по 31 декабря 2018 г</w:t>
      </w:r>
      <w:r w:rsidR="00C24B32">
        <w:rPr>
          <w:rFonts w:ascii="Times New Roman" w:hAnsi="Times New Roman" w:cs="Times New Roman"/>
          <w:sz w:val="20"/>
          <w:szCs w:val="20"/>
        </w:rPr>
        <w:t xml:space="preserve">ода </w:t>
      </w:r>
      <w:r w:rsidRPr="00F551C4">
        <w:rPr>
          <w:rFonts w:ascii="Times New Roman" w:hAnsi="Times New Roman" w:cs="Times New Roman"/>
          <w:sz w:val="20"/>
          <w:szCs w:val="20"/>
        </w:rPr>
        <w:t xml:space="preserve"> – 2,055. В 2016 году и январе</w:t>
      </w:r>
      <w:r w:rsidR="00C24B32">
        <w:rPr>
          <w:rFonts w:ascii="Times New Roman" w:hAnsi="Times New Roman" w:cs="Times New Roman"/>
          <w:sz w:val="20"/>
          <w:szCs w:val="20"/>
        </w:rPr>
        <w:t xml:space="preserve"> </w:t>
      </w:r>
      <w:r w:rsidRPr="00F551C4">
        <w:rPr>
          <w:rFonts w:ascii="Times New Roman" w:hAnsi="Times New Roman" w:cs="Times New Roman"/>
          <w:sz w:val="20"/>
          <w:szCs w:val="20"/>
        </w:rPr>
        <w:t>-</w:t>
      </w:r>
      <w:r w:rsidR="00C24B32">
        <w:rPr>
          <w:rFonts w:ascii="Times New Roman" w:hAnsi="Times New Roman" w:cs="Times New Roman"/>
          <w:sz w:val="20"/>
          <w:szCs w:val="20"/>
        </w:rPr>
        <w:t xml:space="preserve"> </w:t>
      </w:r>
      <w:r w:rsidRPr="00F551C4">
        <w:rPr>
          <w:rFonts w:ascii="Times New Roman" w:hAnsi="Times New Roman" w:cs="Times New Roman"/>
          <w:sz w:val="20"/>
          <w:szCs w:val="20"/>
        </w:rPr>
        <w:t xml:space="preserve">сентябре 2017 года коэффициент </w:t>
      </w:r>
      <w:proofErr w:type="spellStart"/>
      <w:r w:rsidRPr="00F551C4">
        <w:rPr>
          <w:rFonts w:ascii="Times New Roman" w:hAnsi="Times New Roman" w:cs="Times New Roman"/>
          <w:bCs/>
          <w:sz w:val="20"/>
          <w:szCs w:val="20"/>
        </w:rPr>
        <w:t>К</w:t>
      </w:r>
      <w:r w:rsidRPr="00F551C4">
        <w:rPr>
          <w:rFonts w:ascii="Times New Roman" w:hAnsi="Times New Roman" w:cs="Times New Roman"/>
          <w:bCs/>
          <w:sz w:val="20"/>
          <w:szCs w:val="20"/>
          <w:vertAlign w:val="subscript"/>
        </w:rPr>
        <w:t>гп</w:t>
      </w:r>
      <w:proofErr w:type="spellEnd"/>
      <w:r w:rsidRPr="00F551C4">
        <w:rPr>
          <w:rFonts w:ascii="Times New Roman" w:hAnsi="Times New Roman" w:cs="Times New Roman"/>
          <w:sz w:val="20"/>
          <w:szCs w:val="20"/>
        </w:rPr>
        <w:t xml:space="preserve"> б</w:t>
      </w:r>
      <w:r w:rsidR="00C24B32">
        <w:rPr>
          <w:rFonts w:ascii="Times New Roman" w:hAnsi="Times New Roman" w:cs="Times New Roman"/>
          <w:sz w:val="20"/>
          <w:szCs w:val="20"/>
        </w:rPr>
        <w:t xml:space="preserve">ыл установлен равным 1 и 1,7969 </w:t>
      </w:r>
      <w:r w:rsidRPr="00F551C4">
        <w:rPr>
          <w:rFonts w:ascii="Times New Roman" w:hAnsi="Times New Roman" w:cs="Times New Roman"/>
          <w:sz w:val="20"/>
          <w:szCs w:val="20"/>
        </w:rPr>
        <w:t>соответственно.</w:t>
      </w:r>
    </w:p>
  </w:footnote>
  <w:footnote w:id="15">
    <w:p w:rsidR="0078278A" w:rsidRPr="00F551C4" w:rsidRDefault="0078278A" w:rsidP="0078278A">
      <w:pPr>
        <w:pStyle w:val="a3"/>
        <w:jc w:val="both"/>
        <w:rPr>
          <w:rFonts w:ascii="Times New Roman" w:hAnsi="Times New Roman" w:cs="Times New Roman"/>
        </w:rPr>
      </w:pPr>
      <w:r w:rsidRPr="00F551C4">
        <w:rPr>
          <w:rStyle w:val="a5"/>
          <w:rFonts w:ascii="Times New Roman" w:hAnsi="Times New Roman" w:cs="Times New Roman"/>
        </w:rPr>
        <w:footnoteRef/>
      </w:r>
      <w:r w:rsidRPr="00F551C4">
        <w:rPr>
          <w:rFonts w:ascii="Times New Roman" w:hAnsi="Times New Roman" w:cs="Times New Roman"/>
        </w:rPr>
        <w:t xml:space="preserve"> По данным Росстата, темп роста производства легковых автомобилей в январе</w:t>
      </w:r>
      <w:r w:rsidR="00DC029A">
        <w:rPr>
          <w:rFonts w:ascii="Times New Roman" w:hAnsi="Times New Roman" w:cs="Times New Roman"/>
        </w:rPr>
        <w:t> </w:t>
      </w:r>
      <w:r w:rsidRPr="00F551C4">
        <w:rPr>
          <w:rFonts w:ascii="Times New Roman" w:hAnsi="Times New Roman" w:cs="Times New Roman"/>
        </w:rPr>
        <w:t>-</w:t>
      </w:r>
      <w:r w:rsidR="00DC029A">
        <w:rPr>
          <w:rFonts w:ascii="Times New Roman" w:hAnsi="Times New Roman" w:cs="Times New Roman"/>
        </w:rPr>
        <w:t> </w:t>
      </w:r>
      <w:r w:rsidRPr="00F551C4">
        <w:rPr>
          <w:rFonts w:ascii="Times New Roman" w:hAnsi="Times New Roman" w:cs="Times New Roman"/>
        </w:rPr>
        <w:t>ноябре 2018 года составил 115,1 % к январю</w:t>
      </w:r>
      <w:r w:rsidR="00DC029A">
        <w:rPr>
          <w:rFonts w:ascii="Times New Roman" w:hAnsi="Times New Roman" w:cs="Times New Roman"/>
        </w:rPr>
        <w:t> </w:t>
      </w:r>
      <w:r w:rsidRPr="00F551C4">
        <w:rPr>
          <w:rFonts w:ascii="Times New Roman" w:hAnsi="Times New Roman" w:cs="Times New Roman"/>
        </w:rPr>
        <w:t>-</w:t>
      </w:r>
      <w:r w:rsidR="00DC029A">
        <w:rPr>
          <w:rFonts w:ascii="Times New Roman" w:hAnsi="Times New Roman" w:cs="Times New Roman"/>
        </w:rPr>
        <w:t> </w:t>
      </w:r>
      <w:r w:rsidRPr="00F551C4">
        <w:rPr>
          <w:rFonts w:ascii="Times New Roman" w:hAnsi="Times New Roman" w:cs="Times New Roman"/>
        </w:rPr>
        <w:t>ноябрю 2017 года. По данным таможенной статистики, за январь</w:t>
      </w:r>
      <w:r w:rsidR="00DC029A">
        <w:rPr>
          <w:rFonts w:ascii="Times New Roman" w:hAnsi="Times New Roman" w:cs="Times New Roman"/>
        </w:rPr>
        <w:t> </w:t>
      </w:r>
      <w:r w:rsidRPr="00F551C4">
        <w:rPr>
          <w:rFonts w:ascii="Times New Roman" w:hAnsi="Times New Roman" w:cs="Times New Roman"/>
        </w:rPr>
        <w:t>-</w:t>
      </w:r>
      <w:r w:rsidR="00DC029A">
        <w:rPr>
          <w:rFonts w:ascii="Times New Roman" w:hAnsi="Times New Roman" w:cs="Times New Roman"/>
        </w:rPr>
        <w:t> </w:t>
      </w:r>
      <w:r w:rsidRPr="00F551C4">
        <w:rPr>
          <w:rFonts w:ascii="Times New Roman" w:hAnsi="Times New Roman" w:cs="Times New Roman"/>
        </w:rPr>
        <w:t>ноябрь 2018 года темп роста физического объема импорта легковых автомобилей составил 112,9 %, стоимостного объема – 109,9</w:t>
      </w:r>
      <w:r w:rsidR="00534466">
        <w:rPr>
          <w:rFonts w:ascii="Times New Roman" w:hAnsi="Times New Roman" w:cs="Times New Roman"/>
        </w:rPr>
        <w:t xml:space="preserve"> </w:t>
      </w:r>
      <w:r w:rsidRPr="00F551C4">
        <w:rPr>
          <w:rFonts w:ascii="Times New Roman" w:hAnsi="Times New Roman" w:cs="Times New Roman"/>
        </w:rPr>
        <w:t>%.</w:t>
      </w:r>
    </w:p>
  </w:footnote>
  <w:footnote w:id="16">
    <w:p w:rsidR="0078278A" w:rsidRPr="00F551C4" w:rsidRDefault="0078278A" w:rsidP="0078278A">
      <w:pPr>
        <w:pStyle w:val="a3"/>
        <w:jc w:val="both"/>
        <w:rPr>
          <w:rFonts w:ascii="Times New Roman" w:hAnsi="Times New Roman" w:cs="Times New Roman"/>
        </w:rPr>
      </w:pPr>
      <w:r w:rsidRPr="00F551C4">
        <w:rPr>
          <w:rStyle w:val="a5"/>
          <w:rFonts w:ascii="Times New Roman" w:hAnsi="Times New Roman" w:cs="Times New Roman"/>
        </w:rPr>
        <w:footnoteRef/>
      </w:r>
      <w:r w:rsidRPr="00F551C4">
        <w:rPr>
          <w:rFonts w:ascii="Times New Roman" w:hAnsi="Times New Roman" w:cs="Times New Roman"/>
        </w:rPr>
        <w:t xml:space="preserve"> Постановление Правительства Российской Федерации от 19 марта 2018 г. № 300 «О внесении изменений в перечень видов и категорий транспортных средств (шасси) и прицепов к ним, в отношении которых уплачивается утилизационный сбор, а также размеров утилизационного сбора».</w:t>
      </w:r>
    </w:p>
  </w:footnote>
  <w:footnote w:id="17">
    <w:p w:rsidR="0078278A" w:rsidRPr="00F551C4" w:rsidRDefault="0078278A" w:rsidP="0078278A">
      <w:pPr>
        <w:pStyle w:val="a3"/>
        <w:jc w:val="both"/>
        <w:rPr>
          <w:rFonts w:ascii="Times New Roman" w:hAnsi="Times New Roman" w:cs="Times New Roman"/>
        </w:rPr>
      </w:pPr>
      <w:r w:rsidRPr="00F551C4">
        <w:rPr>
          <w:rStyle w:val="a5"/>
          <w:rFonts w:ascii="Times New Roman" w:hAnsi="Times New Roman" w:cs="Times New Roman"/>
        </w:rPr>
        <w:footnoteRef/>
      </w:r>
      <w:r w:rsidRPr="00F551C4">
        <w:rPr>
          <w:rFonts w:ascii="Times New Roman" w:hAnsi="Times New Roman" w:cs="Times New Roman"/>
        </w:rPr>
        <w:t xml:space="preserve"> Постановление Правительства Российской Федерации  от 31 мая 2018 г. № 639 «О внесении изменений в постановление Правительства Российской Федерации от 6 февраля 2016 г. № 81».</w:t>
      </w:r>
    </w:p>
  </w:footnote>
  <w:footnote w:id="18">
    <w:p w:rsidR="00F32772" w:rsidRPr="00F551C4" w:rsidRDefault="00F32772" w:rsidP="007A14C8">
      <w:pPr>
        <w:pStyle w:val="a3"/>
        <w:jc w:val="both"/>
        <w:rPr>
          <w:rFonts w:ascii="Times New Roman" w:hAnsi="Times New Roman" w:cs="Times New Roman"/>
        </w:rPr>
      </w:pPr>
      <w:r w:rsidRPr="00F551C4">
        <w:rPr>
          <w:rStyle w:val="a5"/>
          <w:rFonts w:ascii="Times New Roman" w:hAnsi="Times New Roman" w:cs="Times New Roman"/>
        </w:rPr>
        <w:footnoteRef/>
      </w:r>
      <w:r w:rsidRPr="00F551C4">
        <w:rPr>
          <w:rFonts w:ascii="Times New Roman" w:hAnsi="Times New Roman" w:cs="Times New Roman"/>
        </w:rPr>
        <w:t xml:space="preserve"> Постановление Правительств Российской Федерации от  31 января 2017 г. № 120 «О внесении изменений в пункт 2 постановления Правительства Российской Федерации от 3</w:t>
      </w:r>
      <w:r>
        <w:rPr>
          <w:rFonts w:ascii="Times New Roman" w:hAnsi="Times New Roman" w:cs="Times New Roman"/>
        </w:rPr>
        <w:t> </w:t>
      </w:r>
      <w:r w:rsidRPr="00F551C4">
        <w:rPr>
          <w:rFonts w:ascii="Times New Roman" w:hAnsi="Times New Roman" w:cs="Times New Roman"/>
        </w:rPr>
        <w:t>ноября 2015 г. № 1191».</w:t>
      </w:r>
    </w:p>
  </w:footnote>
  <w:footnote w:id="19">
    <w:p w:rsidR="00F32772" w:rsidRPr="00F551C4" w:rsidRDefault="00F32772" w:rsidP="007A14C8">
      <w:pPr>
        <w:pStyle w:val="a3"/>
        <w:jc w:val="both"/>
        <w:rPr>
          <w:rFonts w:ascii="Times New Roman" w:hAnsi="Times New Roman" w:cs="Times New Roman"/>
        </w:rPr>
      </w:pPr>
      <w:r w:rsidRPr="00F551C4">
        <w:rPr>
          <w:rStyle w:val="a5"/>
          <w:rFonts w:ascii="Times New Roman" w:hAnsi="Times New Roman" w:cs="Times New Roman"/>
        </w:rPr>
        <w:footnoteRef/>
      </w:r>
      <w:r w:rsidRPr="00F551C4">
        <w:rPr>
          <w:rFonts w:ascii="Times New Roman" w:hAnsi="Times New Roman" w:cs="Times New Roman"/>
        </w:rPr>
        <w:t xml:space="preserve"> Установлен постановлением Правительства Российской Федерации от 14 июня 2013 г. № 504 «О взимании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footnote>
  <w:footnote w:id="20">
    <w:p w:rsidR="00F32772" w:rsidRPr="00F551C4" w:rsidRDefault="00F32772" w:rsidP="007A14C8">
      <w:pPr>
        <w:pStyle w:val="a3"/>
        <w:jc w:val="both"/>
        <w:rPr>
          <w:rFonts w:ascii="Times New Roman" w:hAnsi="Times New Roman" w:cs="Times New Roman"/>
        </w:rPr>
      </w:pPr>
      <w:r w:rsidRPr="00F551C4">
        <w:rPr>
          <w:rStyle w:val="a5"/>
          <w:rFonts w:ascii="Times New Roman" w:hAnsi="Times New Roman" w:cs="Times New Roman"/>
        </w:rPr>
        <w:footnoteRef/>
      </w:r>
      <w:r w:rsidRPr="00F551C4">
        <w:rPr>
          <w:rFonts w:ascii="Times New Roman" w:hAnsi="Times New Roman" w:cs="Times New Roman"/>
        </w:rPr>
        <w:t xml:space="preserve"> Постановление Правительства Российской Федерации  от 27 февраля 2016 г. № 139 «О внесении изменения в постановление Правительства Российской Федерации от 3</w:t>
      </w:r>
      <w:r>
        <w:rPr>
          <w:rFonts w:ascii="Times New Roman" w:hAnsi="Times New Roman" w:cs="Times New Roman"/>
        </w:rPr>
        <w:t> </w:t>
      </w:r>
      <w:r w:rsidRPr="00F551C4">
        <w:rPr>
          <w:rFonts w:ascii="Times New Roman" w:hAnsi="Times New Roman" w:cs="Times New Roman"/>
        </w:rPr>
        <w:t>ноября 2015 г. №  1191».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1331825"/>
      <w:docPartObj>
        <w:docPartGallery w:val="Page Numbers (Top of Page)"/>
        <w:docPartUnique/>
      </w:docPartObj>
    </w:sdtPr>
    <w:sdtEndPr>
      <w:rPr>
        <w:rFonts w:ascii="Times New Roman" w:hAnsi="Times New Roman" w:cs="Times New Roman"/>
      </w:rPr>
    </w:sdtEndPr>
    <w:sdtContent>
      <w:p w:rsidR="00CB296A" w:rsidRPr="00BF6768" w:rsidRDefault="00CB296A">
        <w:pPr>
          <w:pStyle w:val="a6"/>
          <w:jc w:val="center"/>
          <w:rPr>
            <w:rFonts w:ascii="Times New Roman" w:hAnsi="Times New Roman" w:cs="Times New Roman"/>
          </w:rPr>
        </w:pPr>
        <w:r w:rsidRPr="00BF6768">
          <w:rPr>
            <w:rFonts w:ascii="Times New Roman" w:hAnsi="Times New Roman" w:cs="Times New Roman"/>
          </w:rPr>
          <w:fldChar w:fldCharType="begin"/>
        </w:r>
        <w:r w:rsidRPr="00BF6768">
          <w:rPr>
            <w:rFonts w:ascii="Times New Roman" w:hAnsi="Times New Roman" w:cs="Times New Roman"/>
          </w:rPr>
          <w:instrText>PAGE   \* MERGEFORMAT</w:instrText>
        </w:r>
        <w:r w:rsidRPr="00BF6768">
          <w:rPr>
            <w:rFonts w:ascii="Times New Roman" w:hAnsi="Times New Roman" w:cs="Times New Roman"/>
          </w:rPr>
          <w:fldChar w:fldCharType="separate"/>
        </w:r>
        <w:r w:rsidR="004961E2">
          <w:rPr>
            <w:rFonts w:ascii="Times New Roman" w:hAnsi="Times New Roman" w:cs="Times New Roman"/>
            <w:noProof/>
          </w:rPr>
          <w:t>6</w:t>
        </w:r>
        <w:r w:rsidRPr="00BF6768">
          <w:rPr>
            <w:rFonts w:ascii="Times New Roman" w:hAnsi="Times New Roman" w:cs="Times New Roman"/>
          </w:rPr>
          <w:fldChar w:fldCharType="end"/>
        </w:r>
      </w:p>
    </w:sdtContent>
  </w:sdt>
  <w:p w:rsidR="00CB296A" w:rsidRDefault="00CB296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A95354"/>
    <w:multiLevelType w:val="hybridMultilevel"/>
    <w:tmpl w:val="B50C4508"/>
    <w:lvl w:ilvl="0" w:tplc="ED1A9B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1C4"/>
    <w:rsid w:val="000024CF"/>
    <w:rsid w:val="00014C89"/>
    <w:rsid w:val="000227C0"/>
    <w:rsid w:val="000328C0"/>
    <w:rsid w:val="00043BC3"/>
    <w:rsid w:val="00051DE9"/>
    <w:rsid w:val="00053A24"/>
    <w:rsid w:val="000614EB"/>
    <w:rsid w:val="000863B7"/>
    <w:rsid w:val="000969D5"/>
    <w:rsid w:val="00096A83"/>
    <w:rsid w:val="000A0593"/>
    <w:rsid w:val="000A0CB7"/>
    <w:rsid w:val="000B66ED"/>
    <w:rsid w:val="000C2E88"/>
    <w:rsid w:val="0010766D"/>
    <w:rsid w:val="00147B35"/>
    <w:rsid w:val="001568F1"/>
    <w:rsid w:val="001573CE"/>
    <w:rsid w:val="00157F81"/>
    <w:rsid w:val="00180F58"/>
    <w:rsid w:val="001A247E"/>
    <w:rsid w:val="001B09F5"/>
    <w:rsid w:val="001F4618"/>
    <w:rsid w:val="002102E1"/>
    <w:rsid w:val="00226FF6"/>
    <w:rsid w:val="002532C8"/>
    <w:rsid w:val="002545C7"/>
    <w:rsid w:val="0025668A"/>
    <w:rsid w:val="00266091"/>
    <w:rsid w:val="0029011C"/>
    <w:rsid w:val="002A0E50"/>
    <w:rsid w:val="002A5C76"/>
    <w:rsid w:val="00327D44"/>
    <w:rsid w:val="00342996"/>
    <w:rsid w:val="003644AF"/>
    <w:rsid w:val="003A0221"/>
    <w:rsid w:val="003E59F6"/>
    <w:rsid w:val="003E6F70"/>
    <w:rsid w:val="004162EB"/>
    <w:rsid w:val="00454023"/>
    <w:rsid w:val="004961E2"/>
    <w:rsid w:val="004A0DC5"/>
    <w:rsid w:val="004B5F4F"/>
    <w:rsid w:val="004C2809"/>
    <w:rsid w:val="004D2994"/>
    <w:rsid w:val="004D3D0B"/>
    <w:rsid w:val="004E4C31"/>
    <w:rsid w:val="00525E96"/>
    <w:rsid w:val="00534466"/>
    <w:rsid w:val="0055280C"/>
    <w:rsid w:val="005A1BCE"/>
    <w:rsid w:val="00600D47"/>
    <w:rsid w:val="006060F2"/>
    <w:rsid w:val="006162AC"/>
    <w:rsid w:val="00634E0F"/>
    <w:rsid w:val="00645D1C"/>
    <w:rsid w:val="006709F5"/>
    <w:rsid w:val="00682EC6"/>
    <w:rsid w:val="00683CBD"/>
    <w:rsid w:val="006E55FA"/>
    <w:rsid w:val="006F2E70"/>
    <w:rsid w:val="006F79C2"/>
    <w:rsid w:val="00701E1F"/>
    <w:rsid w:val="0071146B"/>
    <w:rsid w:val="00740406"/>
    <w:rsid w:val="00765FA6"/>
    <w:rsid w:val="0078278A"/>
    <w:rsid w:val="00797CA5"/>
    <w:rsid w:val="007A1431"/>
    <w:rsid w:val="007A14C8"/>
    <w:rsid w:val="007C0372"/>
    <w:rsid w:val="007C06CD"/>
    <w:rsid w:val="007C2475"/>
    <w:rsid w:val="007C7A24"/>
    <w:rsid w:val="007E21B4"/>
    <w:rsid w:val="007E4632"/>
    <w:rsid w:val="007F5173"/>
    <w:rsid w:val="008029F0"/>
    <w:rsid w:val="00805D31"/>
    <w:rsid w:val="00813B12"/>
    <w:rsid w:val="008723A1"/>
    <w:rsid w:val="008D3B14"/>
    <w:rsid w:val="008F1461"/>
    <w:rsid w:val="008F1AF4"/>
    <w:rsid w:val="008F50BD"/>
    <w:rsid w:val="008F7059"/>
    <w:rsid w:val="00915B49"/>
    <w:rsid w:val="00927DF2"/>
    <w:rsid w:val="0093378E"/>
    <w:rsid w:val="00956572"/>
    <w:rsid w:val="00970AA9"/>
    <w:rsid w:val="00984B58"/>
    <w:rsid w:val="009A2473"/>
    <w:rsid w:val="009A4607"/>
    <w:rsid w:val="009C2563"/>
    <w:rsid w:val="009D3BCB"/>
    <w:rsid w:val="009E7C8A"/>
    <w:rsid w:val="009F1FF3"/>
    <w:rsid w:val="009F2AED"/>
    <w:rsid w:val="00A03D35"/>
    <w:rsid w:val="00A3337A"/>
    <w:rsid w:val="00A3395A"/>
    <w:rsid w:val="00A34F91"/>
    <w:rsid w:val="00A40D85"/>
    <w:rsid w:val="00A433E7"/>
    <w:rsid w:val="00A47A23"/>
    <w:rsid w:val="00A55F21"/>
    <w:rsid w:val="00A73857"/>
    <w:rsid w:val="00AC2C09"/>
    <w:rsid w:val="00AD2B96"/>
    <w:rsid w:val="00AD40F4"/>
    <w:rsid w:val="00AE1F7B"/>
    <w:rsid w:val="00B062B6"/>
    <w:rsid w:val="00B22B58"/>
    <w:rsid w:val="00B40E40"/>
    <w:rsid w:val="00B84208"/>
    <w:rsid w:val="00BD399E"/>
    <w:rsid w:val="00BD646F"/>
    <w:rsid w:val="00BF327A"/>
    <w:rsid w:val="00BF6768"/>
    <w:rsid w:val="00C16781"/>
    <w:rsid w:val="00C24B32"/>
    <w:rsid w:val="00C46CDB"/>
    <w:rsid w:val="00C706E5"/>
    <w:rsid w:val="00C812DA"/>
    <w:rsid w:val="00C93309"/>
    <w:rsid w:val="00C95FE7"/>
    <w:rsid w:val="00CB296A"/>
    <w:rsid w:val="00CD7D52"/>
    <w:rsid w:val="00CE4EBF"/>
    <w:rsid w:val="00D0525D"/>
    <w:rsid w:val="00D34C81"/>
    <w:rsid w:val="00D35518"/>
    <w:rsid w:val="00D51C35"/>
    <w:rsid w:val="00D6564D"/>
    <w:rsid w:val="00D84C6F"/>
    <w:rsid w:val="00D9394E"/>
    <w:rsid w:val="00D9462C"/>
    <w:rsid w:val="00D96082"/>
    <w:rsid w:val="00DA222B"/>
    <w:rsid w:val="00DA398C"/>
    <w:rsid w:val="00DC029A"/>
    <w:rsid w:val="00DD6377"/>
    <w:rsid w:val="00E00EDB"/>
    <w:rsid w:val="00E03AD9"/>
    <w:rsid w:val="00E05C07"/>
    <w:rsid w:val="00E23B02"/>
    <w:rsid w:val="00E268E1"/>
    <w:rsid w:val="00E735F4"/>
    <w:rsid w:val="00E972C3"/>
    <w:rsid w:val="00EA490F"/>
    <w:rsid w:val="00EB4617"/>
    <w:rsid w:val="00EC49C6"/>
    <w:rsid w:val="00EE49CC"/>
    <w:rsid w:val="00EE5FD7"/>
    <w:rsid w:val="00EF7B66"/>
    <w:rsid w:val="00F14150"/>
    <w:rsid w:val="00F20E43"/>
    <w:rsid w:val="00F25D32"/>
    <w:rsid w:val="00F32772"/>
    <w:rsid w:val="00F473C0"/>
    <w:rsid w:val="00F551C4"/>
    <w:rsid w:val="00F55CDE"/>
    <w:rsid w:val="00F73E1D"/>
    <w:rsid w:val="00F83000"/>
    <w:rsid w:val="00FC6C72"/>
    <w:rsid w:val="00FF4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551C4"/>
    <w:pPr>
      <w:spacing w:after="0" w:line="240" w:lineRule="auto"/>
    </w:pPr>
    <w:rPr>
      <w:sz w:val="20"/>
      <w:szCs w:val="20"/>
    </w:rPr>
  </w:style>
  <w:style w:type="character" w:customStyle="1" w:styleId="a4">
    <w:name w:val="Текст сноски Знак"/>
    <w:basedOn w:val="a0"/>
    <w:link w:val="a3"/>
    <w:uiPriority w:val="99"/>
    <w:semiHidden/>
    <w:rsid w:val="00F551C4"/>
    <w:rPr>
      <w:sz w:val="20"/>
      <w:szCs w:val="20"/>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iPriority w:val="99"/>
    <w:unhideWhenUsed/>
    <w:qFormat/>
    <w:rsid w:val="00F551C4"/>
    <w:rPr>
      <w:vertAlign w:val="superscript"/>
    </w:rPr>
  </w:style>
  <w:style w:type="paragraph" w:styleId="a6">
    <w:name w:val="header"/>
    <w:basedOn w:val="a"/>
    <w:link w:val="a7"/>
    <w:uiPriority w:val="99"/>
    <w:unhideWhenUsed/>
    <w:rsid w:val="00BF676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F6768"/>
  </w:style>
  <w:style w:type="paragraph" w:styleId="a8">
    <w:name w:val="footer"/>
    <w:basedOn w:val="a"/>
    <w:link w:val="a9"/>
    <w:uiPriority w:val="99"/>
    <w:unhideWhenUsed/>
    <w:rsid w:val="00BF676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F6768"/>
  </w:style>
  <w:style w:type="paragraph" w:styleId="aa">
    <w:name w:val="List Paragraph"/>
    <w:basedOn w:val="a"/>
    <w:uiPriority w:val="34"/>
    <w:qFormat/>
    <w:rsid w:val="00B062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551C4"/>
    <w:pPr>
      <w:spacing w:after="0" w:line="240" w:lineRule="auto"/>
    </w:pPr>
    <w:rPr>
      <w:sz w:val="20"/>
      <w:szCs w:val="20"/>
    </w:rPr>
  </w:style>
  <w:style w:type="character" w:customStyle="1" w:styleId="a4">
    <w:name w:val="Текст сноски Знак"/>
    <w:basedOn w:val="a0"/>
    <w:link w:val="a3"/>
    <w:uiPriority w:val="99"/>
    <w:semiHidden/>
    <w:rsid w:val="00F551C4"/>
    <w:rPr>
      <w:sz w:val="20"/>
      <w:szCs w:val="20"/>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iPriority w:val="99"/>
    <w:unhideWhenUsed/>
    <w:qFormat/>
    <w:rsid w:val="00F551C4"/>
    <w:rPr>
      <w:vertAlign w:val="superscript"/>
    </w:rPr>
  </w:style>
  <w:style w:type="paragraph" w:styleId="a6">
    <w:name w:val="header"/>
    <w:basedOn w:val="a"/>
    <w:link w:val="a7"/>
    <w:uiPriority w:val="99"/>
    <w:unhideWhenUsed/>
    <w:rsid w:val="00BF676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F6768"/>
  </w:style>
  <w:style w:type="paragraph" w:styleId="a8">
    <w:name w:val="footer"/>
    <w:basedOn w:val="a"/>
    <w:link w:val="a9"/>
    <w:uiPriority w:val="99"/>
    <w:unhideWhenUsed/>
    <w:rsid w:val="00BF676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F6768"/>
  </w:style>
  <w:style w:type="paragraph" w:styleId="aa">
    <w:name w:val="List Paragraph"/>
    <w:basedOn w:val="a"/>
    <w:uiPriority w:val="34"/>
    <w:qFormat/>
    <w:rsid w:val="00B062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029757">
      <w:bodyDiv w:val="1"/>
      <w:marLeft w:val="0"/>
      <w:marRight w:val="0"/>
      <w:marTop w:val="0"/>
      <w:marBottom w:val="0"/>
      <w:divBdr>
        <w:top w:val="none" w:sz="0" w:space="0" w:color="auto"/>
        <w:left w:val="none" w:sz="0" w:space="0" w:color="auto"/>
        <w:bottom w:val="none" w:sz="0" w:space="0" w:color="auto"/>
        <w:right w:val="none" w:sz="0" w:space="0" w:color="auto"/>
      </w:divBdr>
    </w:div>
    <w:div w:id="698969656">
      <w:bodyDiv w:val="1"/>
      <w:marLeft w:val="0"/>
      <w:marRight w:val="0"/>
      <w:marTop w:val="0"/>
      <w:marBottom w:val="0"/>
      <w:divBdr>
        <w:top w:val="none" w:sz="0" w:space="0" w:color="auto"/>
        <w:left w:val="none" w:sz="0" w:space="0" w:color="auto"/>
        <w:bottom w:val="none" w:sz="0" w:space="0" w:color="auto"/>
        <w:right w:val="none" w:sz="0" w:space="0" w:color="auto"/>
      </w:divBdr>
    </w:div>
    <w:div w:id="1272250802">
      <w:bodyDiv w:val="1"/>
      <w:marLeft w:val="0"/>
      <w:marRight w:val="0"/>
      <w:marTop w:val="0"/>
      <w:marBottom w:val="0"/>
      <w:divBdr>
        <w:top w:val="none" w:sz="0" w:space="0" w:color="auto"/>
        <w:left w:val="none" w:sz="0" w:space="0" w:color="auto"/>
        <w:bottom w:val="none" w:sz="0" w:space="0" w:color="auto"/>
        <w:right w:val="none" w:sz="0" w:space="0" w:color="auto"/>
      </w:divBdr>
    </w:div>
    <w:div w:id="1567648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3C0CE-18AC-4071-AE09-B2E85DECE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8</Pages>
  <Words>3802</Words>
  <Characters>21677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Сапожников М.А.</dc:creator>
  <cp:lastModifiedBy>Берестовенко М.В.</cp:lastModifiedBy>
  <cp:revision>150</cp:revision>
  <cp:lastPrinted>2019-02-13T16:03:00Z</cp:lastPrinted>
  <dcterms:created xsi:type="dcterms:W3CDTF">2019-02-04T13:02:00Z</dcterms:created>
  <dcterms:modified xsi:type="dcterms:W3CDTF">2019-02-15T13:24:00Z</dcterms:modified>
</cp:coreProperties>
</file>