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DC3" w:rsidRPr="00B57290" w:rsidRDefault="00083DC3" w:rsidP="00151C0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371"/>
        <w:jc w:val="center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5729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Приложение №</w:t>
      </w:r>
      <w:r w:rsidR="00EA3079" w:rsidRPr="00B5729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B4142B" w:rsidRPr="00B5729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</w:t>
      </w:r>
    </w:p>
    <w:p w:rsidR="00572F23" w:rsidRPr="00B57290" w:rsidRDefault="00083DC3" w:rsidP="00151C0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371"/>
        <w:jc w:val="center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bookmarkStart w:id="0" w:name="_GoBack"/>
      <w:bookmarkEnd w:id="0"/>
      <w:r w:rsidRPr="00B5729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к </w:t>
      </w:r>
      <w:r w:rsidR="00572F23" w:rsidRPr="00B5729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аналитической записке</w:t>
      </w:r>
    </w:p>
    <w:p w:rsidR="00083DC3" w:rsidRPr="00B57290" w:rsidRDefault="00083DC3" w:rsidP="00572F2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812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7290" w:rsidRPr="00B57290" w:rsidRDefault="00B57290" w:rsidP="00B5729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spellStart"/>
      <w:r w:rsidRPr="00B5729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Пофакторные</w:t>
      </w:r>
      <w:proofErr w:type="spellEnd"/>
      <w:r w:rsidRPr="00B5729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положительные изменения сводной росписи</w:t>
      </w:r>
    </w:p>
    <w:p w:rsidR="00B57290" w:rsidRPr="00B57290" w:rsidRDefault="00B57290" w:rsidP="00B5729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5729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на 2017 и 2018 годы</w:t>
      </w:r>
    </w:p>
    <w:p w:rsidR="006A1DB8" w:rsidRPr="00B57290" w:rsidRDefault="00B57290" w:rsidP="00B57290">
      <w:pPr>
        <w:overflowPunct w:val="0"/>
        <w:autoSpaceDE w:val="0"/>
        <w:autoSpaceDN w:val="0"/>
        <w:adjustRightInd w:val="0"/>
        <w:spacing w:after="0" w:line="240" w:lineRule="auto"/>
        <w:ind w:left="284" w:firstLine="709"/>
        <w:jc w:val="right"/>
        <w:textAlignment w:val="baseline"/>
        <w:rPr>
          <w:rFonts w:ascii="Times New Roman" w:eastAsia="Calibri" w:hAnsi="Times New Roman" w:cs="Times New Roman"/>
          <w:sz w:val="18"/>
          <w:szCs w:val="24"/>
          <w:lang w:eastAsia="ru-RU"/>
        </w:rPr>
      </w:pPr>
      <w:r w:rsidRPr="00B57290">
        <w:rPr>
          <w:rFonts w:ascii="Times New Roman" w:eastAsia="Calibri" w:hAnsi="Times New Roman" w:cs="Times New Roman"/>
          <w:sz w:val="18"/>
          <w:szCs w:val="24"/>
          <w:lang w:eastAsia="ru-RU"/>
        </w:rPr>
        <w:t xml:space="preserve"> </w:t>
      </w:r>
      <w:r w:rsidR="006A1DB8" w:rsidRPr="00B57290">
        <w:rPr>
          <w:rFonts w:ascii="Times New Roman" w:eastAsia="Calibri" w:hAnsi="Times New Roman" w:cs="Times New Roman"/>
          <w:sz w:val="18"/>
          <w:szCs w:val="24"/>
          <w:lang w:eastAsia="ru-RU"/>
        </w:rPr>
        <w:t>(млн. рублей)</w:t>
      </w:r>
    </w:p>
    <w:p w:rsidR="00083DC3" w:rsidRPr="00E31D44" w:rsidRDefault="00083DC3" w:rsidP="005A1F01">
      <w:pPr>
        <w:overflowPunct w:val="0"/>
        <w:autoSpaceDE w:val="0"/>
        <w:autoSpaceDN w:val="0"/>
        <w:adjustRightInd w:val="0"/>
        <w:spacing w:after="0" w:line="240" w:lineRule="auto"/>
        <w:ind w:left="284" w:firstLine="709"/>
        <w:jc w:val="right"/>
        <w:textAlignment w:val="baseline"/>
        <w:rPr>
          <w:rFonts w:ascii="Times New Roman" w:eastAsia="Calibri" w:hAnsi="Times New Roman" w:cs="Times New Roman"/>
          <w:color w:val="FF0000"/>
          <w:sz w:val="8"/>
          <w:szCs w:val="8"/>
          <w:lang w:eastAsia="ru-RU"/>
        </w:rPr>
      </w:pPr>
    </w:p>
    <w:tbl>
      <w:tblPr>
        <w:tblW w:w="9918" w:type="dxa"/>
        <w:jc w:val="center"/>
        <w:tblInd w:w="-86" w:type="dxa"/>
        <w:tblLayout w:type="fixed"/>
        <w:tblLook w:val="04A0" w:firstRow="1" w:lastRow="0" w:firstColumn="1" w:lastColumn="0" w:noHBand="0" w:noVBand="1"/>
      </w:tblPr>
      <w:tblGrid>
        <w:gridCol w:w="4732"/>
        <w:gridCol w:w="1191"/>
        <w:gridCol w:w="1126"/>
        <w:gridCol w:w="1310"/>
        <w:gridCol w:w="1559"/>
      </w:tblGrid>
      <w:tr w:rsidR="00B57290" w:rsidRPr="00B57290" w:rsidTr="004A7D9E">
        <w:trPr>
          <w:trHeight w:val="362"/>
          <w:tblHeader/>
          <w:jc w:val="center"/>
        </w:trPr>
        <w:tc>
          <w:tcPr>
            <w:tcW w:w="47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Содержание основания изменения </w:t>
            </w:r>
          </w:p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сводной бюджетной росписи</w:t>
            </w:r>
          </w:p>
        </w:tc>
        <w:tc>
          <w:tcPr>
            <w:tcW w:w="23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2017 год</w:t>
            </w:r>
          </w:p>
        </w:tc>
        <w:tc>
          <w:tcPr>
            <w:tcW w:w="28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2018 год</w:t>
            </w:r>
          </w:p>
        </w:tc>
      </w:tr>
      <w:tr w:rsidR="00B57290" w:rsidRPr="00B57290" w:rsidTr="004A7D9E">
        <w:trPr>
          <w:trHeight w:val="550"/>
          <w:tblHeader/>
          <w:jc w:val="center"/>
        </w:trPr>
        <w:tc>
          <w:tcPr>
            <w:tcW w:w="4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1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структура, </w:t>
            </w:r>
          </w:p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в %</w:t>
            </w:r>
          </w:p>
        </w:tc>
        <w:tc>
          <w:tcPr>
            <w:tcW w:w="13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структура, </w:t>
            </w:r>
          </w:p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в %</w:t>
            </w:r>
          </w:p>
        </w:tc>
      </w:tr>
      <w:tr w:rsidR="00B57290" w:rsidRPr="00B57290" w:rsidTr="004A7D9E">
        <w:trPr>
          <w:trHeight w:val="480"/>
          <w:jc w:val="center"/>
        </w:trPr>
        <w:tc>
          <w:tcPr>
            <w:tcW w:w="4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Изменения, вносимые в связи с принятием федеральных законов о внесении изменений в федеральный закон о федеральном бюджете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952 764,0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47,3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911 164,3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30,1</w:t>
            </w:r>
          </w:p>
        </w:tc>
      </w:tr>
      <w:tr w:rsidR="00B57290" w:rsidRPr="00B57290" w:rsidTr="004A7D9E">
        <w:trPr>
          <w:trHeight w:val="480"/>
          <w:jc w:val="center"/>
        </w:trPr>
        <w:tc>
          <w:tcPr>
            <w:tcW w:w="4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Изменения, вносимые в случае изменения функций и полномочий главных распорядителей (распорядителей), получателей бюджетных средств, а также в связи с передачей государственного (муниципального) имущества, изменением подведомственности распорядителей (получателей) бюджетных средств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4 849,6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583 514,3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19,3</w:t>
            </w:r>
          </w:p>
        </w:tc>
      </w:tr>
      <w:tr w:rsidR="00B57290" w:rsidRPr="00B57290" w:rsidTr="004A7D9E">
        <w:trPr>
          <w:trHeight w:val="480"/>
          <w:jc w:val="center"/>
        </w:trPr>
        <w:tc>
          <w:tcPr>
            <w:tcW w:w="4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Изменения, вносимые в случае использования (перераспределения) средств иным образом зарезервированных в составе утвержденных федеральным законом о федеральном бюджете бюджетных ассигнований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261 943,3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B57290" w:rsidRPr="00B57290" w:rsidRDefault="004A7D9E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431 221,1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</w:tr>
      <w:tr w:rsidR="00B57290" w:rsidRPr="00B57290" w:rsidTr="004A7D9E">
        <w:trPr>
          <w:trHeight w:val="480"/>
          <w:jc w:val="center"/>
        </w:trPr>
        <w:tc>
          <w:tcPr>
            <w:tcW w:w="4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Изменения, связанные с увеличением бюджетных ассигнований резервного фонда Правительства Российской Федерации в объеме не использованных остатков средств федерального бюджета на 1 января текущего финансового года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138 105,3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6,9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274 061,1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9,1</w:t>
            </w:r>
          </w:p>
        </w:tc>
      </w:tr>
      <w:tr w:rsidR="00B57290" w:rsidRPr="00B57290" w:rsidTr="004A7D9E">
        <w:trPr>
          <w:trHeight w:val="480"/>
          <w:jc w:val="center"/>
        </w:trPr>
        <w:tc>
          <w:tcPr>
            <w:tcW w:w="4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Изменения, вносимые в случае увеличения бюджетных ассигнований текущего финансового года на оплату заключенных государственных контрактов на поставку товаров, выполнение работ, оказание услуг, подлежавших в соответствии с условиями этих государственных контрактов оплате в отчетном финансовом году, в объеме, не превышающем остатка не использованных на начало текущего финансового года бюджетных </w:t>
            </w:r>
            <w:proofErr w:type="gramStart"/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ассигнований</w:t>
            </w:r>
            <w:proofErr w:type="gramEnd"/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на исполнение указанных государственных контрактов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71 171,3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264 127,6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8,7</w:t>
            </w:r>
          </w:p>
        </w:tc>
      </w:tr>
      <w:tr w:rsidR="00B57290" w:rsidRPr="00B57290" w:rsidTr="004A7D9E">
        <w:trPr>
          <w:trHeight w:val="480"/>
          <w:jc w:val="center"/>
        </w:trPr>
        <w:tc>
          <w:tcPr>
            <w:tcW w:w="4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Изменения, вносимые в целях увеличения объема бюджетных ассигнований на оказание иной финансовой помощи бюджетам субъектов Российской Федерации, за счет бюджетных ассигнований резервного фонда Правительства Российской Федерации в соответствии с решениями Правительства Российской Федерации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43 170,3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136 278,6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4,5</w:t>
            </w:r>
          </w:p>
        </w:tc>
      </w:tr>
      <w:tr w:rsidR="00B57290" w:rsidRPr="00B57290" w:rsidTr="004A7D9E">
        <w:trPr>
          <w:trHeight w:val="480"/>
          <w:jc w:val="center"/>
        </w:trPr>
        <w:tc>
          <w:tcPr>
            <w:tcW w:w="4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290" w:rsidRPr="00B57290" w:rsidRDefault="00B57290" w:rsidP="00267B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Изменения, связанные с увеличением бюджетных ассигнований на реализацию решений Президента Российской Федерации и Правительства Российской Федерации по обеспечению отдельных мероприятий в сфере общегосударственных вопросов, национальной обороны, национальной безопасности и правоохранительной деятельности, исследования и использования космического пространства, развития оборонно-промышленного комплекса в объеме, не превышающем сумму нераспределенного остатка бюджетных ассигнований, зарезервир</w:t>
            </w:r>
            <w:r w:rsidR="00267B7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ованных на указанные цели в отчетном финансовом</w:t>
            </w: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году, на основании решений Правительства</w:t>
            </w:r>
            <w:proofErr w:type="gramEnd"/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Российской Федерации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24 999,5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77 237,8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2,6</w:t>
            </w:r>
          </w:p>
        </w:tc>
      </w:tr>
      <w:tr w:rsidR="00B57290" w:rsidRPr="00B57290" w:rsidTr="004A7D9E">
        <w:trPr>
          <w:trHeight w:val="480"/>
          <w:jc w:val="center"/>
        </w:trPr>
        <w:tc>
          <w:tcPr>
            <w:tcW w:w="4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Изменения, вносимые на основании иных решений Правительства Российской Федерации, принятых в установленном порядке, об использовании бюджетных ассигнований резервного фонда Правительства Российской Федерации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42 926,8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66 754,6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2,2</w:t>
            </w:r>
          </w:p>
        </w:tc>
      </w:tr>
      <w:tr w:rsidR="00B57290" w:rsidRPr="00B57290" w:rsidTr="001B4CFA">
        <w:trPr>
          <w:trHeight w:val="230"/>
          <w:jc w:val="center"/>
        </w:trPr>
        <w:tc>
          <w:tcPr>
            <w:tcW w:w="4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Изменения, связанные с перераспределением бюджетных ассигнований на осуществление социальной поддержки отдельных категорий граждан после подтверждения в установленном порядке потребности в соответствующих </w:t>
            </w: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бюджетных ассигнованиях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48 151,5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51 698,9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1,7</w:t>
            </w:r>
          </w:p>
        </w:tc>
      </w:tr>
      <w:tr w:rsidR="00B57290" w:rsidRPr="00B57290" w:rsidTr="004A7D9E">
        <w:trPr>
          <w:trHeight w:val="480"/>
          <w:jc w:val="center"/>
        </w:trPr>
        <w:tc>
          <w:tcPr>
            <w:tcW w:w="4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 xml:space="preserve">Изменения, вносимые в случае перераспределения бюджетных ассигнований, предусмотренных главному распорядителю средств федерального бюджета (за исключением бюджетных ассигнований, предусмотренных на реализацию государственной программы вооружения), в пределах 10 процентов объема указанных бюджетных ассигнований в соответствии с </w:t>
            </w:r>
            <w:hyperlink r:id="rId8" w:history="1">
              <w:r w:rsidRPr="00B57290">
                <w:rPr>
                  <w:rFonts w:ascii="Times New Roman" w:eastAsia="Calibri" w:hAnsi="Times New Roman" w:cs="Times New Roman"/>
                  <w:sz w:val="18"/>
                  <w:szCs w:val="18"/>
                  <w:lang w:eastAsia="ru-RU"/>
                </w:rPr>
                <w:t>пунктом 7</w:t>
              </w:r>
              <w:r w:rsidRPr="00B57290">
                <w:rPr>
                  <w:rFonts w:ascii="Times New Roman" w:eastAsia="Calibri" w:hAnsi="Times New Roman" w:cs="Times New Roman"/>
                  <w:sz w:val="18"/>
                  <w:szCs w:val="18"/>
                  <w:vertAlign w:val="superscript"/>
                  <w:lang w:eastAsia="ru-RU"/>
                </w:rPr>
                <w:t>2</w:t>
              </w:r>
              <w:r w:rsidRPr="00B57290">
                <w:rPr>
                  <w:rFonts w:ascii="Times New Roman" w:eastAsia="Calibri" w:hAnsi="Times New Roman" w:cs="Times New Roman"/>
                  <w:sz w:val="18"/>
                  <w:szCs w:val="18"/>
                  <w:lang w:eastAsia="ru-RU"/>
                </w:rPr>
                <w:t xml:space="preserve"> статьи 217</w:t>
              </w:r>
            </w:hyperlink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Бюджетного кодекса Российской Федерации (Собрание законодательства Российской Федерации, 1998, № 31, ст. 3823; официальный интернет-портал правовой информации http://www.pravo.gov.ru, 30 ноября 2016 года)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79 205,2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3,9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29 552,3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7290" w:rsidRPr="00B57290" w:rsidRDefault="004A7D9E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B57290" w:rsidRPr="00B57290" w:rsidTr="004A7D9E">
        <w:trPr>
          <w:trHeight w:val="480"/>
          <w:jc w:val="center"/>
        </w:trPr>
        <w:tc>
          <w:tcPr>
            <w:tcW w:w="4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Изменения, связанные с перераспределением бюджетных ассигнований на долевое участие в содержании международных организаций и объединений, созданных на пространстве Содружества Независимых Государств, оказание международной помощи развитию, выполнение обязательств Российской Федерации перед иностранными государствами, международными экономическими и финансовыми организациями и форумами, подготовку и проведение мероприятий международного значения, мероприятий, связанных с участием Российской Федерации в международных экономических и финансовых организациях и форумах, исполнение</w:t>
            </w:r>
            <w:proofErr w:type="gramEnd"/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судебных актов международных судебных органов и судебных органов иностранных государств, оплату судебных издержек, связанных с представлением интересов Российской Федерации в международных судебных и иных юридических спорах, юридических и адвокатских услуг, мировых соглашений, заключенных в рамках судебных процессов в международных судебных органах и судебных органах иностранных государств, на реализацию мероприятий федерального значения, связанных с внешнеэкономической деятельностью</w:t>
            </w:r>
            <w:proofErr w:type="gramEnd"/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28 684,8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23 459,9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</w:tr>
      <w:tr w:rsidR="00B57290" w:rsidRPr="00B57290" w:rsidTr="004A7D9E">
        <w:trPr>
          <w:trHeight w:val="480"/>
          <w:jc w:val="center"/>
        </w:trPr>
        <w:tc>
          <w:tcPr>
            <w:tcW w:w="4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Изменения, вносимые в случае перераспределения бюджетных ассигнований между главными распорядителями в целях обеспечения взаимных расчетов, связанных с содержанием и обслуживанием Вооруженных Сил Российской Федерации, других войск, воинских формирований и органов, военных судов, учреждений и органов уголовно-исполнительной системы, органов Федеральной фельдъегерской связи, подготовкой военных кадров и другими видами обеспечения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25 042,7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10 338,9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</w:tr>
      <w:tr w:rsidR="00B57290" w:rsidRPr="00B57290" w:rsidTr="004A7D9E">
        <w:trPr>
          <w:trHeight w:val="480"/>
          <w:jc w:val="center"/>
        </w:trPr>
        <w:tc>
          <w:tcPr>
            <w:tcW w:w="4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Изменения, вносимые на основании решений Правительства Российской Федерации об использовании бюджетных ассигнований резервного фонда Правительства Российской </w:t>
            </w:r>
            <w:proofErr w:type="gramStart"/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Федерации</w:t>
            </w:r>
            <w:proofErr w:type="gramEnd"/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на финансовое обеспечение реализации утвержденного Председателем Правительства Российской Федерации перечня мероприятий, направленных на обеспечение стабильного социально-экономического развития Российской Федерации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107 500,0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7290" w:rsidRPr="00B57290" w:rsidTr="004A7D9E">
        <w:trPr>
          <w:trHeight w:val="255"/>
          <w:jc w:val="center"/>
        </w:trPr>
        <w:tc>
          <w:tcPr>
            <w:tcW w:w="4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Прочие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184 477,9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9,5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163 258,7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5,4</w:t>
            </w:r>
          </w:p>
        </w:tc>
      </w:tr>
      <w:tr w:rsidR="00B57290" w:rsidRPr="00B57290" w:rsidTr="004A7D9E">
        <w:trPr>
          <w:trHeight w:val="255"/>
          <w:jc w:val="center"/>
        </w:trPr>
        <w:tc>
          <w:tcPr>
            <w:tcW w:w="4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2 012 992,2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3 022 668,1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57290" w:rsidRPr="00B57290" w:rsidRDefault="00B57290" w:rsidP="00B57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729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</w:tr>
    </w:tbl>
    <w:p w:rsidR="00890AEA" w:rsidRPr="00B57290" w:rsidRDefault="00890AEA">
      <w:pPr>
        <w:rPr>
          <w:sz w:val="8"/>
          <w:szCs w:val="8"/>
        </w:rPr>
      </w:pPr>
    </w:p>
    <w:sectPr w:rsidR="00890AEA" w:rsidRPr="00B57290" w:rsidSect="004A7D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C33" w:rsidRDefault="00BD3C33" w:rsidP="0055726B">
      <w:pPr>
        <w:spacing w:after="0" w:line="240" w:lineRule="auto"/>
      </w:pPr>
      <w:r>
        <w:separator/>
      </w:r>
    </w:p>
  </w:endnote>
  <w:endnote w:type="continuationSeparator" w:id="0">
    <w:p w:rsidR="00BD3C33" w:rsidRDefault="00BD3C33" w:rsidP="00557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26B" w:rsidRDefault="0055726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26B" w:rsidRDefault="0055726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26B" w:rsidRDefault="0055726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C33" w:rsidRDefault="00BD3C33" w:rsidP="0055726B">
      <w:pPr>
        <w:spacing w:after="0" w:line="240" w:lineRule="auto"/>
      </w:pPr>
      <w:r>
        <w:separator/>
      </w:r>
    </w:p>
  </w:footnote>
  <w:footnote w:type="continuationSeparator" w:id="0">
    <w:p w:rsidR="00BD3C33" w:rsidRDefault="00BD3C33" w:rsidP="00557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26B" w:rsidRDefault="0055726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90629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5726B" w:rsidRPr="0055726B" w:rsidRDefault="0055726B">
        <w:pPr>
          <w:pStyle w:val="a6"/>
          <w:jc w:val="center"/>
          <w:rPr>
            <w:rFonts w:ascii="Times New Roman" w:hAnsi="Times New Roman" w:cs="Times New Roman"/>
          </w:rPr>
        </w:pPr>
        <w:r w:rsidRPr="0055726B">
          <w:rPr>
            <w:rFonts w:ascii="Times New Roman" w:hAnsi="Times New Roman" w:cs="Times New Roman"/>
          </w:rPr>
          <w:fldChar w:fldCharType="begin"/>
        </w:r>
        <w:r w:rsidRPr="0055726B">
          <w:rPr>
            <w:rFonts w:ascii="Times New Roman" w:hAnsi="Times New Roman" w:cs="Times New Roman"/>
          </w:rPr>
          <w:instrText>PAGE   \* MERGEFORMAT</w:instrText>
        </w:r>
        <w:r w:rsidRPr="0055726B">
          <w:rPr>
            <w:rFonts w:ascii="Times New Roman" w:hAnsi="Times New Roman" w:cs="Times New Roman"/>
          </w:rPr>
          <w:fldChar w:fldCharType="separate"/>
        </w:r>
        <w:r w:rsidR="001B4CFA">
          <w:rPr>
            <w:rFonts w:ascii="Times New Roman" w:hAnsi="Times New Roman" w:cs="Times New Roman"/>
            <w:noProof/>
          </w:rPr>
          <w:t>2</w:t>
        </w:r>
        <w:r w:rsidRPr="0055726B">
          <w:rPr>
            <w:rFonts w:ascii="Times New Roman" w:hAnsi="Times New Roman" w:cs="Times New Roman"/>
          </w:rPr>
          <w:fldChar w:fldCharType="end"/>
        </w:r>
      </w:p>
    </w:sdtContent>
  </w:sdt>
  <w:p w:rsidR="0055726B" w:rsidRDefault="0055726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26B" w:rsidRDefault="0055726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AA1"/>
    <w:rsid w:val="00083DC3"/>
    <w:rsid w:val="000A264C"/>
    <w:rsid w:val="000B4730"/>
    <w:rsid w:val="000E5CA1"/>
    <w:rsid w:val="000F5F6C"/>
    <w:rsid w:val="001118B2"/>
    <w:rsid w:val="00151C08"/>
    <w:rsid w:val="0016773B"/>
    <w:rsid w:val="00177AA1"/>
    <w:rsid w:val="001A24E7"/>
    <w:rsid w:val="001B0BCD"/>
    <w:rsid w:val="001B4CFA"/>
    <w:rsid w:val="001C6AA0"/>
    <w:rsid w:val="00267B7C"/>
    <w:rsid w:val="00283283"/>
    <w:rsid w:val="002F17BB"/>
    <w:rsid w:val="003200F8"/>
    <w:rsid w:val="00390D4C"/>
    <w:rsid w:val="00390EF8"/>
    <w:rsid w:val="003D4C8A"/>
    <w:rsid w:val="003D5455"/>
    <w:rsid w:val="003F6DE4"/>
    <w:rsid w:val="004277DC"/>
    <w:rsid w:val="004460D1"/>
    <w:rsid w:val="00467910"/>
    <w:rsid w:val="004A7D9E"/>
    <w:rsid w:val="004B3539"/>
    <w:rsid w:val="004E7759"/>
    <w:rsid w:val="0055726B"/>
    <w:rsid w:val="0056743C"/>
    <w:rsid w:val="00572F23"/>
    <w:rsid w:val="00573FCE"/>
    <w:rsid w:val="00591856"/>
    <w:rsid w:val="005A1F01"/>
    <w:rsid w:val="005B782A"/>
    <w:rsid w:val="00601392"/>
    <w:rsid w:val="00601CE2"/>
    <w:rsid w:val="006070E3"/>
    <w:rsid w:val="00614C48"/>
    <w:rsid w:val="00616838"/>
    <w:rsid w:val="00622548"/>
    <w:rsid w:val="00643111"/>
    <w:rsid w:val="006652F2"/>
    <w:rsid w:val="0067582B"/>
    <w:rsid w:val="0067732E"/>
    <w:rsid w:val="006805A0"/>
    <w:rsid w:val="006A1DB8"/>
    <w:rsid w:val="006C204E"/>
    <w:rsid w:val="00724E31"/>
    <w:rsid w:val="00733199"/>
    <w:rsid w:val="007B6CEB"/>
    <w:rsid w:val="007F06F7"/>
    <w:rsid w:val="007F2B59"/>
    <w:rsid w:val="00802D8A"/>
    <w:rsid w:val="00826555"/>
    <w:rsid w:val="00843282"/>
    <w:rsid w:val="00872A98"/>
    <w:rsid w:val="0087480C"/>
    <w:rsid w:val="00890AEA"/>
    <w:rsid w:val="008A5696"/>
    <w:rsid w:val="008B0E20"/>
    <w:rsid w:val="008C31DB"/>
    <w:rsid w:val="008F4450"/>
    <w:rsid w:val="00952F2B"/>
    <w:rsid w:val="009732BF"/>
    <w:rsid w:val="0098651C"/>
    <w:rsid w:val="00995E62"/>
    <w:rsid w:val="009B437D"/>
    <w:rsid w:val="009F739A"/>
    <w:rsid w:val="00A10C9A"/>
    <w:rsid w:val="00A5356C"/>
    <w:rsid w:val="00A848B8"/>
    <w:rsid w:val="00A914BB"/>
    <w:rsid w:val="00AB06B9"/>
    <w:rsid w:val="00AB1DF4"/>
    <w:rsid w:val="00AE3F3A"/>
    <w:rsid w:val="00B20AFE"/>
    <w:rsid w:val="00B4142B"/>
    <w:rsid w:val="00B467EB"/>
    <w:rsid w:val="00B54E8B"/>
    <w:rsid w:val="00B57290"/>
    <w:rsid w:val="00B67EFA"/>
    <w:rsid w:val="00B828DC"/>
    <w:rsid w:val="00B9520B"/>
    <w:rsid w:val="00BD3C33"/>
    <w:rsid w:val="00BE6EF4"/>
    <w:rsid w:val="00C03CE9"/>
    <w:rsid w:val="00C30C77"/>
    <w:rsid w:val="00C70724"/>
    <w:rsid w:val="00C80097"/>
    <w:rsid w:val="00CC72A9"/>
    <w:rsid w:val="00CC777B"/>
    <w:rsid w:val="00CD1DF0"/>
    <w:rsid w:val="00CD2F48"/>
    <w:rsid w:val="00CD799D"/>
    <w:rsid w:val="00D52507"/>
    <w:rsid w:val="00D6542E"/>
    <w:rsid w:val="00D67D5E"/>
    <w:rsid w:val="00D93A8E"/>
    <w:rsid w:val="00DA0BA0"/>
    <w:rsid w:val="00DA2A84"/>
    <w:rsid w:val="00DA695F"/>
    <w:rsid w:val="00DB3201"/>
    <w:rsid w:val="00E00058"/>
    <w:rsid w:val="00E31D44"/>
    <w:rsid w:val="00E46297"/>
    <w:rsid w:val="00E522FB"/>
    <w:rsid w:val="00EA3079"/>
    <w:rsid w:val="00EB4AA8"/>
    <w:rsid w:val="00F06655"/>
    <w:rsid w:val="00F102F0"/>
    <w:rsid w:val="00F15D64"/>
    <w:rsid w:val="00F313B8"/>
    <w:rsid w:val="00F32503"/>
    <w:rsid w:val="00F84A35"/>
    <w:rsid w:val="00F93B95"/>
    <w:rsid w:val="00FB2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2D8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D2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2F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57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5726B"/>
  </w:style>
  <w:style w:type="paragraph" w:styleId="a8">
    <w:name w:val="footer"/>
    <w:basedOn w:val="a"/>
    <w:link w:val="a9"/>
    <w:uiPriority w:val="99"/>
    <w:unhideWhenUsed/>
    <w:rsid w:val="00557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572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2D8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D2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2F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57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5726B"/>
  </w:style>
  <w:style w:type="paragraph" w:styleId="a8">
    <w:name w:val="footer"/>
    <w:basedOn w:val="a"/>
    <w:link w:val="a9"/>
    <w:uiPriority w:val="99"/>
    <w:unhideWhenUsed/>
    <w:rsid w:val="00557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57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7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8D699BB221AE9E957F82B9D89287FFB6FFBD485DF36B551197A7CC9A221FA1EB7798870C7941T0P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771F6-9044-4523-8A2A-8D171E4C8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2</Pages>
  <Words>872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Берестовенко М.В.</dc:creator>
  <cp:lastModifiedBy>Берестовенко М.В.</cp:lastModifiedBy>
  <cp:revision>73</cp:revision>
  <cp:lastPrinted>2019-02-15T14:15:00Z</cp:lastPrinted>
  <dcterms:created xsi:type="dcterms:W3CDTF">2019-01-25T09:54:00Z</dcterms:created>
  <dcterms:modified xsi:type="dcterms:W3CDTF">2019-02-15T14:15:00Z</dcterms:modified>
</cp:coreProperties>
</file>