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B3568" w14:textId="77777777" w:rsidR="00054F12" w:rsidRPr="008D500B" w:rsidRDefault="00054F12" w:rsidP="00054F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 1</w:t>
      </w:r>
    </w:p>
    <w:p w14:paraId="40AC8A1B" w14:textId="77777777" w:rsidR="00054F12" w:rsidRPr="008D500B" w:rsidRDefault="00054F12" w:rsidP="00054F12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14:paraId="363B17E8" w14:textId="77777777" w:rsidR="00054F12" w:rsidRPr="008D500B" w:rsidRDefault="00054F12" w:rsidP="00FE0170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41100EA" w14:textId="77777777" w:rsidR="00785F34" w:rsidRPr="008D500B" w:rsidRDefault="00785F34" w:rsidP="00785F3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14:paraId="6B5CDE7B" w14:textId="77777777" w:rsidR="00785F34" w:rsidRPr="008D500B" w:rsidRDefault="00785F34" w:rsidP="00785F3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14:paraId="64D00DD7" w14:textId="77777777" w:rsidR="003921B6" w:rsidRPr="008D500B" w:rsidRDefault="003921B6" w:rsidP="00054F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="00233B38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июне</w:t>
      </w:r>
      <w:r w:rsidR="00E46EA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2019 года</w:t>
      </w:r>
    </w:p>
    <w:p w14:paraId="1CAFE65F" w14:textId="77777777" w:rsidR="003921B6" w:rsidRPr="008D500B" w:rsidRDefault="003921B6" w:rsidP="0005525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258841" w14:textId="77777777" w:rsidR="00785F34" w:rsidRPr="008D500B" w:rsidRDefault="00785F34" w:rsidP="00CB1C3E">
      <w:pPr>
        <w:widowControl w:val="0"/>
        <w:overflowPunct w:val="0"/>
        <w:autoSpaceDE w:val="0"/>
        <w:autoSpaceDN w:val="0"/>
        <w:adjustRightInd w:val="0"/>
        <w:spacing w:after="0" w:line="35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8D500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14:paraId="71E8F2DD" w14:textId="77777777" w:rsidR="00263255" w:rsidRPr="008D500B" w:rsidRDefault="00AB3AF7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После устойчивого четырехмесячного роста </w:t>
      </w:r>
      <w:r w:rsidR="0026325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мае и июне динамика цены </w:t>
      </w:r>
      <w:r w:rsidR="006D43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нефть марки «Юралс» </w:t>
      </w:r>
      <w:r w:rsidR="0026325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изменилась на противоположную</w:t>
      </w:r>
      <w:r w:rsidR="00A122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 В результате в июне она снизилась до 62,4 доллара США за баррель, а</w:t>
      </w:r>
      <w:r w:rsidR="0026325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за два месяца </w:t>
      </w:r>
      <w:r w:rsidR="00BA008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(май – июнь) </w:t>
      </w:r>
      <w:r w:rsidR="0026325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составило 9,3 доллара США.</w:t>
      </w:r>
      <w:r w:rsidR="00A122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Тем не менее, в целом за январь – июнь 2019 года цена на нефть </w:t>
      </w:r>
      <w:r w:rsidR="00D7131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марки «Юралс» </w:t>
      </w:r>
      <w:r w:rsidR="00A122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пока сохраняется на довольно высоком уровне – 65,78 доллара США за баррель, что только на 3,03 доллара США меньше, чем в аналогичном периоде 2018 года (68,81 доллара США за баррель).</w:t>
      </w:r>
    </w:p>
    <w:p w14:paraId="10B9EC8B" w14:textId="77777777" w:rsidR="007B1CAF" w:rsidRPr="008D500B" w:rsidRDefault="00927A2E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июле цены на нефть частично отыграли снижение в предыдущие </w:t>
      </w:r>
      <w:r w:rsidR="00AA02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два месяца, и по состоянию на 17 июля выросли до 63,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 доллара США за баррель. Однако этот рост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краткосрочным, так как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большей степени связан с </w:t>
      </w:r>
      <w:r w:rsidR="00A7513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текущими колебаниями конъюнк</w:t>
      </w:r>
      <w:r w:rsidR="0061693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туры </w:t>
      </w:r>
      <w:r w:rsidR="003940D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(последствия урагана в Мексиканском заливе)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 геополитической обстановкой</w:t>
      </w:r>
      <w:r w:rsidR="003940D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(напряженность в отношениях между США и Ираном)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 На среднесрочной перспективе д</w:t>
      </w:r>
      <w:r w:rsidR="007B1C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авление на нефтяные котировки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будут</w:t>
      </w:r>
      <w:r w:rsidR="007B1C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оказывать торговые конфликты и рост добычи в стра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нах, не являющихся членами ОПЕК, а также снижение прогноза по росту мирового спроса на нефть.</w:t>
      </w:r>
    </w:p>
    <w:p w14:paraId="47B44578" w14:textId="77777777" w:rsidR="00BD4A1B" w:rsidRPr="008D500B" w:rsidRDefault="0099217F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Сложившаяся в январе –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цена на нефть марки «Юралс» выше прогнозного значения учтенного в расчетах к Федеральному закону № 459-ФЗ (63,4 доллара США за баррель), на 2,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38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доллара США, или на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Однако, принимая во внимание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сложившиеся на рынке нефти обстоятельства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89465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имеющееся ценовое преимущество </w:t>
      </w:r>
      <w:r w:rsidR="00BE51A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скоро</w:t>
      </w:r>
      <w:r w:rsidR="0089465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исчерпано, и </w:t>
      </w:r>
      <w:r w:rsidR="00BC26E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могут </w:t>
      </w:r>
      <w:r w:rsidR="0089465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возникнут</w:t>
      </w:r>
      <w:r w:rsidR="00BC26E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89465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риски достижения прогнозного показателя по итогам года.</w:t>
      </w:r>
    </w:p>
    <w:p w14:paraId="69D9F68A" w14:textId="77777777" w:rsidR="00AB3AF7" w:rsidRPr="008D500B" w:rsidRDefault="00904579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в ожидаемых итогах социально-экономического развития в 2019 году и уточненном прогнозе социально-экономического развития Российской Федерации на плановый период 2020 и 2021 годов</w:t>
      </w:r>
      <w:r w:rsidR="00B820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учтенных в расчетах к Федераль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ному закону от 18 июля 2019 г.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20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 175-ФЗ «О внесении изменений в Федеральный закон «О федеральном бюджете на 2019 год и на плановый период 2020 и 2021 годов»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(далее – ожидаемые итоги) цена на нефть марки «Юралс» сохранилась на прежнем уровне.</w:t>
      </w:r>
    </w:p>
    <w:p w14:paraId="69D40630" w14:textId="77777777" w:rsidR="00785F34" w:rsidRPr="008D500B" w:rsidRDefault="00785F34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14:paraId="05FE5B86" w14:textId="77777777" w:rsidR="00C5542A" w:rsidRPr="008D500B" w:rsidRDefault="003940D8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рубля в первом полугодии 2018 года преимущественно укреплялся, и только в мае показал небольшое ослабление (на 0,2 рубля за доллар США по сравнению с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предыдущим месяцем). К июню его курс достиг 64,22 рубля за доллар США, что на 3,11 рубля, или 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4,6 %, меньше, чем в январе ткущего года. Однако, несмотря на повышательную тенденцию, в среднем с начала года курс рубля сохраняется на более слабых позициях по сравнению как с аналогичным периодом 2018 года, так и с прогнозным значением. В январе – июне 2019 года курс доллара США к рублю составил 65,32 рубля за доллар США, что на 6,05 рубля</w:t>
      </w:r>
      <w:r w:rsidR="002202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или на 10,2 %,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больше, чем в январе – июне 2018 года (59,27 рубля за доллар США)</w:t>
      </w:r>
      <w:r w:rsidR="004814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и на 1,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42</w:t>
      </w:r>
      <w:r w:rsidR="004814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рубля, или 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4814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4814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 больше прогнозного уровня курса доллара США к рублю на 2019 год (63,9 рубля за доллар США), учтенного в расчетах к Федеральному закону №</w:t>
      </w:r>
      <w:r w:rsidR="00EB23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4814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459-ФЗ.</w:t>
      </w:r>
      <w:r w:rsidR="001D7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A09CF5E" w14:textId="77777777" w:rsidR="00A16CA8" w:rsidRPr="008D500B" w:rsidRDefault="00481486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 </w:t>
      </w:r>
      <w:r w:rsidR="00BA008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рубль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продолжил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укрепляться.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41DD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Динамику национальной валюты поддерживает ожидание о снижении ключевой ставки 26 июля.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состоянию на </w:t>
      </w:r>
      <w:r w:rsidR="002202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ию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курс доллара США к рублю с начала месяца составил 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63,</w:t>
      </w:r>
      <w:r w:rsidR="002202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19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рубля за доллар США, с начала года – 65,</w:t>
      </w:r>
      <w:r w:rsidR="002202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05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рубля за доллар США. 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в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целом 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истекший период 2019 года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рубль </w:t>
      </w:r>
      <w:r w:rsidR="002261E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 еще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сохраняется на более слабых позициях как по сравнению с 2018 годом, так и с прогнозным значением.</w:t>
      </w:r>
    </w:p>
    <w:p w14:paraId="3564F8A7" w14:textId="77777777" w:rsidR="00481486" w:rsidRPr="008D500B" w:rsidRDefault="00904579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Следует отметить, что в ожидаемых итогах курс доллара США скорректирован до 65,1 рубля за доллар США, что больше соответствует сложившейся ситуации.</w:t>
      </w:r>
    </w:p>
    <w:p w14:paraId="7DA3FEA6" w14:textId="77777777" w:rsidR="00F10B73" w:rsidRPr="008D500B" w:rsidRDefault="00F10B73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14:paraId="176D1A4C" w14:textId="77777777" w:rsidR="00641DD6" w:rsidRPr="008D500B" w:rsidRDefault="00641DD6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 первой оценке Росстата, в первом квартале 2019 года темп прироста ВВП по сравнению с аналогичным периодом 2018 года замедлился до 0,5 %. Это самый низкий прирост в первом квартале с 2016 года. Объем ВВП в текущих ценах составил 24 487,1 млрд. рублей.</w:t>
      </w:r>
    </w:p>
    <w:p w14:paraId="4F968FFA" w14:textId="77777777" w:rsidR="00814E2D" w:rsidRPr="008D500B" w:rsidRDefault="008A5B2F" w:rsidP="00CB1C3E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 данным Росстата, н</w:t>
      </w:r>
      <w:r w:rsidR="000E01C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замедление темпов роста ВВП оказала влияние ситуация в оптовой торговле, где в первом квартале текущего года по сравнению с аналогичным периодом 2018 года наблюдался спад на 6,7 %,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0E01C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стоимостного оборота организаций по операциям с недвижимым имуществом </w:t>
      </w:r>
      <w:r w:rsidR="007B121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E01C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6,6 %.</w:t>
      </w:r>
      <w:r w:rsidR="00814E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динамику ВВП сдерживало снижение валовой добавленной стоимости в обеспечении электрической энергией, газом и паром, кондиционировании воздуха (на 1 %).</w:t>
      </w:r>
    </w:p>
    <w:p w14:paraId="5E1E56C4" w14:textId="77777777" w:rsidR="00785F34" w:rsidRPr="008D500B" w:rsidRDefault="00F10B73" w:rsidP="00CB1C3E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4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8D500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14:paraId="4CF37B16" w14:textId="77777777" w:rsidR="00C37333" w:rsidRPr="008D500B" w:rsidRDefault="00C37333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</w:t>
      </w:r>
      <w:r w:rsidR="00A2027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промышленного производства в </w:t>
      </w:r>
      <w:r w:rsidR="008E253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первом полугодии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</w:t>
      </w:r>
      <w:r w:rsidR="00A2027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была разнонаправленной: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феврале</w:t>
      </w:r>
      <w:r w:rsidR="008E253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апреле </w:t>
      </w:r>
      <w:r w:rsidR="008E253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июне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годовом выражении отмечалось резкое ускорение (прирост </w:t>
      </w:r>
      <w:r w:rsidR="008E253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3,3-4,6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за месяц), сменявшееся существенным замедлением (до 0,9-1,2 %). При этом </w:t>
      </w:r>
      <w:r w:rsidR="00A540A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высокие темпы роста в феврале (на 4,1 %) и замедление в мае (до 0,9 %) частично объясняется календарным фактором: в феврале 2019 года было больше рабочих дней, чем в феврале 2018 года, а в мае 2019 года – меньше.</w:t>
      </w:r>
    </w:p>
    <w:p w14:paraId="33C5EBAF" w14:textId="77777777" w:rsidR="00461C3B" w:rsidRPr="008D500B" w:rsidRDefault="00461C3B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за январь – </w:t>
      </w:r>
      <w:r w:rsidR="0057035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по сравнению с аналогичным периодом 2018 года прирост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промышленного производства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2,</w:t>
      </w:r>
      <w:r w:rsidR="00570353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январе – </w:t>
      </w:r>
      <w:r w:rsidR="0057035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</w:t>
      </w:r>
      <w:r w:rsidR="0057035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14:paraId="4AEF799B" w14:textId="77777777" w:rsidR="00D22C9F" w:rsidRPr="008D500B" w:rsidRDefault="006C1ECD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Ускорению д</w:t>
      </w:r>
      <w:r w:rsidR="0068509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инамик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68509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промышленного производства в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68509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F222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рост на 3,3 % </w:t>
      </w:r>
      <w:r w:rsidR="0068509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годовом выражении) </w:t>
      </w:r>
      <w:r w:rsidR="00F222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способствовал рост в обрабатывающих производствах (на 3,4 %)</w:t>
      </w:r>
      <w:r w:rsidR="00DC7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чья доля в общем показателе превышает 50 %. Одновременно в июне замедлился прирост в добывающих отраслях экономики – до 2,3 % за счет снижения добычи газа. </w:t>
      </w:r>
      <w:r w:rsidR="00F95C4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68509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обеспечении электрической энергией газом и паром, кондиционировании воздуха </w:t>
      </w:r>
      <w:r w:rsidR="00DC7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также отмечался рост – на 2,5 % в годовом выражении</w:t>
      </w:r>
      <w:r w:rsidR="005F14C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C7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F14C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DC7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5C4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водоснабжении, водоотведении, организации сбора и утилизации отходов, деятельности по ликвидации загрязнений </w:t>
      </w:r>
      <w:r w:rsidR="00DC7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июне было снижение на 1,8 %</w:t>
      </w:r>
      <w:r w:rsidR="00F95C4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01911C3" w14:textId="77777777" w:rsidR="00C91222" w:rsidRPr="008D500B" w:rsidRDefault="0031042D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417E6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целом 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январь – </w:t>
      </w:r>
      <w:r w:rsidR="004F58C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июнь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текущего года по сравнению с аналогичным периодом 2018 года </w:t>
      </w:r>
      <w:r w:rsidR="00417E6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в </w:t>
      </w:r>
      <w:r w:rsidR="00417E6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добыче полезных ископаемых</w:t>
      </w:r>
      <w:r w:rsidR="00417E6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</w:t>
      </w:r>
      <w:r w:rsidR="00FB45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9E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FB45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январе – </w:t>
      </w:r>
      <w:r w:rsidR="004F58C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FB45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</w:t>
      </w:r>
      <w:r w:rsidR="008D5E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B45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1,</w:t>
      </w:r>
      <w:r w:rsidR="004F58C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FB450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  <w:r w:rsidR="00B3161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Основную поддержку динамике в данном виде деятельности оказал рост добычи газа нефтяного попутного (на 7</w:t>
      </w:r>
      <w:r w:rsidR="004F58C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,4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69545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 При этом</w:t>
      </w:r>
      <w:r w:rsidR="005B7BC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как уже отмечалось,</w:t>
      </w:r>
      <w:r w:rsidR="0069545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B3C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июне по сравнению с маем отмечалось снижение его добычи</w:t>
      </w:r>
      <w:r w:rsidR="00333D1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CCB599B" w14:textId="77777777" w:rsidR="00B306A1" w:rsidRPr="008D500B" w:rsidRDefault="00921C55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обрабатывающих производствах</w:t>
      </w:r>
      <w:r w:rsidR="00EA2EF9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r w:rsidR="00EA2EF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снижение в январе и мае (на 1 %) в</w:t>
      </w:r>
      <w:r w:rsidR="00DC34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целом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</w:t>
      </w:r>
      <w:r w:rsidR="004010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январь - июнь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F64F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сравнению с аналогичным периодом предыдущего года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 зафиксирован рост на </w:t>
      </w:r>
      <w:r w:rsidR="00EA2EF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1,</w:t>
      </w:r>
      <w:r w:rsidR="004010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январе – </w:t>
      </w:r>
      <w:r w:rsidR="005B7BC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на </w:t>
      </w:r>
      <w:r w:rsidR="00241AD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4 %).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6141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Положительн</w:t>
      </w:r>
      <w:r w:rsidR="00D541D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F6141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динамик</w:t>
      </w:r>
      <w:r w:rsidR="00D541D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F6141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обрабатывающих производствах </w:t>
      </w:r>
      <w:r w:rsidR="00D541D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была </w:t>
      </w:r>
      <w:r w:rsidR="00DC56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обеспечена</w:t>
      </w:r>
      <w:r w:rsidR="00F6141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</w:t>
      </w:r>
      <w:r w:rsidR="00D541D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825D3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производства 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лекарственных средств и материалов, применяемых в медицинских целях (на 16,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прочей неметаллической минеральной продукции (на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7,1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готовых металлических изделий, кроме машин и оборудования (на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пищевых продуктов (на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3,8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2D357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химических веществ и химических продуктов (на </w:t>
      </w:r>
      <w:r w:rsidR="00375F6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2,8 %)</w:t>
      </w:r>
      <w:r w:rsidR="00F6141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0395B22" w14:textId="77777777" w:rsidR="002830C4" w:rsidRPr="008D500B" w:rsidRDefault="006972EB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2E4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июне в годовом выражении отмечалось заметное ускорение – до 2,5 %. Этому способствовало увеличение генерации и распределения электроэнергии после окончания работ на ряде объектов энергетики. В</w:t>
      </w:r>
      <w:r w:rsidR="003671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целом за январь –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июнь</w:t>
      </w:r>
      <w:r w:rsidR="003671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по сравнению с аналогичным периодом 2018 года</w:t>
      </w:r>
      <w:r w:rsidR="00AD2E4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указанном укрупненном виде промышленной деятельности</w:t>
      </w:r>
      <w:r w:rsidR="003671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был зафиксирован нулевой рост (в аналогичном периоде 2018 года – рост на 1,9 %).</w:t>
      </w:r>
    </w:p>
    <w:p w14:paraId="136A20AA" w14:textId="77777777" w:rsidR="006972EB" w:rsidRPr="008D500B" w:rsidRDefault="000008AA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водоснабжении, водоотведении, организации сбора и утилизации отходов, деятельности по </w:t>
      </w:r>
      <w:r w:rsidR="00F22C33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ликвидации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загрязнений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–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по сравнению с аналогичным периодом 2018 года был рост на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1,5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январе – </w:t>
      </w:r>
      <w:r w:rsidR="002830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снижение на 2</w:t>
      </w:r>
      <w:r w:rsidR="000163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,1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14:paraId="6973D027" w14:textId="77777777" w:rsidR="00CB1C3E" w:rsidRPr="008D500B" w:rsidRDefault="00CB1C3E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05636D" w14:textId="77777777" w:rsidR="00785F34" w:rsidRPr="008D500B" w:rsidRDefault="00F10B73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Производство продукции сельского хозяйства</w:t>
      </w:r>
    </w:p>
    <w:p w14:paraId="38C41EB8" w14:textId="77777777" w:rsidR="00687858" w:rsidRPr="008D500B" w:rsidRDefault="00687858" w:rsidP="00CB1C3E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продукции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сельского хозяйства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</w:t>
      </w:r>
      <w:r w:rsidR="00A549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 w:rsidR="00C4068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 года по сравнению с аналогичным периодом 2018 года выросло на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1,</w:t>
      </w:r>
      <w:r w:rsidR="00900A8B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январе – </w:t>
      </w:r>
      <w:r w:rsidR="00A549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на 2 %).</w:t>
      </w:r>
    </w:p>
    <w:p w14:paraId="56DB55AE" w14:textId="77777777" w:rsidR="00687858" w:rsidRPr="008D500B" w:rsidRDefault="00F17C1B" w:rsidP="00CB1C3E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2018 году </w:t>
      </w:r>
      <w:r w:rsidR="00474B3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посевы зерновых и зернобобовых культур выросли на 0,6 % (на 0,3 млн. га), в частности, посевы пшеницы – на 3 % (на 0,8 млн. га). Также выросли площади подсолнечника (на 5 %, или на 400 тыс. га), сахарной свеклы (на 1,7 %, или на 19 тыс. га), овощей (на </w:t>
      </w:r>
      <w:r w:rsidR="004067B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5,7</w:t>
      </w:r>
      <w:r w:rsidR="00474B3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или на </w:t>
      </w:r>
      <w:r w:rsidR="004067B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474B3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га). </w:t>
      </w:r>
      <w:r w:rsidR="004016D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Одновременно сократились площади картофеля (на </w:t>
      </w:r>
      <w:r w:rsidR="00474B3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1,7</w:t>
      </w:r>
      <w:r w:rsidR="004016D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474B3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или на 5 тыс. га</w:t>
      </w:r>
      <w:r w:rsidR="004016D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3772D013" w14:textId="77777777" w:rsidR="00474B39" w:rsidRPr="008D500B" w:rsidRDefault="00474B39" w:rsidP="00CB1C3E">
      <w:pPr>
        <w:overflowPunct w:val="0"/>
        <w:autoSpaceDE w:val="0"/>
        <w:autoSpaceDN w:val="0"/>
        <w:adjustRightInd w:val="0"/>
        <w:spacing w:after="0" w:line="348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 прогнозам Минсельхоза России, в текущем году ожидается урожай зерновых в объеме около 118 млн. тонн</w:t>
      </w:r>
      <w:r w:rsidR="003908D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2018 году – 113 млн. тонн)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пшеницы – до 75 млн. тонн</w:t>
      </w:r>
      <w:r w:rsidR="003908D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2018 году – 72 млн. тонн)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что позволит не только обеспечить внутренний рынок, но и увеличить экспорт зерна.</w:t>
      </w:r>
    </w:p>
    <w:p w14:paraId="4AA536E7" w14:textId="77777777" w:rsidR="00785F34" w:rsidRPr="008D500B" w:rsidRDefault="00F10B73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14:paraId="3F381921" w14:textId="77777777" w:rsidR="00664FA6" w:rsidRPr="008D500B" w:rsidRDefault="00664FA6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июне 2019 года отмечался минимальный прирост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индекса потребительских цен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(0,04 % за месяц). В целом с начала года инфляция составила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2,5 %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что на 0,4 процентного пункта больше, чем в аналогичном периоде предыдущего года (по итогам июня 2018 года – 2,1 %).</w:t>
      </w:r>
    </w:p>
    <w:p w14:paraId="6628DF54" w14:textId="77777777" w:rsidR="00664FA6" w:rsidRPr="008D500B" w:rsidRDefault="00664FA6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годовом выражении инфляция в июне также существенно замедлилась и опустилась ниже 5 %, составив 4,7 %. Основн</w:t>
      </w:r>
      <w:r w:rsidR="006D27E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ыми факторами, сдерживающими динамику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потребительских цен</w:t>
      </w:r>
      <w:r w:rsidR="006D27E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D27E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являются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темпов роста цен на непродовольственные товары на фоне высокой базы 2018 года</w:t>
      </w:r>
      <w:r w:rsidR="003E2F4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(до 3,5 % в годовом выражении),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сезонное удешевление продовольственных товаров</w:t>
      </w:r>
      <w:r w:rsidR="003E2F4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(5,5 %), в частности, плодоовощной продукции, а также сдержанный рост потребительского спроса. Годовая инфляция на услуги также замедлилась (до 4,9 %).</w:t>
      </w:r>
    </w:p>
    <w:p w14:paraId="490C7946" w14:textId="77777777" w:rsidR="00D541DD" w:rsidRPr="008D500B" w:rsidRDefault="00147BA9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 итогам июня с</w:t>
      </w:r>
      <w:r w:rsidR="00732DB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начала года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наибольший прирост цен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отмечал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</w:t>
      </w:r>
      <w:r w:rsidR="00732DB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32DB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продовольственные товары</w:t>
      </w:r>
      <w:r w:rsidR="00732DB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3 %.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Несмотря на сезонное снижение (в июне по сравнению с маем – на 0,5 процентного пункта), у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дорожание</w:t>
      </w:r>
      <w:r w:rsidR="005324E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продовольственны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х</w:t>
      </w:r>
      <w:r w:rsidR="005324E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="005324E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продолжает вносить наибольший в</w:t>
      </w:r>
      <w:r w:rsidR="00DC56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клад в рост потребительских цен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который по итогам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июня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начала года составил 1,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(из 2,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093B9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пункта)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из которых 0,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</w:t>
      </w:r>
      <w:r w:rsidR="009A1CF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ого</w:t>
      </w:r>
      <w:r w:rsidR="00D541D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пункта приходятся на плодоовощную продукцию.</w:t>
      </w:r>
    </w:p>
    <w:p w14:paraId="7E955183" w14:textId="77777777" w:rsidR="006B4959" w:rsidRPr="008D500B" w:rsidRDefault="006B4959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B578C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лодоовощн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B578C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продукци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B578C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за месяц подешевела на 4,5 %</w:t>
      </w:r>
      <w:r w:rsidR="00BF1B6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однако с начала года прирост цен на данную группу продуктов сохраняется на высоком уровне – 13 %.</w:t>
      </w:r>
      <w:r w:rsidR="00E3081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Благодаря более раннему началу сбора урожая рост цен на продукты «борщевого набора»</w:t>
      </w:r>
      <w:r w:rsidR="009446E4" w:rsidRPr="008D500B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2"/>
      </w:r>
      <w:r w:rsidR="00E3081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начала года замедлился, но </w:t>
      </w:r>
      <w:r w:rsidR="002B0C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остается довольно высоким.</w:t>
      </w:r>
      <w:r w:rsidR="00E3081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B0C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</w:t>
      </w:r>
      <w:r w:rsidR="004067B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лук репчатый подорожал в 1,7 раза, морковь - </w:t>
      </w:r>
      <w:r w:rsidR="002B0C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E3081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1,6 раза, картофел</w:t>
      </w:r>
      <w:r w:rsidR="002B0C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E3081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1,5 раза, </w:t>
      </w:r>
      <w:r w:rsidR="002B0C4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капуста – в 1,3 раза. </w:t>
      </w:r>
    </w:p>
    <w:p w14:paraId="4164FBB0" w14:textId="77777777" w:rsidR="001C32E1" w:rsidRPr="008D500B" w:rsidRDefault="00492C1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Также ср</w:t>
      </w:r>
      <w:r w:rsidR="007D63C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 продовольственных товаров отмечался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заметный</w:t>
      </w:r>
      <w:r w:rsidR="00E46BF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цен</w:t>
      </w:r>
      <w:r w:rsidR="0056588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376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1C32E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молочные продукты</w:t>
      </w:r>
      <w:r w:rsidR="00DD55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продукты переработки зерна. Крупа и бобовые подорожали на 7,5 %, макаронные изделия – на 5 %, м</w:t>
      </w:r>
      <w:r w:rsidR="0052777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асло сливочное </w:t>
      </w:r>
      <w:r w:rsidR="00DD55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52777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DD55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52777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</w:t>
      </w:r>
      <w:r w:rsidR="001C32E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молоко и молочная продукция </w:t>
      </w:r>
      <w:r w:rsidR="0052777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 на 2,</w:t>
      </w:r>
      <w:r w:rsidR="00DD55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52777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1C32E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D55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E1D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дальнейшем сдерживающее влияние на рост цен на молочную продукцию может оказать снижение мировых цен, а на продукты переработки зерна – </w:t>
      </w:r>
      <w:r w:rsidR="004F742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прогнозируемый Минсельхозом России </w:t>
      </w:r>
      <w:r w:rsidR="00BE1D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урожай.</w:t>
      </w:r>
    </w:p>
    <w:p w14:paraId="5A185465" w14:textId="77777777" w:rsidR="00CC0789" w:rsidRPr="008D500B" w:rsidRDefault="00492C1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Одновременно </w:t>
      </w:r>
      <w:r w:rsidR="000C77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продолжают дешеветь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яйца куриные 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BE1D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20,4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сахар-песок </w:t>
      </w:r>
      <w:r w:rsidR="0091564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BE1D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6,6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91564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0C77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масло подсолнечное </w:t>
      </w:r>
      <w:r w:rsidR="0091564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0C77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на 1,</w:t>
      </w:r>
      <w:r w:rsidR="00BE1D2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0C77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91564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26A8F24" w14:textId="77777777" w:rsidR="006A1D01" w:rsidRPr="008D500B" w:rsidRDefault="0023162E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Рост цен на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непродовольственные товары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 начала года составил 1,</w:t>
      </w:r>
      <w:r w:rsidR="00BE0FE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</w:t>
      </w:r>
      <w:r w:rsidR="00B54C2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вклад в инфляцию </w:t>
      </w:r>
      <w:r w:rsidR="00936D0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54C2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BE0FE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B54C2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 из </w:t>
      </w:r>
      <w:r w:rsidR="00AB6EF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</w:t>
      </w:r>
      <w:r w:rsidR="00BE0FE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B54C2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D0239DB" w14:textId="77777777" w:rsidR="00D156FD" w:rsidRPr="008D500B" w:rsidRDefault="00D156FD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значительное удорожание с начала года отмечалось на табачные изделия (на 4,7 %) и медикаменты (на 3,9 %).</w:t>
      </w:r>
    </w:p>
    <w:p w14:paraId="59728868" w14:textId="77777777" w:rsidR="00A745B8" w:rsidRPr="008D500B" w:rsidRDefault="00A745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июне ускорился рост цен на бензин автомобильный (до 0,7 % за месяц), а также после длительного периода удешевления начало дорожать дизельное топливо (на 0,1 %). Однако в условиях действия соглаш</w:t>
      </w:r>
      <w:r w:rsidR="004F742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ения между Правительством Российской Федерации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крупнейшими нефтяными компаниями цены на автомобильное топливо растут умеренными темпами</w:t>
      </w:r>
      <w:r w:rsidR="00D156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156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итогам июня с начала года </w:t>
      </w:r>
      <w:r w:rsidR="00D156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бензин автомобильный подорожал на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1,4 %, </w:t>
      </w:r>
      <w:r w:rsidR="003755B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дизельное топливо </w:t>
      </w:r>
      <w:r w:rsidR="00D156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подешевело на 0,5 %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9E7F5BE" w14:textId="77777777" w:rsidR="00792C0F" w:rsidRPr="008D500B" w:rsidRDefault="00792C0F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Цены на ряд товаров длительного пользования растут медленными темпами, чему способствует сдержанный потребительский спрос. Так, телерадиотовары по итогам июня с начала года подешевели на 2,9 %, а электротовары и другие бытовые товары подорожали на 1,2 %, при этом в июне обе группы товаров дешевели (на 0,9 % и 0,1 % соответственно).</w:t>
      </w:r>
    </w:p>
    <w:p w14:paraId="72CB4C71" w14:textId="77777777" w:rsidR="001D5C44" w:rsidRPr="008D500B" w:rsidRDefault="00216703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цен на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услуги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473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июня </w:t>
      </w:r>
      <w:r w:rsidR="003432E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 начала года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</w:t>
      </w:r>
      <w:r w:rsidR="005516D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2,</w:t>
      </w:r>
      <w:r w:rsidR="009473C4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%</w:t>
      </w:r>
      <w:r w:rsidR="00DF60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вклад в инфляцию </w:t>
      </w:r>
      <w:r w:rsidR="00B849C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F60F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9473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 из </w:t>
      </w:r>
      <w:r w:rsidR="003E767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</w:t>
      </w:r>
      <w:r w:rsidR="009473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процентного пункта)</w:t>
      </w:r>
      <w:r w:rsidR="001D5C4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C4083C2" w14:textId="77777777" w:rsidR="009473C4" w:rsidRPr="008D500B" w:rsidRDefault="001D5C44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Вследствие индексации тарифов с 1 января наибольший прирост цен по итогам </w:t>
      </w:r>
      <w:r w:rsidR="009473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июня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начала года традиционно наблюдается на жилищно-коммунальные услуги (на 2,</w:t>
      </w:r>
      <w:r w:rsidR="009473C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  <w:r w:rsidR="004F742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Следует отметить, что в 2019 году повышение тарифов проводилось в два этапа: с 1 января и с 1 июля</w:t>
      </w:r>
      <w:r w:rsidR="0054769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4F742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067B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индексации тарифов инфляция в начале месяца ускорилась, однако была частично компенсирована снижением цен на продовольственные товары.</w:t>
      </w:r>
    </w:p>
    <w:p w14:paraId="520B9B4B" w14:textId="77777777" w:rsidR="009473C4" w:rsidRPr="008D500B" w:rsidRDefault="009473C4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июне резко подорожали такие сезонные виды услуг, как санаторно-оздоровительные (на 6,2 %) и пассажирского транспорта (на 3,1 %), в результате чего с начала года прирост цен на данные виды услуг составил 8,6 % и 7,4 % соответственно. Подобная динамика не является уникальной: в июне 2018 года санаторно-оздоровительные услуги подорожали на 7,1 %, а услуги пассажирского транспорта – на 4,3 %.</w:t>
      </w:r>
    </w:p>
    <w:p w14:paraId="225162CA" w14:textId="77777777" w:rsidR="001D5C44" w:rsidRPr="008D500B" w:rsidRDefault="00872372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прирост цен на услуги зарубежного туризма сохраняется на относительно невысоком уровне: за июнь он составил 1,9 %, с начала года – 2,4 %.</w:t>
      </w:r>
    </w:p>
    <w:p w14:paraId="2747B15B" w14:textId="31E96F41" w:rsidR="002115E4" w:rsidRPr="008D500B" w:rsidRDefault="002115E4" w:rsidP="002115E4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июле инфляция ускорилась вследствие роста тарифов и составила за месяц 0,2 %, с начала года – 2,7 %. В годовом выражении прирост цен в июле замедлился до 4,6 %.</w:t>
      </w:r>
    </w:p>
    <w:p w14:paraId="046BBEF6" w14:textId="77777777" w:rsidR="0070389C" w:rsidRPr="008D500B" w:rsidRDefault="0070389C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При сохранении в летние месяцы минимального роста цен и при отсутствии внешних шоков во второй половине года прогнозно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инфляции, 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учтенное в статье 1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 459-ФЗ (4,3 %)</w:t>
      </w:r>
      <w:r w:rsidR="00D25FE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855B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представляется реалистичным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489A11C" w14:textId="77777777" w:rsidR="008376B8" w:rsidRPr="008D500B" w:rsidRDefault="008376B8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7. Численность населения</w:t>
      </w:r>
    </w:p>
    <w:p w14:paraId="1EF67C6D" w14:textId="77777777" w:rsidR="009273E1" w:rsidRPr="008D500B" w:rsidRDefault="009273E1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постоянного населения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по состоянию на 1 июня 2019 года составила 146,7 млн. человек. С начала года численность сократилась на 64,9 тысяч человек.</w:t>
      </w:r>
      <w:r w:rsidR="000962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Миграционный прирост компенсировал естественную убыль населения только на 64 %.</w:t>
      </w:r>
    </w:p>
    <w:p w14:paraId="71101F7C" w14:textId="77777777" w:rsidR="008376B8" w:rsidRPr="008D500B" w:rsidRDefault="008376B8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родившихся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мае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составило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600,2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что на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50,9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тыс. человек, или 7,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 меньше, чем в январе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мае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года.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умерших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январе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мае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2019 года составило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780,6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уменьшившись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аналоги</w:t>
      </w:r>
      <w:bookmarkStart w:id="0" w:name="_GoBack"/>
      <w:bookmarkEnd w:id="0"/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чным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периодом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на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17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,7 тысячи человек, или на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2,2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</w:t>
      </w:r>
      <w:r w:rsidR="00AA7EE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Превышение числа умерших над числом родившихся составило 1,3 раза (в янв</w:t>
      </w:r>
      <w:r w:rsidR="006218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аре – мае 2018 года – 1,2 раза)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при этом в </w:t>
      </w:r>
      <w:r w:rsidR="006218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39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субъектах Российской Федерации это превышение составило 1,5-2,</w:t>
      </w:r>
      <w:r w:rsidR="0062180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раза.</w:t>
      </w:r>
    </w:p>
    <w:p w14:paraId="1294D99A" w14:textId="77777777" w:rsidR="008376B8" w:rsidRPr="008D500B" w:rsidRDefault="008376B8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Естественная убыль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январе</w:t>
      </w:r>
      <w:r w:rsidR="002062E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мае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увеличилась до </w:t>
      </w:r>
      <w:r w:rsidR="002062E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180,4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тыс. человек, что на </w:t>
      </w:r>
      <w:r w:rsidR="002062E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33,2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тысячи человек, или в 1,</w:t>
      </w:r>
      <w:r w:rsidR="002062E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раза, больше аналогичного периода 2018 года. Естественный прирост был зафиксирован только в 1</w:t>
      </w:r>
      <w:r w:rsidR="00EC443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субъектах Российской Федерации.</w:t>
      </w:r>
    </w:p>
    <w:p w14:paraId="736C9EAB" w14:textId="77777777" w:rsidR="00665FC7" w:rsidRPr="008D500B" w:rsidRDefault="00665FC7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Ускоряющаяся шестой год подряд естественная убыль населения создает существенные риски для реализации национальной цели по обеспечению устойчивого естественного роста численности населения Российской Федерации.</w:t>
      </w:r>
    </w:p>
    <w:p w14:paraId="290FE907" w14:textId="77777777" w:rsidR="00785F34" w:rsidRPr="008D500B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Занятость</w:t>
      </w:r>
    </w:p>
    <w:p w14:paraId="626B8264" w14:textId="77777777" w:rsidR="00C72FB8" w:rsidRPr="008D500B" w:rsidRDefault="00720B3C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3921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72FB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0C350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="003921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143A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продолжил</w:t>
      </w:r>
      <w:r w:rsidR="00C72FB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B143A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сь</w:t>
      </w:r>
      <w:r w:rsidR="00C72FB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тенденция к снижению как численности безрабо</w:t>
      </w:r>
      <w:r w:rsidR="00854D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тных, так и численности занятых. 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854D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нижени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854D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численности рабочей силы может стать фактором, ограничивающим экономический рост.</w:t>
      </w:r>
    </w:p>
    <w:p w14:paraId="51760FCB" w14:textId="77777777" w:rsidR="00074DB4" w:rsidRPr="008D500B" w:rsidRDefault="00CB5962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занятых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в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январе</w:t>
      </w:r>
      <w:r w:rsidR="000B449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75B0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B449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368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составила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71,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004AE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млн. человек, что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меньше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аналогичного показателя 201</w:t>
      </w:r>
      <w:r w:rsidR="00D267E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на 0,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человек.</w:t>
      </w:r>
      <w:r w:rsidR="00074DB4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безработных</w:t>
      </w:r>
      <w:r w:rsidR="003921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январе</w:t>
      </w:r>
      <w:r w:rsidR="00875B0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875B0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2019 года</w:t>
      </w:r>
      <w:r w:rsidR="0033159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снизилась до </w:t>
      </w:r>
      <w:r w:rsidR="00E24941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3,</w:t>
      </w:r>
      <w:r w:rsidR="00CA5C6F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млн. человек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что на 0,2 млн. человек меньше, чем в январе</w:t>
      </w:r>
      <w:r w:rsidR="000B449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75B0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B449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E24941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года.</w:t>
      </w:r>
      <w:r w:rsidR="0072443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органах службы занятости в 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72443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в качестве безработных были зарегистрированы 0,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72443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человек, в том числе 0,</w:t>
      </w:r>
      <w:r w:rsidR="00122FE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72443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 получали пособие по безработице.</w:t>
      </w:r>
    </w:p>
    <w:p w14:paraId="3948B3F1" w14:textId="77777777" w:rsidR="003921B6" w:rsidRPr="008D500B" w:rsidRDefault="003921B6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Уровень безработицы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BB07E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41337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</w:t>
      </w:r>
      <w:r w:rsidR="00CA7D4B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4,</w:t>
      </w:r>
      <w:r w:rsidR="00AC70A7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%</w:t>
      </w:r>
      <w:r w:rsidR="0041337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что на 0,</w:t>
      </w:r>
      <w:r w:rsidR="00AC70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 </w:t>
      </w:r>
      <w:r w:rsidR="0041337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процентного пункта меньше показателя </w:t>
      </w:r>
      <w:r w:rsidR="009756B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аналогичного периода</w:t>
      </w:r>
      <w:r w:rsidR="0041337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B1FDA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A5C6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Текущий уровень безработицы является самым низким в современной истории России.</w:t>
      </w:r>
    </w:p>
    <w:p w14:paraId="352BEC2F" w14:textId="77777777" w:rsidR="00785F34" w:rsidRPr="008D500B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14:paraId="7110936C" w14:textId="77777777" w:rsidR="00627BE3" w:rsidRPr="008D500B" w:rsidRDefault="00805924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</w:t>
      </w:r>
      <w:r w:rsidR="003E0FD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7072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реальной начисленной среднемесячной заработной платы</w:t>
      </w:r>
      <w:r w:rsidR="00F7072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январе – 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была неоднородной и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колеб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ала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нулевого роста в феврале до </w:t>
      </w:r>
      <w:r w:rsidR="00627B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3,1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в </w:t>
      </w:r>
      <w:r w:rsidR="00627B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апреле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годовом выражении</w:t>
      </w:r>
      <w:r w:rsidR="00D91E2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 В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июне в годовом выражении ее прирост составил 2,3 %, а в целом за </w:t>
      </w:r>
      <w:r w:rsidR="00DC1F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январь – июнь 2019</w:t>
      </w:r>
      <w:r w:rsidR="001234E8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по сравнению с аналогичным периодом 2018 года – 1,8 % (в январе – июне 2018 года – 8,7 %). </w:t>
      </w:r>
      <w:r w:rsidR="00DC1F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Столь высокая база предыдущего года объясняется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существенным</w:t>
      </w:r>
      <w:r w:rsidR="00627BE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 мерами поддержки, реализованными во исполнение «майских» Указов 2012 года.</w:t>
      </w:r>
    </w:p>
    <w:p w14:paraId="23F499F6" w14:textId="77777777" w:rsidR="00CD08A7" w:rsidRPr="008D500B" w:rsidRDefault="0055213E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Темп прироста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реального размера пенсий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году сохраняется на невысоком, но стабильном уровне в диапазоне 0,6-0,</w:t>
      </w:r>
      <w:r w:rsidR="00DC1F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DE70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 в месяц в годовом выражении, а в июне ускорился до 1,4 %.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январь – </w:t>
      </w:r>
      <w:r w:rsidR="00DE70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июнь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по сравнению с аналогичным периодом 2018 года р</w:t>
      </w:r>
      <w:r w:rsidR="00CD08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еальный размер пенсий </w:t>
      </w:r>
      <w:r w:rsidR="00DE70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вырос на 0,8</w:t>
      </w:r>
      <w:r w:rsidR="001D3C8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(в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- </w:t>
      </w:r>
      <w:r w:rsidR="00DE70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62228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D3C8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2018 года – на </w:t>
      </w:r>
      <w:r w:rsidR="00DC1F1B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1,</w:t>
      </w:r>
      <w:r w:rsidR="00DE70A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1D3C8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6C5F4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9C3326D" w14:textId="77777777" w:rsidR="00DC1F1B" w:rsidRPr="008D500B" w:rsidRDefault="00DC1F1B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реальных располагаемых денежных доходов населения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первом полугодии текущего года сохранялась в отрицательной области. </w:t>
      </w:r>
      <w:r w:rsidR="00B20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После снижения в первом квартале на 2,</w:t>
      </w:r>
      <w:r w:rsidR="00AC70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B20FE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 во втором квартале темпы снижения замедлились до 0,2 %. В целом за январь – июнь 2019 года по сравнению с аналогичным периодом 2018 года реальные располагаемые денежные доходы снизились на 1,3 % (в первом полугоди</w:t>
      </w:r>
      <w:r w:rsidR="008F287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 2018 года был рост на 1,3 %).</w:t>
      </w:r>
    </w:p>
    <w:p w14:paraId="50728B6A" w14:textId="77777777" w:rsidR="00212007" w:rsidRPr="008D500B" w:rsidRDefault="008F2873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причиной продолжающегося снижения реальных располагаемых денежных доходов населения на фоне роста реальной заработной платы и реального размера назначенных пенсий является </w:t>
      </w:r>
      <w:r w:rsidR="0021200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слабый рост доходов от предпринимательской и иной производственной деятельности, а также снижение доходов от собственности. Одновременно на динамику реальных располагаемых денежных доходов населения оказывает давление рост обязательных платежей и разнообразных взносов, 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включая платежи п</w:t>
      </w:r>
      <w:r w:rsidR="00CC050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 обслуживанию кредитов: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C050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</w:t>
      </w:r>
      <w:r w:rsidR="00F61E8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первое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полугодие 2019 года прирост обязательных платежей и взносов составил 8,</w:t>
      </w:r>
      <w:r w:rsidR="00AC70A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026D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тогда как прирост общего объема денежных доходов населения составил всего 4,4 %. </w:t>
      </w:r>
    </w:p>
    <w:p w14:paraId="555B393F" w14:textId="77777777" w:rsidR="00F61E86" w:rsidRPr="008D500B" w:rsidRDefault="00F61E86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населения с денежными доходами ниже величины прожиточного минимума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2019 года составила 14,3 % (20,9 млн. человек), что выше аналогичного периода 2018 года на 0,4 процентного пункта (на 0,5 млн. человек). Подобный рост уровня бедности частично объясняетс</w:t>
      </w:r>
      <w:r w:rsidR="00547B2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фактором сезонности – в </w:t>
      </w:r>
      <w:r w:rsidR="00547B25"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денежные доходы традиционно ниже, а прожиточный минимум – выше.</w:t>
      </w:r>
    </w:p>
    <w:p w14:paraId="27B01AA0" w14:textId="77777777" w:rsidR="00F61E86" w:rsidRPr="008D500B" w:rsidRDefault="00F61E86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кварталах текущего года уровень бедности, вероятно, снизится, чему будет способствовать замедление снижения реальных располагаемых денежных доходов населения во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квартале текущего года и низкая база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8D500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кварталов 2018 года.</w:t>
      </w:r>
    </w:p>
    <w:p w14:paraId="29FA45D1" w14:textId="77777777" w:rsidR="00CB1C3E" w:rsidRPr="008D500B" w:rsidRDefault="00CB1C3E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015526AA" w14:textId="77777777" w:rsidR="00CB1C3E" w:rsidRPr="008D500B" w:rsidRDefault="00CB1C3E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</w:p>
    <w:p w14:paraId="3AB90307" w14:textId="77777777" w:rsidR="00785F34" w:rsidRPr="008D500B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10</w:t>
      </w:r>
      <w:r w:rsidR="00785F34"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14:paraId="66B5F105" w14:textId="77777777" w:rsidR="003921B6" w:rsidRPr="008D500B" w:rsidRDefault="008F2873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оказател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ей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 характеризующи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потребительский спрос</w:t>
      </w:r>
      <w:r w:rsidR="00AF6041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r w:rsidR="00F05CF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за январь –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июнь</w:t>
      </w:r>
      <w:r w:rsidR="00F05CF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была разнонаправленной: оборот розничной торговли рос, хотя и более низкими темпами, а платные услуги населению показали снижение.</w:t>
      </w:r>
    </w:p>
    <w:p w14:paraId="6CEC2B13" w14:textId="77777777" w:rsidR="008F2873" w:rsidRPr="008D500B" w:rsidRDefault="008F2873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Прирост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</w:t>
      </w:r>
      <w:r w:rsidR="0079081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борот</w:t>
      </w: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790812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розничной торговли</w:t>
      </w:r>
      <w:r w:rsidR="0079081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014F5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первом полугодии текущего года устойчиво замедлялся – с 2-2,1 % в январе и феврале (в годовом выражении) до 1,4 % в мае и июне. В целом за январь – июнь прирост составил 1,7 %. 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Подобная динамика частично может объясняться высокой базой предыдущего года, а также </w:t>
      </w:r>
      <w:r w:rsidR="00CC050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некоторым </w:t>
      </w:r>
      <w:r w:rsidR="005F081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замедлением роста потребительского кредитования на фоне продолжающегося с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нижени</w:t>
      </w:r>
      <w:r w:rsidR="005F081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реальных располагаемых денежных доходов.</w:t>
      </w:r>
    </w:p>
    <w:p w14:paraId="3B3D6513" w14:textId="77777777" w:rsidR="00271E33" w:rsidRPr="008D500B" w:rsidRDefault="00AC70A7" w:rsidP="00CB1C3E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Динамика</w:t>
      </w:r>
      <w:r w:rsidR="00E423AE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латны</w:t>
      </w:r>
      <w:r w:rsidR="00E423AE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</w:t>
      </w:r>
      <w:r w:rsidR="003921B6"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услуг населению</w:t>
      </w:r>
      <w:r w:rsidR="003921B6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E74E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53540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январе </w:t>
      </w:r>
      <w:r w:rsidR="001764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1764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3540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2019 года по сравнению с январем</w:t>
      </w:r>
      <w:r w:rsidR="001764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июнем</w:t>
      </w:r>
      <w:r w:rsidR="0053540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</w:t>
      </w:r>
      <w:r w:rsidR="003578BC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53540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снизилась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1,2 % </w:t>
      </w:r>
      <w:r w:rsidR="0053540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(в январе</w:t>
      </w:r>
      <w:r w:rsidR="0017649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июне</w:t>
      </w:r>
      <w:r w:rsidR="00102CF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– </w:t>
      </w:r>
      <w:r w:rsidR="00E423A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был рост на 1,4</w:t>
      </w:r>
      <w:r w:rsidR="00102CFF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 %).</w:t>
      </w:r>
    </w:p>
    <w:p w14:paraId="3D5B5668" w14:textId="77777777" w:rsidR="008376B8" w:rsidRPr="008D500B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11. Платежный баланс</w:t>
      </w:r>
    </w:p>
    <w:p w14:paraId="740E98B6" w14:textId="77777777" w:rsidR="008B79E9" w:rsidRPr="008D500B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Банка России, </w:t>
      </w:r>
      <w:r w:rsidR="008B79E9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положительное сальдо счета текущих операций в первом полугодии 2019 года составило 45,8 млрд. долларов США, что на 4 % меньше, чем в аналогичн</w:t>
      </w:r>
      <w:r w:rsidR="006A77FD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ом периоде 2018 года</w:t>
      </w:r>
      <w:r w:rsidR="00D0352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 Отмечалось снижение большинства основных компонентов текущего счета.</w:t>
      </w:r>
    </w:p>
    <w:p w14:paraId="6F058283" w14:textId="77777777" w:rsidR="00A96C63" w:rsidRPr="008D500B" w:rsidRDefault="00D03520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</w:t>
      </w:r>
      <w:r w:rsidR="00A96C6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торговый баланс сократился на 3,4 % (до 86,5 млрд. долларов США) на фоне снижения стоимостных объемов как экспорта (на 3,1 %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203,8 млрд. долларов США</w:t>
      </w:r>
      <w:r w:rsidR="00A96C6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), так и импорта (на 3 %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117,3 млрд. долларов США</w:t>
      </w:r>
      <w:r w:rsidR="00A96C6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Уменьшились</w:t>
      </w:r>
      <w:r w:rsidR="00F022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стоимостные объемы</w:t>
      </w:r>
      <w:r w:rsidR="00A96C63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большинства основных продуктов российского экспорта</w:t>
      </w:r>
      <w:r w:rsidR="00F0220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в частности, нефти – на 1,7 %, нефтепродуктов – на 9,1 %, природного газа – на 3,8 %.</w:t>
      </w:r>
    </w:p>
    <w:p w14:paraId="416CDA4B" w14:textId="77777777" w:rsidR="008B79E9" w:rsidRPr="008D500B" w:rsidRDefault="00D03520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Дефицит баланса услуг </w:t>
      </w:r>
      <w:r w:rsidR="00513C3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в первом полугодии 2019 года составил 13,4 млрд. долларов США, при этом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импорт услуг </w:t>
      </w:r>
      <w:r w:rsidR="00513C3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сократился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(на 1,6 %)</w:t>
      </w:r>
      <w:r w:rsidR="00513C3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экспорт услуг</w:t>
      </w:r>
      <w:r w:rsidR="00513C3E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показал незначительный рост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0,7 %).</w:t>
      </w:r>
    </w:p>
    <w:p w14:paraId="07FF4F15" w14:textId="77777777" w:rsidR="002A5FF5" w:rsidRDefault="008376B8" w:rsidP="00CB1C3E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0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Сальдо финансовых операций, совершенных частным сектором,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первом </w:t>
      </w:r>
      <w:r w:rsidR="00D0352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полугодии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</w:t>
      </w:r>
      <w:r w:rsidRPr="008D500B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3"/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сравнению с аналогичным периодом 2018 года увеличилось в </w:t>
      </w:r>
      <w:r w:rsidR="00D0352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2,5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раза до </w:t>
      </w:r>
      <w:r w:rsidR="00D0352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27,3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</w:t>
      </w:r>
      <w:r w:rsidR="00D03520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было полностью сформировано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операциями банковского сектора</w:t>
      </w:r>
      <w:r w:rsidR="00BE04C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(объем вывоза капитала – 27,8 млрд долларов США). О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пераци</w:t>
      </w:r>
      <w:r w:rsidR="00BE04C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, произведенны</w:t>
      </w:r>
      <w:r w:rsidR="00BE04C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прочими секторами, </w:t>
      </w:r>
      <w:r w:rsidR="00BE04C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 не оказали влияния</w:t>
      </w:r>
      <w:r w:rsidR="00417422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динамику показателя</w:t>
      </w:r>
      <w:r w:rsidR="00BE04C7"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(ввоз – 0,5 млрд. долларов США)</w:t>
      </w:r>
      <w:r w:rsidRPr="008D50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sectPr w:rsidR="002A5FF5" w:rsidSect="008004B3">
      <w:headerReference w:type="default" r:id="rId8"/>
      <w:footerReference w:type="default" r:id="rId9"/>
      <w:headerReference w:type="first" r:id="rId10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2E642" w14:textId="77777777" w:rsidR="000D4AF4" w:rsidRDefault="000D4AF4" w:rsidP="003921B6">
      <w:pPr>
        <w:spacing w:after="0" w:line="240" w:lineRule="auto"/>
      </w:pPr>
      <w:r>
        <w:separator/>
      </w:r>
    </w:p>
  </w:endnote>
  <w:endnote w:type="continuationSeparator" w:id="0">
    <w:p w14:paraId="3953EB73" w14:textId="77777777" w:rsidR="000D4AF4" w:rsidRDefault="000D4AF4" w:rsidP="003921B6">
      <w:pPr>
        <w:spacing w:after="0" w:line="240" w:lineRule="auto"/>
      </w:pPr>
      <w:r>
        <w:continuationSeparator/>
      </w:r>
    </w:p>
  </w:endnote>
  <w:endnote w:type="continuationNotice" w:id="1">
    <w:p w14:paraId="3733F2D9" w14:textId="77777777" w:rsidR="000D4AF4" w:rsidRDefault="000D4A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4E3F6" w14:textId="77777777" w:rsidR="00F41BC5" w:rsidRPr="009D641A" w:rsidRDefault="00F41BC5">
    <w:pPr>
      <w:pStyle w:val="ab"/>
      <w:jc w:val="center"/>
      <w:rPr>
        <w:rFonts w:ascii="Times New Roman" w:hAnsi="Times New Roman" w:cs="Times New Roman"/>
      </w:rPr>
    </w:pPr>
  </w:p>
  <w:p w14:paraId="376A4955" w14:textId="77777777" w:rsidR="00F41BC5" w:rsidRDefault="00F41BC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44AEB" w14:textId="77777777" w:rsidR="000D4AF4" w:rsidRDefault="000D4AF4" w:rsidP="003921B6">
      <w:pPr>
        <w:spacing w:after="0" w:line="240" w:lineRule="auto"/>
      </w:pPr>
      <w:r>
        <w:separator/>
      </w:r>
    </w:p>
  </w:footnote>
  <w:footnote w:type="continuationSeparator" w:id="0">
    <w:p w14:paraId="0D849D18" w14:textId="77777777" w:rsidR="000D4AF4" w:rsidRDefault="000D4AF4" w:rsidP="003921B6">
      <w:pPr>
        <w:spacing w:after="0" w:line="240" w:lineRule="auto"/>
      </w:pPr>
      <w:r>
        <w:continuationSeparator/>
      </w:r>
    </w:p>
  </w:footnote>
  <w:footnote w:type="continuationNotice" w:id="1">
    <w:p w14:paraId="06E52796" w14:textId="77777777" w:rsidR="000D4AF4" w:rsidRDefault="000D4AF4">
      <w:pPr>
        <w:spacing w:after="0" w:line="240" w:lineRule="auto"/>
      </w:pPr>
    </w:p>
  </w:footnote>
  <w:footnote w:id="2">
    <w:p w14:paraId="68899851" w14:textId="77777777" w:rsidR="009446E4" w:rsidRPr="00324FC6" w:rsidRDefault="009446E4">
      <w:pPr>
        <w:pStyle w:val="a3"/>
        <w:rPr>
          <w:rFonts w:ascii="Times New Roman" w:hAnsi="Times New Roman" w:cs="Times New Roman"/>
        </w:rPr>
      </w:pPr>
      <w:r w:rsidRPr="00324FC6">
        <w:rPr>
          <w:rStyle w:val="a5"/>
          <w:rFonts w:ascii="Times New Roman" w:hAnsi="Times New Roman" w:cs="Times New Roman"/>
        </w:rPr>
        <w:footnoteRef/>
      </w:r>
      <w:r w:rsidRPr="00324FC6">
        <w:rPr>
          <w:rFonts w:ascii="Times New Roman" w:hAnsi="Times New Roman" w:cs="Times New Roman"/>
        </w:rPr>
        <w:t xml:space="preserve"> Капуста, картофель, морковь, свекла, лук.</w:t>
      </w:r>
    </w:p>
  </w:footnote>
  <w:footnote w:id="3">
    <w:p w14:paraId="01A54468" w14:textId="77777777" w:rsidR="008376B8" w:rsidRPr="00F1076E" w:rsidRDefault="008376B8" w:rsidP="008376B8">
      <w:pPr>
        <w:pStyle w:val="a3"/>
        <w:jc w:val="both"/>
        <w:rPr>
          <w:rFonts w:ascii="Times New Roman" w:hAnsi="Times New Roman" w:cs="Times New Roman"/>
        </w:rPr>
      </w:pPr>
      <w:r w:rsidRPr="00F1076E">
        <w:rPr>
          <w:rStyle w:val="a5"/>
          <w:rFonts w:ascii="Times New Roman" w:hAnsi="Times New Roman" w:cs="Times New Roman"/>
        </w:rPr>
        <w:footnoteRef/>
      </w:r>
      <w:r w:rsidRPr="00F1076E">
        <w:rPr>
          <w:rFonts w:ascii="Times New Roman" w:hAnsi="Times New Roman" w:cs="Times New Roman"/>
        </w:rPr>
        <w:t xml:space="preserve"> В рамках работ по переходу на использование статистической терминологии, гармонизированной с терминологией системы национальных счетов, начиная с публикации данных за январь-сентябрь 2018 года, Банком России изменено наименование таблицы и показателей, характеризующих трансграничные потоки капитала частного сектора. Вместо прежнего наименования «Чистый ввоз/вывоз капитала частным сектором» будет использоваться новое наименование «Финансовые операции частного сектора». Пресс-релиз Банка России от 28.12.2018</w:t>
      </w:r>
      <w:r w:rsidR="00E53C57">
        <w:rPr>
          <w:rFonts w:ascii="Times New Roman" w:hAnsi="Times New Roman" w:cs="Times New Roman"/>
        </w:rPr>
        <w:t xml:space="preserve"> г</w:t>
      </w:r>
      <w:r w:rsidRPr="00F1076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3DE940" w14:textId="77777777" w:rsidR="002B0C48" w:rsidRDefault="008004B3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271712">
          <w:rPr>
            <w:rFonts w:ascii="Times New Roman" w:hAnsi="Times New Roman" w:cs="Times New Roman"/>
            <w:noProof/>
          </w:rPr>
          <w:t>2</w:t>
        </w:r>
        <w:r w:rsidRPr="008004B3">
          <w:rPr>
            <w:rFonts w:ascii="Times New Roman" w:hAnsi="Times New Roman" w:cs="Times New Roman"/>
          </w:rPr>
          <w:fldChar w:fldCharType="end"/>
        </w:r>
      </w:p>
      <w:p w14:paraId="2E2A212E" w14:textId="77777777" w:rsidR="008004B3" w:rsidRPr="008004B3" w:rsidRDefault="000D4AF4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CB1E9" w14:textId="77777777" w:rsidR="008004B3" w:rsidRPr="008004B3" w:rsidRDefault="008004B3">
    <w:pPr>
      <w:pStyle w:val="a9"/>
      <w:jc w:val="center"/>
      <w:rPr>
        <w:rFonts w:ascii="Times New Roman" w:hAnsi="Times New Roman" w:cs="Times New Roman"/>
      </w:rPr>
    </w:pPr>
  </w:p>
  <w:p w14:paraId="1AF1F40A" w14:textId="77777777" w:rsidR="008004B3" w:rsidRDefault="008004B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B6"/>
    <w:rsid w:val="0000044C"/>
    <w:rsid w:val="000007F9"/>
    <w:rsid w:val="000007FE"/>
    <w:rsid w:val="000008AA"/>
    <w:rsid w:val="0000103D"/>
    <w:rsid w:val="000024AE"/>
    <w:rsid w:val="0000410E"/>
    <w:rsid w:val="000042EA"/>
    <w:rsid w:val="00004AE9"/>
    <w:rsid w:val="00004F25"/>
    <w:rsid w:val="0000512D"/>
    <w:rsid w:val="00005133"/>
    <w:rsid w:val="00006668"/>
    <w:rsid w:val="0000789D"/>
    <w:rsid w:val="000109FE"/>
    <w:rsid w:val="0001148B"/>
    <w:rsid w:val="00012B4B"/>
    <w:rsid w:val="00012EC2"/>
    <w:rsid w:val="0001523E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E1F"/>
    <w:rsid w:val="00021615"/>
    <w:rsid w:val="00022085"/>
    <w:rsid w:val="000226CE"/>
    <w:rsid w:val="00022746"/>
    <w:rsid w:val="00022A72"/>
    <w:rsid w:val="000235C3"/>
    <w:rsid w:val="00023B57"/>
    <w:rsid w:val="00024D36"/>
    <w:rsid w:val="00025B6C"/>
    <w:rsid w:val="00025C9A"/>
    <w:rsid w:val="00026518"/>
    <w:rsid w:val="00026D02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E25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53C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4420"/>
    <w:rsid w:val="000652C1"/>
    <w:rsid w:val="00065535"/>
    <w:rsid w:val="00065D2A"/>
    <w:rsid w:val="0006644D"/>
    <w:rsid w:val="00066506"/>
    <w:rsid w:val="00067EE5"/>
    <w:rsid w:val="00067EFB"/>
    <w:rsid w:val="00070980"/>
    <w:rsid w:val="0007101D"/>
    <w:rsid w:val="00071646"/>
    <w:rsid w:val="00071813"/>
    <w:rsid w:val="000722C5"/>
    <w:rsid w:val="00072394"/>
    <w:rsid w:val="0007304C"/>
    <w:rsid w:val="00074DB4"/>
    <w:rsid w:val="00075BD4"/>
    <w:rsid w:val="00076B38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620E"/>
    <w:rsid w:val="000962B6"/>
    <w:rsid w:val="0009638F"/>
    <w:rsid w:val="000A0F1D"/>
    <w:rsid w:val="000A1A27"/>
    <w:rsid w:val="000A1B9B"/>
    <w:rsid w:val="000A21F7"/>
    <w:rsid w:val="000A470C"/>
    <w:rsid w:val="000A4E9F"/>
    <w:rsid w:val="000A6079"/>
    <w:rsid w:val="000A6943"/>
    <w:rsid w:val="000A700C"/>
    <w:rsid w:val="000A7911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54AF"/>
    <w:rsid w:val="000B5F8B"/>
    <w:rsid w:val="000B6463"/>
    <w:rsid w:val="000C01C1"/>
    <w:rsid w:val="000C1501"/>
    <w:rsid w:val="000C20BA"/>
    <w:rsid w:val="000C30AE"/>
    <w:rsid w:val="000C3427"/>
    <w:rsid w:val="000C3507"/>
    <w:rsid w:val="000C3C50"/>
    <w:rsid w:val="000C47C5"/>
    <w:rsid w:val="000C4F77"/>
    <w:rsid w:val="000C575E"/>
    <w:rsid w:val="000C77A7"/>
    <w:rsid w:val="000C788B"/>
    <w:rsid w:val="000D14E7"/>
    <w:rsid w:val="000D26ED"/>
    <w:rsid w:val="000D2979"/>
    <w:rsid w:val="000D41F1"/>
    <w:rsid w:val="000D4AF4"/>
    <w:rsid w:val="000D55AA"/>
    <w:rsid w:val="000D56E1"/>
    <w:rsid w:val="000D6177"/>
    <w:rsid w:val="000D682E"/>
    <w:rsid w:val="000D6E87"/>
    <w:rsid w:val="000D7538"/>
    <w:rsid w:val="000E01CA"/>
    <w:rsid w:val="000E04D8"/>
    <w:rsid w:val="000E0520"/>
    <w:rsid w:val="000E0665"/>
    <w:rsid w:val="000E1805"/>
    <w:rsid w:val="000E19B0"/>
    <w:rsid w:val="000E2B6E"/>
    <w:rsid w:val="000E31F8"/>
    <w:rsid w:val="000E3EFB"/>
    <w:rsid w:val="000E666F"/>
    <w:rsid w:val="000E6F08"/>
    <w:rsid w:val="000F18F5"/>
    <w:rsid w:val="000F1928"/>
    <w:rsid w:val="000F24DF"/>
    <w:rsid w:val="000F3475"/>
    <w:rsid w:val="000F394E"/>
    <w:rsid w:val="000F517C"/>
    <w:rsid w:val="000F52EC"/>
    <w:rsid w:val="000F5A67"/>
    <w:rsid w:val="000F5DC5"/>
    <w:rsid w:val="000F62CD"/>
    <w:rsid w:val="000F6BF7"/>
    <w:rsid w:val="001003CA"/>
    <w:rsid w:val="001004AA"/>
    <w:rsid w:val="00100996"/>
    <w:rsid w:val="00101337"/>
    <w:rsid w:val="001015E8"/>
    <w:rsid w:val="001021E7"/>
    <w:rsid w:val="001029CB"/>
    <w:rsid w:val="00102CFF"/>
    <w:rsid w:val="001031D0"/>
    <w:rsid w:val="00103C1A"/>
    <w:rsid w:val="00104AD8"/>
    <w:rsid w:val="00105507"/>
    <w:rsid w:val="00105E0E"/>
    <w:rsid w:val="00105E75"/>
    <w:rsid w:val="00107A3B"/>
    <w:rsid w:val="00107CBB"/>
    <w:rsid w:val="00111E01"/>
    <w:rsid w:val="001141F1"/>
    <w:rsid w:val="00115436"/>
    <w:rsid w:val="00115A0E"/>
    <w:rsid w:val="001160F7"/>
    <w:rsid w:val="00117565"/>
    <w:rsid w:val="00117F83"/>
    <w:rsid w:val="001201BA"/>
    <w:rsid w:val="001209E5"/>
    <w:rsid w:val="00120A05"/>
    <w:rsid w:val="00120D9E"/>
    <w:rsid w:val="0012113A"/>
    <w:rsid w:val="00121695"/>
    <w:rsid w:val="00122FEE"/>
    <w:rsid w:val="001234E8"/>
    <w:rsid w:val="00123A02"/>
    <w:rsid w:val="001247ED"/>
    <w:rsid w:val="001257C1"/>
    <w:rsid w:val="0012760B"/>
    <w:rsid w:val="00127A8C"/>
    <w:rsid w:val="00127EF4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EC9"/>
    <w:rsid w:val="00146CFE"/>
    <w:rsid w:val="0014709C"/>
    <w:rsid w:val="001471A2"/>
    <w:rsid w:val="001471C6"/>
    <w:rsid w:val="00147BA9"/>
    <w:rsid w:val="00147DD2"/>
    <w:rsid w:val="00150A2E"/>
    <w:rsid w:val="00150CC2"/>
    <w:rsid w:val="00150F33"/>
    <w:rsid w:val="00151A14"/>
    <w:rsid w:val="0015229C"/>
    <w:rsid w:val="0015234B"/>
    <w:rsid w:val="00152D6E"/>
    <w:rsid w:val="0015306D"/>
    <w:rsid w:val="001533D8"/>
    <w:rsid w:val="00153E95"/>
    <w:rsid w:val="0015400B"/>
    <w:rsid w:val="001541DE"/>
    <w:rsid w:val="00154435"/>
    <w:rsid w:val="00154665"/>
    <w:rsid w:val="001563A2"/>
    <w:rsid w:val="00161475"/>
    <w:rsid w:val="001627C8"/>
    <w:rsid w:val="00164594"/>
    <w:rsid w:val="0016602F"/>
    <w:rsid w:val="001675CB"/>
    <w:rsid w:val="00167B54"/>
    <w:rsid w:val="00170751"/>
    <w:rsid w:val="00170A4B"/>
    <w:rsid w:val="00170D30"/>
    <w:rsid w:val="0017217F"/>
    <w:rsid w:val="00172B35"/>
    <w:rsid w:val="00173923"/>
    <w:rsid w:val="00174610"/>
    <w:rsid w:val="001749C9"/>
    <w:rsid w:val="00175214"/>
    <w:rsid w:val="0017649F"/>
    <w:rsid w:val="00176B3A"/>
    <w:rsid w:val="00177AB0"/>
    <w:rsid w:val="00177FC5"/>
    <w:rsid w:val="001805DE"/>
    <w:rsid w:val="001808B5"/>
    <w:rsid w:val="00180E1B"/>
    <w:rsid w:val="001829A1"/>
    <w:rsid w:val="0018380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5161"/>
    <w:rsid w:val="00196A1F"/>
    <w:rsid w:val="001A188D"/>
    <w:rsid w:val="001A199E"/>
    <w:rsid w:val="001A2D1C"/>
    <w:rsid w:val="001A2F25"/>
    <w:rsid w:val="001A665F"/>
    <w:rsid w:val="001A7225"/>
    <w:rsid w:val="001A7932"/>
    <w:rsid w:val="001A7FCA"/>
    <w:rsid w:val="001B0CD7"/>
    <w:rsid w:val="001B2BA9"/>
    <w:rsid w:val="001B2CBD"/>
    <w:rsid w:val="001B335F"/>
    <w:rsid w:val="001B37BE"/>
    <w:rsid w:val="001B3CA7"/>
    <w:rsid w:val="001B4739"/>
    <w:rsid w:val="001B4E56"/>
    <w:rsid w:val="001B51D2"/>
    <w:rsid w:val="001B5B36"/>
    <w:rsid w:val="001B612F"/>
    <w:rsid w:val="001B7F03"/>
    <w:rsid w:val="001C1630"/>
    <w:rsid w:val="001C2C1D"/>
    <w:rsid w:val="001C32E1"/>
    <w:rsid w:val="001C3F9D"/>
    <w:rsid w:val="001C40E7"/>
    <w:rsid w:val="001C463D"/>
    <w:rsid w:val="001C48FD"/>
    <w:rsid w:val="001C5A3C"/>
    <w:rsid w:val="001C5DFD"/>
    <w:rsid w:val="001C6491"/>
    <w:rsid w:val="001C6AC9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C24"/>
    <w:rsid w:val="001D5C44"/>
    <w:rsid w:val="001D61E9"/>
    <w:rsid w:val="001D665C"/>
    <w:rsid w:val="001D6B59"/>
    <w:rsid w:val="001D7F6A"/>
    <w:rsid w:val="001E00BA"/>
    <w:rsid w:val="001E0A54"/>
    <w:rsid w:val="001E0FE5"/>
    <w:rsid w:val="001E2FD1"/>
    <w:rsid w:val="001E37A1"/>
    <w:rsid w:val="001E3BD1"/>
    <w:rsid w:val="001E3DAF"/>
    <w:rsid w:val="001E4FE0"/>
    <w:rsid w:val="001E7E39"/>
    <w:rsid w:val="001F00B9"/>
    <w:rsid w:val="001F0139"/>
    <w:rsid w:val="001F1EB2"/>
    <w:rsid w:val="001F2DB5"/>
    <w:rsid w:val="001F2EB2"/>
    <w:rsid w:val="001F331C"/>
    <w:rsid w:val="001F338B"/>
    <w:rsid w:val="001F480D"/>
    <w:rsid w:val="001F5BDF"/>
    <w:rsid w:val="001F5E94"/>
    <w:rsid w:val="00200296"/>
    <w:rsid w:val="0020043B"/>
    <w:rsid w:val="00201265"/>
    <w:rsid w:val="002020D2"/>
    <w:rsid w:val="002024AE"/>
    <w:rsid w:val="00202592"/>
    <w:rsid w:val="0020428F"/>
    <w:rsid w:val="002048E9"/>
    <w:rsid w:val="00205F8E"/>
    <w:rsid w:val="002062E0"/>
    <w:rsid w:val="00207120"/>
    <w:rsid w:val="00210AB1"/>
    <w:rsid w:val="002115E4"/>
    <w:rsid w:val="00211AD8"/>
    <w:rsid w:val="00212007"/>
    <w:rsid w:val="0021391A"/>
    <w:rsid w:val="00214DD5"/>
    <w:rsid w:val="00215784"/>
    <w:rsid w:val="00216703"/>
    <w:rsid w:val="00216B74"/>
    <w:rsid w:val="002202FE"/>
    <w:rsid w:val="00222035"/>
    <w:rsid w:val="00223202"/>
    <w:rsid w:val="002244A4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232D"/>
    <w:rsid w:val="00233312"/>
    <w:rsid w:val="00233AD0"/>
    <w:rsid w:val="00233B30"/>
    <w:rsid w:val="00233B38"/>
    <w:rsid w:val="00234A2D"/>
    <w:rsid w:val="00234ECC"/>
    <w:rsid w:val="00235BFF"/>
    <w:rsid w:val="00235DBD"/>
    <w:rsid w:val="00236737"/>
    <w:rsid w:val="00237AAC"/>
    <w:rsid w:val="00237C38"/>
    <w:rsid w:val="00241483"/>
    <w:rsid w:val="00241AD1"/>
    <w:rsid w:val="002449FF"/>
    <w:rsid w:val="002463D7"/>
    <w:rsid w:val="00246B9C"/>
    <w:rsid w:val="002475D5"/>
    <w:rsid w:val="00247692"/>
    <w:rsid w:val="00247C75"/>
    <w:rsid w:val="00250B98"/>
    <w:rsid w:val="00250CF9"/>
    <w:rsid w:val="0025133C"/>
    <w:rsid w:val="002518FF"/>
    <w:rsid w:val="00251EBB"/>
    <w:rsid w:val="00252786"/>
    <w:rsid w:val="002532A1"/>
    <w:rsid w:val="00253839"/>
    <w:rsid w:val="00254835"/>
    <w:rsid w:val="0025679B"/>
    <w:rsid w:val="00256E96"/>
    <w:rsid w:val="00257510"/>
    <w:rsid w:val="002576A8"/>
    <w:rsid w:val="00257AED"/>
    <w:rsid w:val="002602CC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64D7"/>
    <w:rsid w:val="00266868"/>
    <w:rsid w:val="002709C8"/>
    <w:rsid w:val="00270DC3"/>
    <w:rsid w:val="00270F25"/>
    <w:rsid w:val="00271712"/>
    <w:rsid w:val="00271E33"/>
    <w:rsid w:val="00272723"/>
    <w:rsid w:val="00272DF4"/>
    <w:rsid w:val="00272FB9"/>
    <w:rsid w:val="002733FD"/>
    <w:rsid w:val="0027380C"/>
    <w:rsid w:val="00273C23"/>
    <w:rsid w:val="00274B3D"/>
    <w:rsid w:val="00276088"/>
    <w:rsid w:val="0028003B"/>
    <w:rsid w:val="0028073B"/>
    <w:rsid w:val="00280C19"/>
    <w:rsid w:val="00282049"/>
    <w:rsid w:val="002823E7"/>
    <w:rsid w:val="00282C34"/>
    <w:rsid w:val="002830C4"/>
    <w:rsid w:val="00284F9B"/>
    <w:rsid w:val="00285832"/>
    <w:rsid w:val="00287D47"/>
    <w:rsid w:val="00290269"/>
    <w:rsid w:val="002907E1"/>
    <w:rsid w:val="00290B08"/>
    <w:rsid w:val="00292EAD"/>
    <w:rsid w:val="00293A0D"/>
    <w:rsid w:val="00293FB6"/>
    <w:rsid w:val="0029463C"/>
    <w:rsid w:val="00294739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FF5"/>
    <w:rsid w:val="002A606C"/>
    <w:rsid w:val="002A63F4"/>
    <w:rsid w:val="002B08F1"/>
    <w:rsid w:val="002B099D"/>
    <w:rsid w:val="002B0C48"/>
    <w:rsid w:val="002B0D78"/>
    <w:rsid w:val="002B18D3"/>
    <w:rsid w:val="002B27B1"/>
    <w:rsid w:val="002B3194"/>
    <w:rsid w:val="002B3627"/>
    <w:rsid w:val="002B4338"/>
    <w:rsid w:val="002B567B"/>
    <w:rsid w:val="002B5A98"/>
    <w:rsid w:val="002B6EC2"/>
    <w:rsid w:val="002B7378"/>
    <w:rsid w:val="002B7FC9"/>
    <w:rsid w:val="002C0A87"/>
    <w:rsid w:val="002C0E90"/>
    <w:rsid w:val="002C18A5"/>
    <w:rsid w:val="002C2131"/>
    <w:rsid w:val="002C2361"/>
    <w:rsid w:val="002C2B3D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F28"/>
    <w:rsid w:val="002D5E27"/>
    <w:rsid w:val="002D6762"/>
    <w:rsid w:val="002D7178"/>
    <w:rsid w:val="002D7368"/>
    <w:rsid w:val="002D7952"/>
    <w:rsid w:val="002E066C"/>
    <w:rsid w:val="002E0CAA"/>
    <w:rsid w:val="002E195D"/>
    <w:rsid w:val="002E1DA5"/>
    <w:rsid w:val="002E244A"/>
    <w:rsid w:val="002E2518"/>
    <w:rsid w:val="002E262A"/>
    <w:rsid w:val="002E2B63"/>
    <w:rsid w:val="002E36C3"/>
    <w:rsid w:val="002E3932"/>
    <w:rsid w:val="002E3C86"/>
    <w:rsid w:val="002E43DD"/>
    <w:rsid w:val="002E49BC"/>
    <w:rsid w:val="002E5DA3"/>
    <w:rsid w:val="002E6460"/>
    <w:rsid w:val="002E64D7"/>
    <w:rsid w:val="002E68AD"/>
    <w:rsid w:val="002E71F9"/>
    <w:rsid w:val="002E7249"/>
    <w:rsid w:val="002F0316"/>
    <w:rsid w:val="002F1BCE"/>
    <w:rsid w:val="002F2700"/>
    <w:rsid w:val="002F2928"/>
    <w:rsid w:val="002F2A8F"/>
    <w:rsid w:val="002F2B87"/>
    <w:rsid w:val="002F31E5"/>
    <w:rsid w:val="002F432E"/>
    <w:rsid w:val="002F499D"/>
    <w:rsid w:val="002F4EBE"/>
    <w:rsid w:val="002F5A10"/>
    <w:rsid w:val="002F6080"/>
    <w:rsid w:val="002F6434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4428"/>
    <w:rsid w:val="00304E14"/>
    <w:rsid w:val="0030600B"/>
    <w:rsid w:val="003077E8"/>
    <w:rsid w:val="0031042D"/>
    <w:rsid w:val="003105DD"/>
    <w:rsid w:val="00312E16"/>
    <w:rsid w:val="00313325"/>
    <w:rsid w:val="00313B8A"/>
    <w:rsid w:val="0031453C"/>
    <w:rsid w:val="00314C0C"/>
    <w:rsid w:val="00314FC5"/>
    <w:rsid w:val="0031597E"/>
    <w:rsid w:val="00315F1F"/>
    <w:rsid w:val="003163B7"/>
    <w:rsid w:val="00317C82"/>
    <w:rsid w:val="00320027"/>
    <w:rsid w:val="003202A6"/>
    <w:rsid w:val="00320A15"/>
    <w:rsid w:val="00320FD8"/>
    <w:rsid w:val="003226B6"/>
    <w:rsid w:val="003229AA"/>
    <w:rsid w:val="00323E56"/>
    <w:rsid w:val="0032441E"/>
    <w:rsid w:val="00324FC6"/>
    <w:rsid w:val="003266BB"/>
    <w:rsid w:val="00326D6D"/>
    <w:rsid w:val="003270FC"/>
    <w:rsid w:val="003274B0"/>
    <w:rsid w:val="003275A3"/>
    <w:rsid w:val="00330B7B"/>
    <w:rsid w:val="00330EE6"/>
    <w:rsid w:val="0033159C"/>
    <w:rsid w:val="00333981"/>
    <w:rsid w:val="00333D15"/>
    <w:rsid w:val="00335328"/>
    <w:rsid w:val="00335E84"/>
    <w:rsid w:val="00336A54"/>
    <w:rsid w:val="00336EB9"/>
    <w:rsid w:val="00340222"/>
    <w:rsid w:val="00340459"/>
    <w:rsid w:val="00340A4F"/>
    <w:rsid w:val="00340C19"/>
    <w:rsid w:val="003415D2"/>
    <w:rsid w:val="0034162C"/>
    <w:rsid w:val="00341909"/>
    <w:rsid w:val="00341C78"/>
    <w:rsid w:val="003424F8"/>
    <w:rsid w:val="0034274E"/>
    <w:rsid w:val="003432EA"/>
    <w:rsid w:val="00344DCA"/>
    <w:rsid w:val="00345F1B"/>
    <w:rsid w:val="003470D9"/>
    <w:rsid w:val="00347E64"/>
    <w:rsid w:val="00350D2D"/>
    <w:rsid w:val="00351D41"/>
    <w:rsid w:val="003529F5"/>
    <w:rsid w:val="00354050"/>
    <w:rsid w:val="0035406B"/>
    <w:rsid w:val="0035499C"/>
    <w:rsid w:val="00355902"/>
    <w:rsid w:val="00355A20"/>
    <w:rsid w:val="00356D32"/>
    <w:rsid w:val="003578BC"/>
    <w:rsid w:val="003600F5"/>
    <w:rsid w:val="0036154E"/>
    <w:rsid w:val="0036392A"/>
    <w:rsid w:val="00364238"/>
    <w:rsid w:val="00364649"/>
    <w:rsid w:val="00364D83"/>
    <w:rsid w:val="00366B50"/>
    <w:rsid w:val="003671B4"/>
    <w:rsid w:val="00367409"/>
    <w:rsid w:val="003703E6"/>
    <w:rsid w:val="003728BA"/>
    <w:rsid w:val="00373186"/>
    <w:rsid w:val="00373A4C"/>
    <w:rsid w:val="003749D6"/>
    <w:rsid w:val="00374D17"/>
    <w:rsid w:val="003755B1"/>
    <w:rsid w:val="0037570F"/>
    <w:rsid w:val="00375A23"/>
    <w:rsid w:val="00375F6A"/>
    <w:rsid w:val="00376040"/>
    <w:rsid w:val="003775B8"/>
    <w:rsid w:val="00380255"/>
    <w:rsid w:val="00380705"/>
    <w:rsid w:val="00380ACF"/>
    <w:rsid w:val="00380F54"/>
    <w:rsid w:val="00381222"/>
    <w:rsid w:val="00381299"/>
    <w:rsid w:val="00382441"/>
    <w:rsid w:val="00382884"/>
    <w:rsid w:val="00383476"/>
    <w:rsid w:val="0038477B"/>
    <w:rsid w:val="00384877"/>
    <w:rsid w:val="00385BD8"/>
    <w:rsid w:val="00386EE4"/>
    <w:rsid w:val="00386F57"/>
    <w:rsid w:val="00387735"/>
    <w:rsid w:val="003908D2"/>
    <w:rsid w:val="00390C02"/>
    <w:rsid w:val="003921B6"/>
    <w:rsid w:val="003923E4"/>
    <w:rsid w:val="00392ABB"/>
    <w:rsid w:val="00392F12"/>
    <w:rsid w:val="00393252"/>
    <w:rsid w:val="00393D57"/>
    <w:rsid w:val="003940D8"/>
    <w:rsid w:val="00395B80"/>
    <w:rsid w:val="00397556"/>
    <w:rsid w:val="00397FF7"/>
    <w:rsid w:val="003A01C6"/>
    <w:rsid w:val="003A0661"/>
    <w:rsid w:val="003A2063"/>
    <w:rsid w:val="003A3683"/>
    <w:rsid w:val="003A42E8"/>
    <w:rsid w:val="003A42F6"/>
    <w:rsid w:val="003A4340"/>
    <w:rsid w:val="003A5108"/>
    <w:rsid w:val="003A5CD3"/>
    <w:rsid w:val="003A69BC"/>
    <w:rsid w:val="003A6F2A"/>
    <w:rsid w:val="003A7FA1"/>
    <w:rsid w:val="003B033B"/>
    <w:rsid w:val="003B07A0"/>
    <w:rsid w:val="003B080F"/>
    <w:rsid w:val="003B2016"/>
    <w:rsid w:val="003B2220"/>
    <w:rsid w:val="003B29FA"/>
    <w:rsid w:val="003B4246"/>
    <w:rsid w:val="003B5160"/>
    <w:rsid w:val="003B5236"/>
    <w:rsid w:val="003B559C"/>
    <w:rsid w:val="003B591C"/>
    <w:rsid w:val="003B5B3B"/>
    <w:rsid w:val="003B5D15"/>
    <w:rsid w:val="003B6114"/>
    <w:rsid w:val="003B6CB4"/>
    <w:rsid w:val="003B7252"/>
    <w:rsid w:val="003B7C54"/>
    <w:rsid w:val="003C0F19"/>
    <w:rsid w:val="003C1396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A9E"/>
    <w:rsid w:val="003D1C0A"/>
    <w:rsid w:val="003D2170"/>
    <w:rsid w:val="003D25B1"/>
    <w:rsid w:val="003D2A11"/>
    <w:rsid w:val="003D2B2D"/>
    <w:rsid w:val="003D311D"/>
    <w:rsid w:val="003D3651"/>
    <w:rsid w:val="003D511F"/>
    <w:rsid w:val="003D6513"/>
    <w:rsid w:val="003D6D6D"/>
    <w:rsid w:val="003D6EF1"/>
    <w:rsid w:val="003E0FD6"/>
    <w:rsid w:val="003E2F4C"/>
    <w:rsid w:val="003E41BA"/>
    <w:rsid w:val="003E5759"/>
    <w:rsid w:val="003E627C"/>
    <w:rsid w:val="003E6400"/>
    <w:rsid w:val="003E7670"/>
    <w:rsid w:val="003E79E1"/>
    <w:rsid w:val="003F0EAF"/>
    <w:rsid w:val="003F2A8C"/>
    <w:rsid w:val="003F361A"/>
    <w:rsid w:val="003F3B28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10B6"/>
    <w:rsid w:val="004016D3"/>
    <w:rsid w:val="004023A9"/>
    <w:rsid w:val="00402900"/>
    <w:rsid w:val="00402F68"/>
    <w:rsid w:val="00403D54"/>
    <w:rsid w:val="0040439E"/>
    <w:rsid w:val="00404D6F"/>
    <w:rsid w:val="00405731"/>
    <w:rsid w:val="00405F14"/>
    <w:rsid w:val="0040675A"/>
    <w:rsid w:val="004067B5"/>
    <w:rsid w:val="00406C46"/>
    <w:rsid w:val="00407A5D"/>
    <w:rsid w:val="00407A76"/>
    <w:rsid w:val="00410A63"/>
    <w:rsid w:val="00411206"/>
    <w:rsid w:val="00412065"/>
    <w:rsid w:val="0041208C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40290"/>
    <w:rsid w:val="00440355"/>
    <w:rsid w:val="0044096D"/>
    <w:rsid w:val="004411DA"/>
    <w:rsid w:val="00441920"/>
    <w:rsid w:val="00441CEC"/>
    <w:rsid w:val="004428F9"/>
    <w:rsid w:val="0044467C"/>
    <w:rsid w:val="00444FF2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D5B"/>
    <w:rsid w:val="00455E2B"/>
    <w:rsid w:val="00456C0A"/>
    <w:rsid w:val="00457B55"/>
    <w:rsid w:val="00457E66"/>
    <w:rsid w:val="0046132F"/>
    <w:rsid w:val="00461C22"/>
    <w:rsid w:val="00461C3B"/>
    <w:rsid w:val="00462F17"/>
    <w:rsid w:val="004632EC"/>
    <w:rsid w:val="00463DC7"/>
    <w:rsid w:val="00463E15"/>
    <w:rsid w:val="00464CD6"/>
    <w:rsid w:val="004653C7"/>
    <w:rsid w:val="00465BC0"/>
    <w:rsid w:val="00466114"/>
    <w:rsid w:val="00466153"/>
    <w:rsid w:val="0046656E"/>
    <w:rsid w:val="0046794A"/>
    <w:rsid w:val="00467D49"/>
    <w:rsid w:val="00470825"/>
    <w:rsid w:val="00470DE3"/>
    <w:rsid w:val="00471329"/>
    <w:rsid w:val="00472E37"/>
    <w:rsid w:val="00473338"/>
    <w:rsid w:val="00474779"/>
    <w:rsid w:val="00474957"/>
    <w:rsid w:val="00474B39"/>
    <w:rsid w:val="004754C3"/>
    <w:rsid w:val="004756DC"/>
    <w:rsid w:val="00477244"/>
    <w:rsid w:val="00480165"/>
    <w:rsid w:val="00481486"/>
    <w:rsid w:val="004814BC"/>
    <w:rsid w:val="004819BD"/>
    <w:rsid w:val="004819E4"/>
    <w:rsid w:val="0048218A"/>
    <w:rsid w:val="004822B2"/>
    <w:rsid w:val="00483D68"/>
    <w:rsid w:val="00485043"/>
    <w:rsid w:val="00485441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728F"/>
    <w:rsid w:val="00497FB7"/>
    <w:rsid w:val="004A08C1"/>
    <w:rsid w:val="004A13C0"/>
    <w:rsid w:val="004A19B1"/>
    <w:rsid w:val="004A1E9D"/>
    <w:rsid w:val="004A31BA"/>
    <w:rsid w:val="004A3699"/>
    <w:rsid w:val="004A4913"/>
    <w:rsid w:val="004A641C"/>
    <w:rsid w:val="004A6DD3"/>
    <w:rsid w:val="004A71EA"/>
    <w:rsid w:val="004A7280"/>
    <w:rsid w:val="004A7F8E"/>
    <w:rsid w:val="004A7F92"/>
    <w:rsid w:val="004B0303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52B1"/>
    <w:rsid w:val="004B58D6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5364"/>
    <w:rsid w:val="004C5434"/>
    <w:rsid w:val="004C6A16"/>
    <w:rsid w:val="004C70F9"/>
    <w:rsid w:val="004C7692"/>
    <w:rsid w:val="004C7BF0"/>
    <w:rsid w:val="004D067D"/>
    <w:rsid w:val="004D0E7C"/>
    <w:rsid w:val="004D0EA3"/>
    <w:rsid w:val="004D30B4"/>
    <w:rsid w:val="004D3437"/>
    <w:rsid w:val="004D3E7F"/>
    <w:rsid w:val="004D4135"/>
    <w:rsid w:val="004D439E"/>
    <w:rsid w:val="004D4937"/>
    <w:rsid w:val="004D4BEE"/>
    <w:rsid w:val="004D7D26"/>
    <w:rsid w:val="004E03EA"/>
    <w:rsid w:val="004E1115"/>
    <w:rsid w:val="004E14DD"/>
    <w:rsid w:val="004E15F8"/>
    <w:rsid w:val="004E19AD"/>
    <w:rsid w:val="004E1CE7"/>
    <w:rsid w:val="004E20E3"/>
    <w:rsid w:val="004E3489"/>
    <w:rsid w:val="004E3EC1"/>
    <w:rsid w:val="004E47CB"/>
    <w:rsid w:val="004E66D6"/>
    <w:rsid w:val="004E6839"/>
    <w:rsid w:val="004E7254"/>
    <w:rsid w:val="004F1234"/>
    <w:rsid w:val="004F1B92"/>
    <w:rsid w:val="004F34C7"/>
    <w:rsid w:val="004F3861"/>
    <w:rsid w:val="004F3B0F"/>
    <w:rsid w:val="004F58C3"/>
    <w:rsid w:val="004F6BDF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C77"/>
    <w:rsid w:val="00505466"/>
    <w:rsid w:val="00505855"/>
    <w:rsid w:val="0050661E"/>
    <w:rsid w:val="005066F0"/>
    <w:rsid w:val="00506DDF"/>
    <w:rsid w:val="00507737"/>
    <w:rsid w:val="005077C7"/>
    <w:rsid w:val="00510F4D"/>
    <w:rsid w:val="00512046"/>
    <w:rsid w:val="00513C3E"/>
    <w:rsid w:val="005140F4"/>
    <w:rsid w:val="00514556"/>
    <w:rsid w:val="00514ABD"/>
    <w:rsid w:val="00514ED4"/>
    <w:rsid w:val="0051621C"/>
    <w:rsid w:val="0051662A"/>
    <w:rsid w:val="00516BA1"/>
    <w:rsid w:val="00517244"/>
    <w:rsid w:val="00517C23"/>
    <w:rsid w:val="0052089F"/>
    <w:rsid w:val="005210FE"/>
    <w:rsid w:val="00521A57"/>
    <w:rsid w:val="00522F22"/>
    <w:rsid w:val="00523A80"/>
    <w:rsid w:val="005241F8"/>
    <w:rsid w:val="00524F74"/>
    <w:rsid w:val="00525961"/>
    <w:rsid w:val="00525FAA"/>
    <w:rsid w:val="005260B4"/>
    <w:rsid w:val="00526829"/>
    <w:rsid w:val="005270A8"/>
    <w:rsid w:val="0052777B"/>
    <w:rsid w:val="005324ED"/>
    <w:rsid w:val="00532F8E"/>
    <w:rsid w:val="0053387C"/>
    <w:rsid w:val="00533EAA"/>
    <w:rsid w:val="00535409"/>
    <w:rsid w:val="005360C6"/>
    <w:rsid w:val="00537342"/>
    <w:rsid w:val="00537800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13E"/>
    <w:rsid w:val="00552528"/>
    <w:rsid w:val="00552717"/>
    <w:rsid w:val="00552CA3"/>
    <w:rsid w:val="005547A1"/>
    <w:rsid w:val="0055674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A2A"/>
    <w:rsid w:val="00566B58"/>
    <w:rsid w:val="00570353"/>
    <w:rsid w:val="00570D4F"/>
    <w:rsid w:val="0057148F"/>
    <w:rsid w:val="0057163E"/>
    <w:rsid w:val="00573703"/>
    <w:rsid w:val="0057464A"/>
    <w:rsid w:val="005750FF"/>
    <w:rsid w:val="00575E18"/>
    <w:rsid w:val="00577C6C"/>
    <w:rsid w:val="00580D27"/>
    <w:rsid w:val="00581749"/>
    <w:rsid w:val="00581772"/>
    <w:rsid w:val="00581B1D"/>
    <w:rsid w:val="00581F2A"/>
    <w:rsid w:val="00582922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3C5B"/>
    <w:rsid w:val="00594082"/>
    <w:rsid w:val="005941A3"/>
    <w:rsid w:val="00594A02"/>
    <w:rsid w:val="00594E9C"/>
    <w:rsid w:val="00595E30"/>
    <w:rsid w:val="005962C9"/>
    <w:rsid w:val="005974FD"/>
    <w:rsid w:val="0059761D"/>
    <w:rsid w:val="00597699"/>
    <w:rsid w:val="005A2E69"/>
    <w:rsid w:val="005A4440"/>
    <w:rsid w:val="005A46EC"/>
    <w:rsid w:val="005A4CB8"/>
    <w:rsid w:val="005A5B8F"/>
    <w:rsid w:val="005A7104"/>
    <w:rsid w:val="005A76AF"/>
    <w:rsid w:val="005B0F25"/>
    <w:rsid w:val="005B116B"/>
    <w:rsid w:val="005B1385"/>
    <w:rsid w:val="005B172B"/>
    <w:rsid w:val="005B172F"/>
    <w:rsid w:val="005B2DF3"/>
    <w:rsid w:val="005B336D"/>
    <w:rsid w:val="005B40A5"/>
    <w:rsid w:val="005B676F"/>
    <w:rsid w:val="005B7191"/>
    <w:rsid w:val="005B7AEB"/>
    <w:rsid w:val="005B7BC2"/>
    <w:rsid w:val="005C0897"/>
    <w:rsid w:val="005C0C98"/>
    <w:rsid w:val="005C1F69"/>
    <w:rsid w:val="005C37EF"/>
    <w:rsid w:val="005C52C7"/>
    <w:rsid w:val="005C5A0C"/>
    <w:rsid w:val="005C63CE"/>
    <w:rsid w:val="005C6458"/>
    <w:rsid w:val="005C65E4"/>
    <w:rsid w:val="005C7056"/>
    <w:rsid w:val="005C7382"/>
    <w:rsid w:val="005C7526"/>
    <w:rsid w:val="005C7AD1"/>
    <w:rsid w:val="005D145B"/>
    <w:rsid w:val="005D19C3"/>
    <w:rsid w:val="005D20F0"/>
    <w:rsid w:val="005D302F"/>
    <w:rsid w:val="005D345B"/>
    <w:rsid w:val="005D3657"/>
    <w:rsid w:val="005D418C"/>
    <w:rsid w:val="005D4591"/>
    <w:rsid w:val="005D4750"/>
    <w:rsid w:val="005D704A"/>
    <w:rsid w:val="005D71BA"/>
    <w:rsid w:val="005D7B24"/>
    <w:rsid w:val="005D7DAA"/>
    <w:rsid w:val="005E069F"/>
    <w:rsid w:val="005E165A"/>
    <w:rsid w:val="005E2702"/>
    <w:rsid w:val="005E270D"/>
    <w:rsid w:val="005E4B83"/>
    <w:rsid w:val="005E66B6"/>
    <w:rsid w:val="005E6E03"/>
    <w:rsid w:val="005E756F"/>
    <w:rsid w:val="005E75F0"/>
    <w:rsid w:val="005E7B6C"/>
    <w:rsid w:val="005F0819"/>
    <w:rsid w:val="005F1379"/>
    <w:rsid w:val="005F14CF"/>
    <w:rsid w:val="005F14DB"/>
    <w:rsid w:val="005F1740"/>
    <w:rsid w:val="005F57C2"/>
    <w:rsid w:val="005F5B1A"/>
    <w:rsid w:val="005F5C9A"/>
    <w:rsid w:val="005F5D4D"/>
    <w:rsid w:val="005F78FD"/>
    <w:rsid w:val="006003F2"/>
    <w:rsid w:val="006013D1"/>
    <w:rsid w:val="00601B17"/>
    <w:rsid w:val="00602F91"/>
    <w:rsid w:val="00604447"/>
    <w:rsid w:val="00604E31"/>
    <w:rsid w:val="00605186"/>
    <w:rsid w:val="0060538D"/>
    <w:rsid w:val="006057D5"/>
    <w:rsid w:val="00610C2B"/>
    <w:rsid w:val="00611162"/>
    <w:rsid w:val="006118AC"/>
    <w:rsid w:val="00611AF8"/>
    <w:rsid w:val="00612118"/>
    <w:rsid w:val="00612B1B"/>
    <w:rsid w:val="00612C0B"/>
    <w:rsid w:val="006132AB"/>
    <w:rsid w:val="00614EEE"/>
    <w:rsid w:val="0061522A"/>
    <w:rsid w:val="00615FA5"/>
    <w:rsid w:val="00616021"/>
    <w:rsid w:val="00616396"/>
    <w:rsid w:val="0061693C"/>
    <w:rsid w:val="00617239"/>
    <w:rsid w:val="006178B0"/>
    <w:rsid w:val="0062180A"/>
    <w:rsid w:val="0062228B"/>
    <w:rsid w:val="00623DDB"/>
    <w:rsid w:val="006244BE"/>
    <w:rsid w:val="006246B4"/>
    <w:rsid w:val="00624BCA"/>
    <w:rsid w:val="00625E47"/>
    <w:rsid w:val="00626674"/>
    <w:rsid w:val="00626E63"/>
    <w:rsid w:val="00626EA4"/>
    <w:rsid w:val="00627BE3"/>
    <w:rsid w:val="00630388"/>
    <w:rsid w:val="00631266"/>
    <w:rsid w:val="00632BF5"/>
    <w:rsid w:val="00633203"/>
    <w:rsid w:val="00633C34"/>
    <w:rsid w:val="006342E0"/>
    <w:rsid w:val="00636A56"/>
    <w:rsid w:val="00641DD6"/>
    <w:rsid w:val="00642DBD"/>
    <w:rsid w:val="0064491C"/>
    <w:rsid w:val="006451BA"/>
    <w:rsid w:val="00646A77"/>
    <w:rsid w:val="006500F7"/>
    <w:rsid w:val="006502F7"/>
    <w:rsid w:val="00651208"/>
    <w:rsid w:val="00652F2C"/>
    <w:rsid w:val="006535B3"/>
    <w:rsid w:val="00655699"/>
    <w:rsid w:val="00657DBC"/>
    <w:rsid w:val="00657F99"/>
    <w:rsid w:val="00660538"/>
    <w:rsid w:val="00660542"/>
    <w:rsid w:val="00662880"/>
    <w:rsid w:val="00662C9F"/>
    <w:rsid w:val="00663DDC"/>
    <w:rsid w:val="00664086"/>
    <w:rsid w:val="00664AB9"/>
    <w:rsid w:val="00664FA6"/>
    <w:rsid w:val="0066508A"/>
    <w:rsid w:val="006652E9"/>
    <w:rsid w:val="00665392"/>
    <w:rsid w:val="00665FC7"/>
    <w:rsid w:val="0066608F"/>
    <w:rsid w:val="00667BF4"/>
    <w:rsid w:val="006701EA"/>
    <w:rsid w:val="00670487"/>
    <w:rsid w:val="00670883"/>
    <w:rsid w:val="00670A6A"/>
    <w:rsid w:val="00670EAD"/>
    <w:rsid w:val="00671537"/>
    <w:rsid w:val="00672A63"/>
    <w:rsid w:val="006738AA"/>
    <w:rsid w:val="0067419A"/>
    <w:rsid w:val="0067424F"/>
    <w:rsid w:val="00674C68"/>
    <w:rsid w:val="00675A98"/>
    <w:rsid w:val="00675C96"/>
    <w:rsid w:val="00677423"/>
    <w:rsid w:val="00677C8B"/>
    <w:rsid w:val="00677EB7"/>
    <w:rsid w:val="00681144"/>
    <w:rsid w:val="006814FB"/>
    <w:rsid w:val="00681837"/>
    <w:rsid w:val="00681E3F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A"/>
    <w:rsid w:val="00690E21"/>
    <w:rsid w:val="00691084"/>
    <w:rsid w:val="006926B2"/>
    <w:rsid w:val="00692C58"/>
    <w:rsid w:val="00693B06"/>
    <w:rsid w:val="00695453"/>
    <w:rsid w:val="006972EB"/>
    <w:rsid w:val="00697585"/>
    <w:rsid w:val="006A047C"/>
    <w:rsid w:val="006A1D01"/>
    <w:rsid w:val="006A1E50"/>
    <w:rsid w:val="006A29DA"/>
    <w:rsid w:val="006A2ECB"/>
    <w:rsid w:val="006A45FB"/>
    <w:rsid w:val="006A5F9C"/>
    <w:rsid w:val="006A648D"/>
    <w:rsid w:val="006A72D5"/>
    <w:rsid w:val="006A77FD"/>
    <w:rsid w:val="006B1244"/>
    <w:rsid w:val="006B2879"/>
    <w:rsid w:val="006B3CDA"/>
    <w:rsid w:val="006B4959"/>
    <w:rsid w:val="006B59CF"/>
    <w:rsid w:val="006B5DBB"/>
    <w:rsid w:val="006B5E02"/>
    <w:rsid w:val="006B7293"/>
    <w:rsid w:val="006B76F0"/>
    <w:rsid w:val="006B7899"/>
    <w:rsid w:val="006B7F0D"/>
    <w:rsid w:val="006C1231"/>
    <w:rsid w:val="006C1A15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EF7"/>
    <w:rsid w:val="006D09CE"/>
    <w:rsid w:val="006D0E68"/>
    <w:rsid w:val="006D27EC"/>
    <w:rsid w:val="006D43FD"/>
    <w:rsid w:val="006D6951"/>
    <w:rsid w:val="006D6CD9"/>
    <w:rsid w:val="006E019C"/>
    <w:rsid w:val="006E0CF0"/>
    <w:rsid w:val="006E12C6"/>
    <w:rsid w:val="006E1410"/>
    <w:rsid w:val="006E20A0"/>
    <w:rsid w:val="006E21E3"/>
    <w:rsid w:val="006E274C"/>
    <w:rsid w:val="006E56E8"/>
    <w:rsid w:val="006E5A93"/>
    <w:rsid w:val="006E5D99"/>
    <w:rsid w:val="006E61CE"/>
    <w:rsid w:val="006F0BB5"/>
    <w:rsid w:val="006F1760"/>
    <w:rsid w:val="006F181F"/>
    <w:rsid w:val="006F2863"/>
    <w:rsid w:val="006F2C54"/>
    <w:rsid w:val="006F4128"/>
    <w:rsid w:val="006F4AA2"/>
    <w:rsid w:val="006F5197"/>
    <w:rsid w:val="006F543D"/>
    <w:rsid w:val="006F65DD"/>
    <w:rsid w:val="006F7C83"/>
    <w:rsid w:val="0070090A"/>
    <w:rsid w:val="007021D5"/>
    <w:rsid w:val="0070389C"/>
    <w:rsid w:val="007056D2"/>
    <w:rsid w:val="00706114"/>
    <w:rsid w:val="00707730"/>
    <w:rsid w:val="00710396"/>
    <w:rsid w:val="0071054C"/>
    <w:rsid w:val="007105BD"/>
    <w:rsid w:val="0071080D"/>
    <w:rsid w:val="00712C27"/>
    <w:rsid w:val="007133DD"/>
    <w:rsid w:val="0071359D"/>
    <w:rsid w:val="0071380E"/>
    <w:rsid w:val="00713BB2"/>
    <w:rsid w:val="00713E39"/>
    <w:rsid w:val="0071491F"/>
    <w:rsid w:val="00714A14"/>
    <w:rsid w:val="00716A4B"/>
    <w:rsid w:val="00716E90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E82"/>
    <w:rsid w:val="007319BF"/>
    <w:rsid w:val="007319CE"/>
    <w:rsid w:val="00731C76"/>
    <w:rsid w:val="00732DB2"/>
    <w:rsid w:val="00733148"/>
    <w:rsid w:val="00734688"/>
    <w:rsid w:val="00734AB3"/>
    <w:rsid w:val="00734DCF"/>
    <w:rsid w:val="00735CDA"/>
    <w:rsid w:val="00736AEC"/>
    <w:rsid w:val="0073720D"/>
    <w:rsid w:val="00737880"/>
    <w:rsid w:val="00737928"/>
    <w:rsid w:val="007400DC"/>
    <w:rsid w:val="0074017B"/>
    <w:rsid w:val="007405C1"/>
    <w:rsid w:val="00740DAB"/>
    <w:rsid w:val="007413F5"/>
    <w:rsid w:val="007419B5"/>
    <w:rsid w:val="007425AA"/>
    <w:rsid w:val="007427FD"/>
    <w:rsid w:val="00742DF3"/>
    <w:rsid w:val="00742FE0"/>
    <w:rsid w:val="00744301"/>
    <w:rsid w:val="0074454A"/>
    <w:rsid w:val="0074525A"/>
    <w:rsid w:val="007453A8"/>
    <w:rsid w:val="00746F1E"/>
    <w:rsid w:val="00747931"/>
    <w:rsid w:val="00752524"/>
    <w:rsid w:val="00754498"/>
    <w:rsid w:val="00754650"/>
    <w:rsid w:val="0075475E"/>
    <w:rsid w:val="00754B0B"/>
    <w:rsid w:val="00755AFA"/>
    <w:rsid w:val="00755E27"/>
    <w:rsid w:val="007561B4"/>
    <w:rsid w:val="00756359"/>
    <w:rsid w:val="00756A89"/>
    <w:rsid w:val="0075753B"/>
    <w:rsid w:val="00757997"/>
    <w:rsid w:val="00760EF5"/>
    <w:rsid w:val="00761116"/>
    <w:rsid w:val="00764034"/>
    <w:rsid w:val="0076443B"/>
    <w:rsid w:val="007655B4"/>
    <w:rsid w:val="007677FF"/>
    <w:rsid w:val="00767F74"/>
    <w:rsid w:val="0077127D"/>
    <w:rsid w:val="00771361"/>
    <w:rsid w:val="00771DA5"/>
    <w:rsid w:val="00772D32"/>
    <w:rsid w:val="00773ADA"/>
    <w:rsid w:val="00773B1B"/>
    <w:rsid w:val="007748A8"/>
    <w:rsid w:val="007751F2"/>
    <w:rsid w:val="007752CE"/>
    <w:rsid w:val="00775499"/>
    <w:rsid w:val="007759E1"/>
    <w:rsid w:val="00776680"/>
    <w:rsid w:val="00776D8B"/>
    <w:rsid w:val="007778E3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E67"/>
    <w:rsid w:val="00784EA9"/>
    <w:rsid w:val="00785D37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609C"/>
    <w:rsid w:val="0079612F"/>
    <w:rsid w:val="00796205"/>
    <w:rsid w:val="007966F0"/>
    <w:rsid w:val="00797891"/>
    <w:rsid w:val="007A01F6"/>
    <w:rsid w:val="007A0FBE"/>
    <w:rsid w:val="007A116D"/>
    <w:rsid w:val="007A1A8E"/>
    <w:rsid w:val="007A2355"/>
    <w:rsid w:val="007A2396"/>
    <w:rsid w:val="007A37CB"/>
    <w:rsid w:val="007A3F94"/>
    <w:rsid w:val="007A4017"/>
    <w:rsid w:val="007A40A2"/>
    <w:rsid w:val="007A437A"/>
    <w:rsid w:val="007A4718"/>
    <w:rsid w:val="007A4EC6"/>
    <w:rsid w:val="007A6659"/>
    <w:rsid w:val="007B04B6"/>
    <w:rsid w:val="007B1211"/>
    <w:rsid w:val="007B18D9"/>
    <w:rsid w:val="007B1B2B"/>
    <w:rsid w:val="007B1CAF"/>
    <w:rsid w:val="007B49F3"/>
    <w:rsid w:val="007B5514"/>
    <w:rsid w:val="007B57EB"/>
    <w:rsid w:val="007B62F5"/>
    <w:rsid w:val="007C0A2D"/>
    <w:rsid w:val="007C166F"/>
    <w:rsid w:val="007C29D8"/>
    <w:rsid w:val="007C34EA"/>
    <w:rsid w:val="007C3A99"/>
    <w:rsid w:val="007C415F"/>
    <w:rsid w:val="007C5786"/>
    <w:rsid w:val="007C63EA"/>
    <w:rsid w:val="007D0F86"/>
    <w:rsid w:val="007D10BC"/>
    <w:rsid w:val="007D12CC"/>
    <w:rsid w:val="007D18C3"/>
    <w:rsid w:val="007D3130"/>
    <w:rsid w:val="007D41F6"/>
    <w:rsid w:val="007D63C5"/>
    <w:rsid w:val="007D6866"/>
    <w:rsid w:val="007D763B"/>
    <w:rsid w:val="007E0940"/>
    <w:rsid w:val="007E0B92"/>
    <w:rsid w:val="007E1083"/>
    <w:rsid w:val="007E16E9"/>
    <w:rsid w:val="007E2BA7"/>
    <w:rsid w:val="007E329A"/>
    <w:rsid w:val="007E5C61"/>
    <w:rsid w:val="007E655F"/>
    <w:rsid w:val="007E7E7F"/>
    <w:rsid w:val="007F0D61"/>
    <w:rsid w:val="007F1D94"/>
    <w:rsid w:val="007F2184"/>
    <w:rsid w:val="007F2660"/>
    <w:rsid w:val="007F4692"/>
    <w:rsid w:val="007F4BB8"/>
    <w:rsid w:val="007F64C4"/>
    <w:rsid w:val="007F737E"/>
    <w:rsid w:val="007F7D7C"/>
    <w:rsid w:val="008004B3"/>
    <w:rsid w:val="008015B8"/>
    <w:rsid w:val="00801EB0"/>
    <w:rsid w:val="00801F8C"/>
    <w:rsid w:val="008033EA"/>
    <w:rsid w:val="00803FFA"/>
    <w:rsid w:val="00804C26"/>
    <w:rsid w:val="00804F5B"/>
    <w:rsid w:val="00805924"/>
    <w:rsid w:val="00806B58"/>
    <w:rsid w:val="008078B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200AB"/>
    <w:rsid w:val="008215C0"/>
    <w:rsid w:val="008220D4"/>
    <w:rsid w:val="00822DBC"/>
    <w:rsid w:val="00822DD8"/>
    <w:rsid w:val="00822E6B"/>
    <w:rsid w:val="00822EC9"/>
    <w:rsid w:val="0082394E"/>
    <w:rsid w:val="00823A4B"/>
    <w:rsid w:val="00825B35"/>
    <w:rsid w:val="00825D3F"/>
    <w:rsid w:val="00826827"/>
    <w:rsid w:val="00830C9C"/>
    <w:rsid w:val="00831ABE"/>
    <w:rsid w:val="00831F89"/>
    <w:rsid w:val="00832AC4"/>
    <w:rsid w:val="00833AB1"/>
    <w:rsid w:val="00835408"/>
    <w:rsid w:val="00836853"/>
    <w:rsid w:val="00836E72"/>
    <w:rsid w:val="00836F3F"/>
    <w:rsid w:val="008376B8"/>
    <w:rsid w:val="0084097A"/>
    <w:rsid w:val="00841A9F"/>
    <w:rsid w:val="00841E8F"/>
    <w:rsid w:val="00842282"/>
    <w:rsid w:val="008436CC"/>
    <w:rsid w:val="00843DC7"/>
    <w:rsid w:val="0084512C"/>
    <w:rsid w:val="00846578"/>
    <w:rsid w:val="00846BD9"/>
    <w:rsid w:val="008509FD"/>
    <w:rsid w:val="00851A89"/>
    <w:rsid w:val="008523CE"/>
    <w:rsid w:val="00853059"/>
    <w:rsid w:val="00853FA5"/>
    <w:rsid w:val="00854DE3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75F9"/>
    <w:rsid w:val="00867813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53CD"/>
    <w:rsid w:val="00875B03"/>
    <w:rsid w:val="00877819"/>
    <w:rsid w:val="00877828"/>
    <w:rsid w:val="00877E9F"/>
    <w:rsid w:val="0088045D"/>
    <w:rsid w:val="008818D0"/>
    <w:rsid w:val="00882B16"/>
    <w:rsid w:val="00882DB8"/>
    <w:rsid w:val="008838AE"/>
    <w:rsid w:val="008842B7"/>
    <w:rsid w:val="008844E8"/>
    <w:rsid w:val="008847D2"/>
    <w:rsid w:val="008853C4"/>
    <w:rsid w:val="00885782"/>
    <w:rsid w:val="00885FC4"/>
    <w:rsid w:val="008877D1"/>
    <w:rsid w:val="00890007"/>
    <w:rsid w:val="008927DC"/>
    <w:rsid w:val="00894659"/>
    <w:rsid w:val="00896899"/>
    <w:rsid w:val="008969AC"/>
    <w:rsid w:val="008A0C91"/>
    <w:rsid w:val="008A22D0"/>
    <w:rsid w:val="008A2DE1"/>
    <w:rsid w:val="008A30F3"/>
    <w:rsid w:val="008A332E"/>
    <w:rsid w:val="008A435A"/>
    <w:rsid w:val="008A46A2"/>
    <w:rsid w:val="008A4DA1"/>
    <w:rsid w:val="008A5B2F"/>
    <w:rsid w:val="008A69FA"/>
    <w:rsid w:val="008A7885"/>
    <w:rsid w:val="008B05CA"/>
    <w:rsid w:val="008B0750"/>
    <w:rsid w:val="008B0B76"/>
    <w:rsid w:val="008B0DA6"/>
    <w:rsid w:val="008B0FEC"/>
    <w:rsid w:val="008B35EF"/>
    <w:rsid w:val="008B3939"/>
    <w:rsid w:val="008B5A4D"/>
    <w:rsid w:val="008B6ED0"/>
    <w:rsid w:val="008B79E9"/>
    <w:rsid w:val="008C0623"/>
    <w:rsid w:val="008C1069"/>
    <w:rsid w:val="008C16ED"/>
    <w:rsid w:val="008C1ED9"/>
    <w:rsid w:val="008C273B"/>
    <w:rsid w:val="008C3121"/>
    <w:rsid w:val="008C3838"/>
    <w:rsid w:val="008C3956"/>
    <w:rsid w:val="008C40C5"/>
    <w:rsid w:val="008C454A"/>
    <w:rsid w:val="008C5C06"/>
    <w:rsid w:val="008C6C9A"/>
    <w:rsid w:val="008C706C"/>
    <w:rsid w:val="008C7DCA"/>
    <w:rsid w:val="008D01DF"/>
    <w:rsid w:val="008D034C"/>
    <w:rsid w:val="008D2121"/>
    <w:rsid w:val="008D2138"/>
    <w:rsid w:val="008D500B"/>
    <w:rsid w:val="008D580A"/>
    <w:rsid w:val="008D5ACC"/>
    <w:rsid w:val="008D5E48"/>
    <w:rsid w:val="008D7F92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7BF5"/>
    <w:rsid w:val="008F02BB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3226"/>
    <w:rsid w:val="00904579"/>
    <w:rsid w:val="00905BF1"/>
    <w:rsid w:val="009062DC"/>
    <w:rsid w:val="00906F49"/>
    <w:rsid w:val="0090760F"/>
    <w:rsid w:val="00910AB8"/>
    <w:rsid w:val="00911CA7"/>
    <w:rsid w:val="0091246A"/>
    <w:rsid w:val="00912510"/>
    <w:rsid w:val="0091433A"/>
    <w:rsid w:val="009152F6"/>
    <w:rsid w:val="009155DD"/>
    <w:rsid w:val="0091564B"/>
    <w:rsid w:val="00915CEF"/>
    <w:rsid w:val="009168E6"/>
    <w:rsid w:val="00916AC7"/>
    <w:rsid w:val="00917187"/>
    <w:rsid w:val="00921592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A79"/>
    <w:rsid w:val="00926A7B"/>
    <w:rsid w:val="009273E1"/>
    <w:rsid w:val="00927A2E"/>
    <w:rsid w:val="0093030D"/>
    <w:rsid w:val="00930B0F"/>
    <w:rsid w:val="00930EF4"/>
    <w:rsid w:val="0093152F"/>
    <w:rsid w:val="00931AB8"/>
    <w:rsid w:val="00932213"/>
    <w:rsid w:val="0093311F"/>
    <w:rsid w:val="00934DE3"/>
    <w:rsid w:val="00935EE9"/>
    <w:rsid w:val="0093618D"/>
    <w:rsid w:val="00936507"/>
    <w:rsid w:val="009368F8"/>
    <w:rsid w:val="00936D06"/>
    <w:rsid w:val="00940C90"/>
    <w:rsid w:val="009416EE"/>
    <w:rsid w:val="00941780"/>
    <w:rsid w:val="00941AB0"/>
    <w:rsid w:val="00944486"/>
    <w:rsid w:val="009446E4"/>
    <w:rsid w:val="00944DF9"/>
    <w:rsid w:val="00945831"/>
    <w:rsid w:val="00945EF0"/>
    <w:rsid w:val="00946334"/>
    <w:rsid w:val="0094641C"/>
    <w:rsid w:val="0094733F"/>
    <w:rsid w:val="009473C4"/>
    <w:rsid w:val="009474C5"/>
    <w:rsid w:val="009504DB"/>
    <w:rsid w:val="00950DEA"/>
    <w:rsid w:val="00950E5D"/>
    <w:rsid w:val="00951FA8"/>
    <w:rsid w:val="00952B59"/>
    <w:rsid w:val="00954D26"/>
    <w:rsid w:val="00954E68"/>
    <w:rsid w:val="009555D6"/>
    <w:rsid w:val="00955E46"/>
    <w:rsid w:val="00956936"/>
    <w:rsid w:val="009569C6"/>
    <w:rsid w:val="00957B8A"/>
    <w:rsid w:val="0096056C"/>
    <w:rsid w:val="00960C3D"/>
    <w:rsid w:val="0096190E"/>
    <w:rsid w:val="00962A27"/>
    <w:rsid w:val="0096374D"/>
    <w:rsid w:val="00963777"/>
    <w:rsid w:val="00963B14"/>
    <w:rsid w:val="009662FA"/>
    <w:rsid w:val="0097034C"/>
    <w:rsid w:val="00970695"/>
    <w:rsid w:val="00970F29"/>
    <w:rsid w:val="009710E1"/>
    <w:rsid w:val="00971330"/>
    <w:rsid w:val="00971D9C"/>
    <w:rsid w:val="009721A0"/>
    <w:rsid w:val="00973DB6"/>
    <w:rsid w:val="0097501B"/>
    <w:rsid w:val="009756B0"/>
    <w:rsid w:val="00976285"/>
    <w:rsid w:val="0097637F"/>
    <w:rsid w:val="0097734D"/>
    <w:rsid w:val="0098014F"/>
    <w:rsid w:val="009808E0"/>
    <w:rsid w:val="00981968"/>
    <w:rsid w:val="00981B9E"/>
    <w:rsid w:val="00982ACD"/>
    <w:rsid w:val="00982FB8"/>
    <w:rsid w:val="00983CFB"/>
    <w:rsid w:val="00984091"/>
    <w:rsid w:val="00984F29"/>
    <w:rsid w:val="00985B54"/>
    <w:rsid w:val="00986172"/>
    <w:rsid w:val="0098651D"/>
    <w:rsid w:val="00986654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1354"/>
    <w:rsid w:val="009A1CF8"/>
    <w:rsid w:val="009A2CDB"/>
    <w:rsid w:val="009A3A2F"/>
    <w:rsid w:val="009A45EC"/>
    <w:rsid w:val="009A57F8"/>
    <w:rsid w:val="009A682F"/>
    <w:rsid w:val="009A77B3"/>
    <w:rsid w:val="009A79BA"/>
    <w:rsid w:val="009B1983"/>
    <w:rsid w:val="009B2841"/>
    <w:rsid w:val="009B29C2"/>
    <w:rsid w:val="009B42B5"/>
    <w:rsid w:val="009B5820"/>
    <w:rsid w:val="009B603F"/>
    <w:rsid w:val="009B64FD"/>
    <w:rsid w:val="009B7402"/>
    <w:rsid w:val="009B7701"/>
    <w:rsid w:val="009B788E"/>
    <w:rsid w:val="009C093E"/>
    <w:rsid w:val="009C4228"/>
    <w:rsid w:val="009C4BA5"/>
    <w:rsid w:val="009C4C41"/>
    <w:rsid w:val="009C4CF7"/>
    <w:rsid w:val="009C50E1"/>
    <w:rsid w:val="009C5366"/>
    <w:rsid w:val="009C53D6"/>
    <w:rsid w:val="009C727F"/>
    <w:rsid w:val="009C7DFD"/>
    <w:rsid w:val="009D0451"/>
    <w:rsid w:val="009D08F2"/>
    <w:rsid w:val="009D0A7E"/>
    <w:rsid w:val="009D2A4B"/>
    <w:rsid w:val="009D2CAB"/>
    <w:rsid w:val="009D3611"/>
    <w:rsid w:val="009D51B9"/>
    <w:rsid w:val="009D641A"/>
    <w:rsid w:val="009D7454"/>
    <w:rsid w:val="009E0AAB"/>
    <w:rsid w:val="009E0B5F"/>
    <w:rsid w:val="009E0E44"/>
    <w:rsid w:val="009E1193"/>
    <w:rsid w:val="009E12F5"/>
    <w:rsid w:val="009E166E"/>
    <w:rsid w:val="009E30C5"/>
    <w:rsid w:val="009E40D6"/>
    <w:rsid w:val="009E472B"/>
    <w:rsid w:val="009E6862"/>
    <w:rsid w:val="009E6C50"/>
    <w:rsid w:val="009E7A78"/>
    <w:rsid w:val="009F0DED"/>
    <w:rsid w:val="009F1548"/>
    <w:rsid w:val="009F1667"/>
    <w:rsid w:val="009F41CB"/>
    <w:rsid w:val="009F5096"/>
    <w:rsid w:val="009F6379"/>
    <w:rsid w:val="009F7799"/>
    <w:rsid w:val="00A00301"/>
    <w:rsid w:val="00A007E3"/>
    <w:rsid w:val="00A0155E"/>
    <w:rsid w:val="00A01C5C"/>
    <w:rsid w:val="00A020C9"/>
    <w:rsid w:val="00A03C3C"/>
    <w:rsid w:val="00A03CC5"/>
    <w:rsid w:val="00A0412B"/>
    <w:rsid w:val="00A049DE"/>
    <w:rsid w:val="00A04BD6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BCD"/>
    <w:rsid w:val="00A1472E"/>
    <w:rsid w:val="00A15653"/>
    <w:rsid w:val="00A16295"/>
    <w:rsid w:val="00A16CA8"/>
    <w:rsid w:val="00A16E2F"/>
    <w:rsid w:val="00A174C7"/>
    <w:rsid w:val="00A17507"/>
    <w:rsid w:val="00A20277"/>
    <w:rsid w:val="00A2073B"/>
    <w:rsid w:val="00A21C48"/>
    <w:rsid w:val="00A2467A"/>
    <w:rsid w:val="00A24A88"/>
    <w:rsid w:val="00A24B14"/>
    <w:rsid w:val="00A251EC"/>
    <w:rsid w:val="00A25BC8"/>
    <w:rsid w:val="00A25C07"/>
    <w:rsid w:val="00A25C58"/>
    <w:rsid w:val="00A26318"/>
    <w:rsid w:val="00A267F6"/>
    <w:rsid w:val="00A27619"/>
    <w:rsid w:val="00A30575"/>
    <w:rsid w:val="00A319C2"/>
    <w:rsid w:val="00A31A7D"/>
    <w:rsid w:val="00A32B05"/>
    <w:rsid w:val="00A33BAE"/>
    <w:rsid w:val="00A344E9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EEE"/>
    <w:rsid w:val="00A4021D"/>
    <w:rsid w:val="00A40729"/>
    <w:rsid w:val="00A4078B"/>
    <w:rsid w:val="00A4093B"/>
    <w:rsid w:val="00A4414C"/>
    <w:rsid w:val="00A449B1"/>
    <w:rsid w:val="00A45F79"/>
    <w:rsid w:val="00A46DF5"/>
    <w:rsid w:val="00A479A9"/>
    <w:rsid w:val="00A50FAF"/>
    <w:rsid w:val="00A513FA"/>
    <w:rsid w:val="00A518EA"/>
    <w:rsid w:val="00A52713"/>
    <w:rsid w:val="00A52D8C"/>
    <w:rsid w:val="00A5365D"/>
    <w:rsid w:val="00A536AE"/>
    <w:rsid w:val="00A537B1"/>
    <w:rsid w:val="00A53D95"/>
    <w:rsid w:val="00A540AD"/>
    <w:rsid w:val="00A54222"/>
    <w:rsid w:val="00A5491B"/>
    <w:rsid w:val="00A5693D"/>
    <w:rsid w:val="00A569EA"/>
    <w:rsid w:val="00A60738"/>
    <w:rsid w:val="00A60E4E"/>
    <w:rsid w:val="00A6171E"/>
    <w:rsid w:val="00A62079"/>
    <w:rsid w:val="00A623A0"/>
    <w:rsid w:val="00A62F39"/>
    <w:rsid w:val="00A63B06"/>
    <w:rsid w:val="00A64182"/>
    <w:rsid w:val="00A64ED8"/>
    <w:rsid w:val="00A662F9"/>
    <w:rsid w:val="00A667F0"/>
    <w:rsid w:val="00A669D3"/>
    <w:rsid w:val="00A66F86"/>
    <w:rsid w:val="00A67160"/>
    <w:rsid w:val="00A70EF3"/>
    <w:rsid w:val="00A7274E"/>
    <w:rsid w:val="00A729FD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D1D"/>
    <w:rsid w:val="00A76FFB"/>
    <w:rsid w:val="00A80B21"/>
    <w:rsid w:val="00A80C73"/>
    <w:rsid w:val="00A810E0"/>
    <w:rsid w:val="00A8128D"/>
    <w:rsid w:val="00A81AE3"/>
    <w:rsid w:val="00A82898"/>
    <w:rsid w:val="00A82981"/>
    <w:rsid w:val="00A84374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92B"/>
    <w:rsid w:val="00A94988"/>
    <w:rsid w:val="00A9626C"/>
    <w:rsid w:val="00A96BC0"/>
    <w:rsid w:val="00A96C63"/>
    <w:rsid w:val="00A978F3"/>
    <w:rsid w:val="00AA020A"/>
    <w:rsid w:val="00AA0F34"/>
    <w:rsid w:val="00AA133C"/>
    <w:rsid w:val="00AA1770"/>
    <w:rsid w:val="00AA19B0"/>
    <w:rsid w:val="00AA2108"/>
    <w:rsid w:val="00AA3BCC"/>
    <w:rsid w:val="00AA42A0"/>
    <w:rsid w:val="00AA5B53"/>
    <w:rsid w:val="00AA6602"/>
    <w:rsid w:val="00AA6B6F"/>
    <w:rsid w:val="00AA71D1"/>
    <w:rsid w:val="00AA72BA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F64"/>
    <w:rsid w:val="00AC12CA"/>
    <w:rsid w:val="00AC28AB"/>
    <w:rsid w:val="00AC294E"/>
    <w:rsid w:val="00AC2AA2"/>
    <w:rsid w:val="00AC3D52"/>
    <w:rsid w:val="00AC44F1"/>
    <w:rsid w:val="00AC4D97"/>
    <w:rsid w:val="00AC5C2E"/>
    <w:rsid w:val="00AC60F1"/>
    <w:rsid w:val="00AC68E6"/>
    <w:rsid w:val="00AC70A7"/>
    <w:rsid w:val="00AC749C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6BB2"/>
    <w:rsid w:val="00AE0C8E"/>
    <w:rsid w:val="00AE2CB8"/>
    <w:rsid w:val="00AE49C0"/>
    <w:rsid w:val="00AE4FF8"/>
    <w:rsid w:val="00AE52E6"/>
    <w:rsid w:val="00AE6599"/>
    <w:rsid w:val="00AE6CE5"/>
    <w:rsid w:val="00AE6EFA"/>
    <w:rsid w:val="00AE6F56"/>
    <w:rsid w:val="00AE7B84"/>
    <w:rsid w:val="00AF0C68"/>
    <w:rsid w:val="00AF1330"/>
    <w:rsid w:val="00AF1540"/>
    <w:rsid w:val="00AF16A1"/>
    <w:rsid w:val="00AF35EF"/>
    <w:rsid w:val="00AF3C15"/>
    <w:rsid w:val="00AF4BAE"/>
    <w:rsid w:val="00AF4C07"/>
    <w:rsid w:val="00AF5068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99B"/>
    <w:rsid w:val="00B035F6"/>
    <w:rsid w:val="00B05F5E"/>
    <w:rsid w:val="00B06600"/>
    <w:rsid w:val="00B075A8"/>
    <w:rsid w:val="00B07DCF"/>
    <w:rsid w:val="00B10CA0"/>
    <w:rsid w:val="00B11ADB"/>
    <w:rsid w:val="00B11E81"/>
    <w:rsid w:val="00B12CCB"/>
    <w:rsid w:val="00B12D32"/>
    <w:rsid w:val="00B13227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20FE7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A01"/>
    <w:rsid w:val="00B25B85"/>
    <w:rsid w:val="00B25D67"/>
    <w:rsid w:val="00B27335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A8D"/>
    <w:rsid w:val="00B36171"/>
    <w:rsid w:val="00B3652A"/>
    <w:rsid w:val="00B373AB"/>
    <w:rsid w:val="00B40782"/>
    <w:rsid w:val="00B40CB5"/>
    <w:rsid w:val="00B41B08"/>
    <w:rsid w:val="00B41FF9"/>
    <w:rsid w:val="00B43EFE"/>
    <w:rsid w:val="00B44612"/>
    <w:rsid w:val="00B462F2"/>
    <w:rsid w:val="00B46D2F"/>
    <w:rsid w:val="00B473E1"/>
    <w:rsid w:val="00B47A7F"/>
    <w:rsid w:val="00B47CB2"/>
    <w:rsid w:val="00B50E3B"/>
    <w:rsid w:val="00B51530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38FF"/>
    <w:rsid w:val="00B6444A"/>
    <w:rsid w:val="00B64BFE"/>
    <w:rsid w:val="00B654A7"/>
    <w:rsid w:val="00B65984"/>
    <w:rsid w:val="00B65BDD"/>
    <w:rsid w:val="00B65CE4"/>
    <w:rsid w:val="00B66F63"/>
    <w:rsid w:val="00B672AC"/>
    <w:rsid w:val="00B70249"/>
    <w:rsid w:val="00B7032A"/>
    <w:rsid w:val="00B70E79"/>
    <w:rsid w:val="00B715C2"/>
    <w:rsid w:val="00B71674"/>
    <w:rsid w:val="00B71B29"/>
    <w:rsid w:val="00B7293D"/>
    <w:rsid w:val="00B72C02"/>
    <w:rsid w:val="00B73945"/>
    <w:rsid w:val="00B745CD"/>
    <w:rsid w:val="00B75CD8"/>
    <w:rsid w:val="00B76244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924FB"/>
    <w:rsid w:val="00B92860"/>
    <w:rsid w:val="00B94498"/>
    <w:rsid w:val="00B946F0"/>
    <w:rsid w:val="00B948EE"/>
    <w:rsid w:val="00BA0087"/>
    <w:rsid w:val="00BA112E"/>
    <w:rsid w:val="00BA13CE"/>
    <w:rsid w:val="00BA2901"/>
    <w:rsid w:val="00BA31E6"/>
    <w:rsid w:val="00BA3609"/>
    <w:rsid w:val="00BA39AB"/>
    <w:rsid w:val="00BA401C"/>
    <w:rsid w:val="00BA6DC8"/>
    <w:rsid w:val="00BA71DB"/>
    <w:rsid w:val="00BA78A2"/>
    <w:rsid w:val="00BB06F8"/>
    <w:rsid w:val="00BB07B7"/>
    <w:rsid w:val="00BB07E9"/>
    <w:rsid w:val="00BB1515"/>
    <w:rsid w:val="00BB173C"/>
    <w:rsid w:val="00BB1FDA"/>
    <w:rsid w:val="00BB2DFE"/>
    <w:rsid w:val="00BB3D3E"/>
    <w:rsid w:val="00BB6343"/>
    <w:rsid w:val="00BC0072"/>
    <w:rsid w:val="00BC07C3"/>
    <w:rsid w:val="00BC26EE"/>
    <w:rsid w:val="00BC2E06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2FC"/>
    <w:rsid w:val="00BD3DC7"/>
    <w:rsid w:val="00BD400C"/>
    <w:rsid w:val="00BD4A1B"/>
    <w:rsid w:val="00BD55B8"/>
    <w:rsid w:val="00BD5A83"/>
    <w:rsid w:val="00BD5BBA"/>
    <w:rsid w:val="00BD60AB"/>
    <w:rsid w:val="00BD6A70"/>
    <w:rsid w:val="00BE02CE"/>
    <w:rsid w:val="00BE04C7"/>
    <w:rsid w:val="00BE071E"/>
    <w:rsid w:val="00BE0DB2"/>
    <w:rsid w:val="00BE0FEB"/>
    <w:rsid w:val="00BE1D2D"/>
    <w:rsid w:val="00BE1EE0"/>
    <w:rsid w:val="00BE224D"/>
    <w:rsid w:val="00BE2354"/>
    <w:rsid w:val="00BE2548"/>
    <w:rsid w:val="00BE29E0"/>
    <w:rsid w:val="00BE2A42"/>
    <w:rsid w:val="00BE2F04"/>
    <w:rsid w:val="00BE3415"/>
    <w:rsid w:val="00BE42CD"/>
    <w:rsid w:val="00BE4AD4"/>
    <w:rsid w:val="00BE51A2"/>
    <w:rsid w:val="00BE5CCC"/>
    <w:rsid w:val="00BE6338"/>
    <w:rsid w:val="00BE6E1C"/>
    <w:rsid w:val="00BF0788"/>
    <w:rsid w:val="00BF14E3"/>
    <w:rsid w:val="00BF196A"/>
    <w:rsid w:val="00BF1B66"/>
    <w:rsid w:val="00BF1DDA"/>
    <w:rsid w:val="00BF422D"/>
    <w:rsid w:val="00BF49E0"/>
    <w:rsid w:val="00BF57AE"/>
    <w:rsid w:val="00BF5832"/>
    <w:rsid w:val="00BF67FF"/>
    <w:rsid w:val="00BF6B28"/>
    <w:rsid w:val="00BF7096"/>
    <w:rsid w:val="00BF7485"/>
    <w:rsid w:val="00BF7C11"/>
    <w:rsid w:val="00C00146"/>
    <w:rsid w:val="00C00A3E"/>
    <w:rsid w:val="00C00FD6"/>
    <w:rsid w:val="00C01FE8"/>
    <w:rsid w:val="00C02BE8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71B4"/>
    <w:rsid w:val="00C17548"/>
    <w:rsid w:val="00C17B17"/>
    <w:rsid w:val="00C17C41"/>
    <w:rsid w:val="00C20835"/>
    <w:rsid w:val="00C20E7F"/>
    <w:rsid w:val="00C21B15"/>
    <w:rsid w:val="00C22A2E"/>
    <w:rsid w:val="00C22F7D"/>
    <w:rsid w:val="00C238F0"/>
    <w:rsid w:val="00C246B8"/>
    <w:rsid w:val="00C252A0"/>
    <w:rsid w:val="00C265B4"/>
    <w:rsid w:val="00C26C2E"/>
    <w:rsid w:val="00C26F8F"/>
    <w:rsid w:val="00C27543"/>
    <w:rsid w:val="00C30CBD"/>
    <w:rsid w:val="00C314ED"/>
    <w:rsid w:val="00C315A9"/>
    <w:rsid w:val="00C31EBE"/>
    <w:rsid w:val="00C32C92"/>
    <w:rsid w:val="00C3463E"/>
    <w:rsid w:val="00C37333"/>
    <w:rsid w:val="00C401C8"/>
    <w:rsid w:val="00C401D0"/>
    <w:rsid w:val="00C40680"/>
    <w:rsid w:val="00C406B6"/>
    <w:rsid w:val="00C40B15"/>
    <w:rsid w:val="00C4204F"/>
    <w:rsid w:val="00C42D81"/>
    <w:rsid w:val="00C431A9"/>
    <w:rsid w:val="00C448C0"/>
    <w:rsid w:val="00C452F6"/>
    <w:rsid w:val="00C45451"/>
    <w:rsid w:val="00C4697D"/>
    <w:rsid w:val="00C469A0"/>
    <w:rsid w:val="00C4784A"/>
    <w:rsid w:val="00C47BBA"/>
    <w:rsid w:val="00C50766"/>
    <w:rsid w:val="00C515D0"/>
    <w:rsid w:val="00C51F86"/>
    <w:rsid w:val="00C526E5"/>
    <w:rsid w:val="00C53136"/>
    <w:rsid w:val="00C54579"/>
    <w:rsid w:val="00C5542A"/>
    <w:rsid w:val="00C5741D"/>
    <w:rsid w:val="00C5759B"/>
    <w:rsid w:val="00C57DA9"/>
    <w:rsid w:val="00C60004"/>
    <w:rsid w:val="00C6057D"/>
    <w:rsid w:val="00C61513"/>
    <w:rsid w:val="00C62DD7"/>
    <w:rsid w:val="00C633DE"/>
    <w:rsid w:val="00C6345A"/>
    <w:rsid w:val="00C67429"/>
    <w:rsid w:val="00C70D42"/>
    <w:rsid w:val="00C71813"/>
    <w:rsid w:val="00C71AD2"/>
    <w:rsid w:val="00C71E65"/>
    <w:rsid w:val="00C724CC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55CE"/>
    <w:rsid w:val="00C95878"/>
    <w:rsid w:val="00C96077"/>
    <w:rsid w:val="00C96B49"/>
    <w:rsid w:val="00C979E2"/>
    <w:rsid w:val="00CA0DCB"/>
    <w:rsid w:val="00CA1352"/>
    <w:rsid w:val="00CA19CA"/>
    <w:rsid w:val="00CA3F5A"/>
    <w:rsid w:val="00CA5472"/>
    <w:rsid w:val="00CA5BD9"/>
    <w:rsid w:val="00CA5C6F"/>
    <w:rsid w:val="00CA64BE"/>
    <w:rsid w:val="00CA6DF0"/>
    <w:rsid w:val="00CA7CE3"/>
    <w:rsid w:val="00CA7D4B"/>
    <w:rsid w:val="00CB074C"/>
    <w:rsid w:val="00CB0A2F"/>
    <w:rsid w:val="00CB1C3E"/>
    <w:rsid w:val="00CB24FB"/>
    <w:rsid w:val="00CB310C"/>
    <w:rsid w:val="00CB3212"/>
    <w:rsid w:val="00CB447F"/>
    <w:rsid w:val="00CB4D2D"/>
    <w:rsid w:val="00CB5488"/>
    <w:rsid w:val="00CB562B"/>
    <w:rsid w:val="00CB5962"/>
    <w:rsid w:val="00CB5FA2"/>
    <w:rsid w:val="00CB7DD9"/>
    <w:rsid w:val="00CC0506"/>
    <w:rsid w:val="00CC0789"/>
    <w:rsid w:val="00CC0F35"/>
    <w:rsid w:val="00CC142B"/>
    <w:rsid w:val="00CC349E"/>
    <w:rsid w:val="00CC5B46"/>
    <w:rsid w:val="00CC642A"/>
    <w:rsid w:val="00CC6BAB"/>
    <w:rsid w:val="00CC7543"/>
    <w:rsid w:val="00CD02DB"/>
    <w:rsid w:val="00CD071A"/>
    <w:rsid w:val="00CD08A7"/>
    <w:rsid w:val="00CD0CDF"/>
    <w:rsid w:val="00CD0FDE"/>
    <w:rsid w:val="00CD10C6"/>
    <w:rsid w:val="00CD364B"/>
    <w:rsid w:val="00CD4816"/>
    <w:rsid w:val="00CD64C7"/>
    <w:rsid w:val="00CD66A7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800"/>
    <w:rsid w:val="00CE4F35"/>
    <w:rsid w:val="00CE5FC1"/>
    <w:rsid w:val="00CE5FE1"/>
    <w:rsid w:val="00CE6980"/>
    <w:rsid w:val="00CE7E89"/>
    <w:rsid w:val="00CF004D"/>
    <w:rsid w:val="00CF28B7"/>
    <w:rsid w:val="00CF2B51"/>
    <w:rsid w:val="00CF3481"/>
    <w:rsid w:val="00CF36AC"/>
    <w:rsid w:val="00CF3C3E"/>
    <w:rsid w:val="00CF3F45"/>
    <w:rsid w:val="00CF50CE"/>
    <w:rsid w:val="00CF5523"/>
    <w:rsid w:val="00CF6389"/>
    <w:rsid w:val="00CF6EFF"/>
    <w:rsid w:val="00CF737E"/>
    <w:rsid w:val="00CF7517"/>
    <w:rsid w:val="00CF79C9"/>
    <w:rsid w:val="00CF7B90"/>
    <w:rsid w:val="00D00D02"/>
    <w:rsid w:val="00D018F4"/>
    <w:rsid w:val="00D01A05"/>
    <w:rsid w:val="00D01DD6"/>
    <w:rsid w:val="00D02587"/>
    <w:rsid w:val="00D02849"/>
    <w:rsid w:val="00D02FD5"/>
    <w:rsid w:val="00D034D4"/>
    <w:rsid w:val="00D03520"/>
    <w:rsid w:val="00D0366B"/>
    <w:rsid w:val="00D03C76"/>
    <w:rsid w:val="00D04098"/>
    <w:rsid w:val="00D04DE2"/>
    <w:rsid w:val="00D05B48"/>
    <w:rsid w:val="00D079CE"/>
    <w:rsid w:val="00D07BCA"/>
    <w:rsid w:val="00D10901"/>
    <w:rsid w:val="00D114B4"/>
    <w:rsid w:val="00D13F3F"/>
    <w:rsid w:val="00D156FD"/>
    <w:rsid w:val="00D16A25"/>
    <w:rsid w:val="00D21B9F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E9"/>
    <w:rsid w:val="00D26C83"/>
    <w:rsid w:val="00D27BE8"/>
    <w:rsid w:val="00D27E2E"/>
    <w:rsid w:val="00D27F9B"/>
    <w:rsid w:val="00D309A5"/>
    <w:rsid w:val="00D328E0"/>
    <w:rsid w:val="00D329BF"/>
    <w:rsid w:val="00D33773"/>
    <w:rsid w:val="00D33C80"/>
    <w:rsid w:val="00D33F61"/>
    <w:rsid w:val="00D34130"/>
    <w:rsid w:val="00D349E5"/>
    <w:rsid w:val="00D35114"/>
    <w:rsid w:val="00D35C71"/>
    <w:rsid w:val="00D37F9C"/>
    <w:rsid w:val="00D420D0"/>
    <w:rsid w:val="00D43D0B"/>
    <w:rsid w:val="00D43E3E"/>
    <w:rsid w:val="00D4431A"/>
    <w:rsid w:val="00D44408"/>
    <w:rsid w:val="00D45CDF"/>
    <w:rsid w:val="00D47EC3"/>
    <w:rsid w:val="00D51506"/>
    <w:rsid w:val="00D51EE6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DBD"/>
    <w:rsid w:val="00D61E6A"/>
    <w:rsid w:val="00D62D03"/>
    <w:rsid w:val="00D6377B"/>
    <w:rsid w:val="00D6410C"/>
    <w:rsid w:val="00D64C02"/>
    <w:rsid w:val="00D6518B"/>
    <w:rsid w:val="00D66755"/>
    <w:rsid w:val="00D66FD6"/>
    <w:rsid w:val="00D67227"/>
    <w:rsid w:val="00D67AE8"/>
    <w:rsid w:val="00D70B45"/>
    <w:rsid w:val="00D7131D"/>
    <w:rsid w:val="00D7296B"/>
    <w:rsid w:val="00D72B06"/>
    <w:rsid w:val="00D73D9B"/>
    <w:rsid w:val="00D740A3"/>
    <w:rsid w:val="00D76BE0"/>
    <w:rsid w:val="00D80625"/>
    <w:rsid w:val="00D8064B"/>
    <w:rsid w:val="00D820ED"/>
    <w:rsid w:val="00D82E91"/>
    <w:rsid w:val="00D84AA0"/>
    <w:rsid w:val="00D85AAF"/>
    <w:rsid w:val="00D8607A"/>
    <w:rsid w:val="00D86378"/>
    <w:rsid w:val="00D865AB"/>
    <w:rsid w:val="00D86BBC"/>
    <w:rsid w:val="00D87B50"/>
    <w:rsid w:val="00D9054F"/>
    <w:rsid w:val="00D90E17"/>
    <w:rsid w:val="00D91B54"/>
    <w:rsid w:val="00D91DEA"/>
    <w:rsid w:val="00D91E26"/>
    <w:rsid w:val="00D91EAB"/>
    <w:rsid w:val="00D9241C"/>
    <w:rsid w:val="00D92CCE"/>
    <w:rsid w:val="00D938D3"/>
    <w:rsid w:val="00D94738"/>
    <w:rsid w:val="00D960CF"/>
    <w:rsid w:val="00D96C7D"/>
    <w:rsid w:val="00D9787D"/>
    <w:rsid w:val="00DA0A59"/>
    <w:rsid w:val="00DA1EB2"/>
    <w:rsid w:val="00DA20AC"/>
    <w:rsid w:val="00DA287E"/>
    <w:rsid w:val="00DA2D2E"/>
    <w:rsid w:val="00DA2DC9"/>
    <w:rsid w:val="00DA3D1F"/>
    <w:rsid w:val="00DA5404"/>
    <w:rsid w:val="00DA6464"/>
    <w:rsid w:val="00DA7B05"/>
    <w:rsid w:val="00DB0E90"/>
    <w:rsid w:val="00DB4025"/>
    <w:rsid w:val="00DB4B1C"/>
    <w:rsid w:val="00DB57A2"/>
    <w:rsid w:val="00DB71B5"/>
    <w:rsid w:val="00DB7A7E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703B"/>
    <w:rsid w:val="00DC7460"/>
    <w:rsid w:val="00DC7516"/>
    <w:rsid w:val="00DC7E00"/>
    <w:rsid w:val="00DC7FE7"/>
    <w:rsid w:val="00DD137E"/>
    <w:rsid w:val="00DD1765"/>
    <w:rsid w:val="00DD2366"/>
    <w:rsid w:val="00DD3B52"/>
    <w:rsid w:val="00DD3DC6"/>
    <w:rsid w:val="00DD4861"/>
    <w:rsid w:val="00DD5570"/>
    <w:rsid w:val="00DD6123"/>
    <w:rsid w:val="00DD7A18"/>
    <w:rsid w:val="00DE02CB"/>
    <w:rsid w:val="00DE02CD"/>
    <w:rsid w:val="00DE2331"/>
    <w:rsid w:val="00DE3C7C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D56"/>
    <w:rsid w:val="00DF23E4"/>
    <w:rsid w:val="00DF2A36"/>
    <w:rsid w:val="00DF2AF1"/>
    <w:rsid w:val="00DF30EC"/>
    <w:rsid w:val="00DF358C"/>
    <w:rsid w:val="00DF3A9A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D3C"/>
    <w:rsid w:val="00E034EC"/>
    <w:rsid w:val="00E05AB2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F3D"/>
    <w:rsid w:val="00E14C8D"/>
    <w:rsid w:val="00E15D20"/>
    <w:rsid w:val="00E15F67"/>
    <w:rsid w:val="00E1648D"/>
    <w:rsid w:val="00E17896"/>
    <w:rsid w:val="00E17F42"/>
    <w:rsid w:val="00E202DB"/>
    <w:rsid w:val="00E20BE3"/>
    <w:rsid w:val="00E21401"/>
    <w:rsid w:val="00E2155F"/>
    <w:rsid w:val="00E21831"/>
    <w:rsid w:val="00E21AED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E4D"/>
    <w:rsid w:val="00E423AE"/>
    <w:rsid w:val="00E4253E"/>
    <w:rsid w:val="00E42C8A"/>
    <w:rsid w:val="00E435B3"/>
    <w:rsid w:val="00E43E53"/>
    <w:rsid w:val="00E44E20"/>
    <w:rsid w:val="00E46BF6"/>
    <w:rsid w:val="00E46C3B"/>
    <w:rsid w:val="00E46E5D"/>
    <w:rsid w:val="00E46EA2"/>
    <w:rsid w:val="00E505BF"/>
    <w:rsid w:val="00E5077D"/>
    <w:rsid w:val="00E50C87"/>
    <w:rsid w:val="00E51C68"/>
    <w:rsid w:val="00E52DC5"/>
    <w:rsid w:val="00E5300D"/>
    <w:rsid w:val="00E5306A"/>
    <w:rsid w:val="00E53C57"/>
    <w:rsid w:val="00E540DD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3CD1"/>
    <w:rsid w:val="00E64776"/>
    <w:rsid w:val="00E64DC0"/>
    <w:rsid w:val="00E66372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7B1"/>
    <w:rsid w:val="00E76294"/>
    <w:rsid w:val="00E76391"/>
    <w:rsid w:val="00E768D8"/>
    <w:rsid w:val="00E76907"/>
    <w:rsid w:val="00E777D3"/>
    <w:rsid w:val="00E809B8"/>
    <w:rsid w:val="00E836D0"/>
    <w:rsid w:val="00E83D34"/>
    <w:rsid w:val="00E83DD2"/>
    <w:rsid w:val="00E846C9"/>
    <w:rsid w:val="00E84969"/>
    <w:rsid w:val="00E85BEC"/>
    <w:rsid w:val="00E86DDF"/>
    <w:rsid w:val="00E87A99"/>
    <w:rsid w:val="00E90080"/>
    <w:rsid w:val="00E91C0F"/>
    <w:rsid w:val="00E91FF3"/>
    <w:rsid w:val="00E92520"/>
    <w:rsid w:val="00E93111"/>
    <w:rsid w:val="00E93D57"/>
    <w:rsid w:val="00E96E6C"/>
    <w:rsid w:val="00EA0FD8"/>
    <w:rsid w:val="00EA2EF9"/>
    <w:rsid w:val="00EA3A3A"/>
    <w:rsid w:val="00EA4BFD"/>
    <w:rsid w:val="00EA525D"/>
    <w:rsid w:val="00EA584D"/>
    <w:rsid w:val="00EA6EEF"/>
    <w:rsid w:val="00EA7584"/>
    <w:rsid w:val="00EA7700"/>
    <w:rsid w:val="00EB0317"/>
    <w:rsid w:val="00EB05E9"/>
    <w:rsid w:val="00EB0FFB"/>
    <w:rsid w:val="00EB230E"/>
    <w:rsid w:val="00EB2F81"/>
    <w:rsid w:val="00EB3959"/>
    <w:rsid w:val="00EB3DD1"/>
    <w:rsid w:val="00EB47B5"/>
    <w:rsid w:val="00EB4E02"/>
    <w:rsid w:val="00EB5CD8"/>
    <w:rsid w:val="00EB712C"/>
    <w:rsid w:val="00EC0179"/>
    <w:rsid w:val="00EC0C6D"/>
    <w:rsid w:val="00EC0CA5"/>
    <w:rsid w:val="00EC1EA6"/>
    <w:rsid w:val="00EC2854"/>
    <w:rsid w:val="00EC2EBB"/>
    <w:rsid w:val="00EC4432"/>
    <w:rsid w:val="00EC52C0"/>
    <w:rsid w:val="00EC5851"/>
    <w:rsid w:val="00EC6D9A"/>
    <w:rsid w:val="00EC7631"/>
    <w:rsid w:val="00EC78C7"/>
    <w:rsid w:val="00EC7E5C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487F"/>
    <w:rsid w:val="00EE4934"/>
    <w:rsid w:val="00EE4B06"/>
    <w:rsid w:val="00EE60A4"/>
    <w:rsid w:val="00EE6A87"/>
    <w:rsid w:val="00EE7100"/>
    <w:rsid w:val="00EE7853"/>
    <w:rsid w:val="00EF2BA6"/>
    <w:rsid w:val="00EF3B84"/>
    <w:rsid w:val="00EF537C"/>
    <w:rsid w:val="00EF5E90"/>
    <w:rsid w:val="00EF63DB"/>
    <w:rsid w:val="00EF65A5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7543"/>
    <w:rsid w:val="00F07BC0"/>
    <w:rsid w:val="00F1076E"/>
    <w:rsid w:val="00F10A64"/>
    <w:rsid w:val="00F10B73"/>
    <w:rsid w:val="00F11A6B"/>
    <w:rsid w:val="00F11ADA"/>
    <w:rsid w:val="00F11B89"/>
    <w:rsid w:val="00F1453F"/>
    <w:rsid w:val="00F147CE"/>
    <w:rsid w:val="00F16F3B"/>
    <w:rsid w:val="00F172D8"/>
    <w:rsid w:val="00F17AE1"/>
    <w:rsid w:val="00F17C1B"/>
    <w:rsid w:val="00F17C34"/>
    <w:rsid w:val="00F209BE"/>
    <w:rsid w:val="00F21E38"/>
    <w:rsid w:val="00F2229F"/>
    <w:rsid w:val="00F22C33"/>
    <w:rsid w:val="00F22CE6"/>
    <w:rsid w:val="00F22E46"/>
    <w:rsid w:val="00F24CC1"/>
    <w:rsid w:val="00F25FE8"/>
    <w:rsid w:val="00F26C7D"/>
    <w:rsid w:val="00F30942"/>
    <w:rsid w:val="00F31B37"/>
    <w:rsid w:val="00F321E7"/>
    <w:rsid w:val="00F34083"/>
    <w:rsid w:val="00F3412C"/>
    <w:rsid w:val="00F35153"/>
    <w:rsid w:val="00F351D3"/>
    <w:rsid w:val="00F3568F"/>
    <w:rsid w:val="00F35EBF"/>
    <w:rsid w:val="00F36F9C"/>
    <w:rsid w:val="00F37170"/>
    <w:rsid w:val="00F3769F"/>
    <w:rsid w:val="00F4014A"/>
    <w:rsid w:val="00F40AFF"/>
    <w:rsid w:val="00F41BC5"/>
    <w:rsid w:val="00F41EAE"/>
    <w:rsid w:val="00F43915"/>
    <w:rsid w:val="00F43DE2"/>
    <w:rsid w:val="00F4434E"/>
    <w:rsid w:val="00F45134"/>
    <w:rsid w:val="00F458B9"/>
    <w:rsid w:val="00F4696E"/>
    <w:rsid w:val="00F46D5F"/>
    <w:rsid w:val="00F473C2"/>
    <w:rsid w:val="00F4778A"/>
    <w:rsid w:val="00F50388"/>
    <w:rsid w:val="00F51305"/>
    <w:rsid w:val="00F513AC"/>
    <w:rsid w:val="00F5193E"/>
    <w:rsid w:val="00F51BBD"/>
    <w:rsid w:val="00F51D6B"/>
    <w:rsid w:val="00F529DC"/>
    <w:rsid w:val="00F52FD3"/>
    <w:rsid w:val="00F56606"/>
    <w:rsid w:val="00F566DF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B3D"/>
    <w:rsid w:val="00F6520A"/>
    <w:rsid w:val="00F653AB"/>
    <w:rsid w:val="00F6618F"/>
    <w:rsid w:val="00F668B4"/>
    <w:rsid w:val="00F67B38"/>
    <w:rsid w:val="00F70110"/>
    <w:rsid w:val="00F70722"/>
    <w:rsid w:val="00F724E6"/>
    <w:rsid w:val="00F7269B"/>
    <w:rsid w:val="00F72EA8"/>
    <w:rsid w:val="00F736AB"/>
    <w:rsid w:val="00F741BA"/>
    <w:rsid w:val="00F743AC"/>
    <w:rsid w:val="00F74B30"/>
    <w:rsid w:val="00F7578E"/>
    <w:rsid w:val="00F767DA"/>
    <w:rsid w:val="00F77F5E"/>
    <w:rsid w:val="00F80229"/>
    <w:rsid w:val="00F8028C"/>
    <w:rsid w:val="00F81119"/>
    <w:rsid w:val="00F8182F"/>
    <w:rsid w:val="00F81FDB"/>
    <w:rsid w:val="00F8205E"/>
    <w:rsid w:val="00F83FD7"/>
    <w:rsid w:val="00F8430A"/>
    <w:rsid w:val="00F8520B"/>
    <w:rsid w:val="00F8774E"/>
    <w:rsid w:val="00F878E1"/>
    <w:rsid w:val="00F907EE"/>
    <w:rsid w:val="00F91F11"/>
    <w:rsid w:val="00F92143"/>
    <w:rsid w:val="00F92B5E"/>
    <w:rsid w:val="00F93130"/>
    <w:rsid w:val="00F93389"/>
    <w:rsid w:val="00F9529E"/>
    <w:rsid w:val="00F95C40"/>
    <w:rsid w:val="00F96EDD"/>
    <w:rsid w:val="00FA05D0"/>
    <w:rsid w:val="00FA0DEF"/>
    <w:rsid w:val="00FA0F89"/>
    <w:rsid w:val="00FA1F2D"/>
    <w:rsid w:val="00FA282E"/>
    <w:rsid w:val="00FA34F2"/>
    <w:rsid w:val="00FA3A17"/>
    <w:rsid w:val="00FA3EB0"/>
    <w:rsid w:val="00FA409B"/>
    <w:rsid w:val="00FA456C"/>
    <w:rsid w:val="00FA4DA8"/>
    <w:rsid w:val="00FA4F98"/>
    <w:rsid w:val="00FA6FF3"/>
    <w:rsid w:val="00FA791A"/>
    <w:rsid w:val="00FA7EF9"/>
    <w:rsid w:val="00FA7F69"/>
    <w:rsid w:val="00FB019F"/>
    <w:rsid w:val="00FB0791"/>
    <w:rsid w:val="00FB0C5C"/>
    <w:rsid w:val="00FB1847"/>
    <w:rsid w:val="00FB312B"/>
    <w:rsid w:val="00FB3947"/>
    <w:rsid w:val="00FB3C1C"/>
    <w:rsid w:val="00FB450E"/>
    <w:rsid w:val="00FB47A2"/>
    <w:rsid w:val="00FB500A"/>
    <w:rsid w:val="00FB5268"/>
    <w:rsid w:val="00FB5D16"/>
    <w:rsid w:val="00FB686E"/>
    <w:rsid w:val="00FB701D"/>
    <w:rsid w:val="00FB7477"/>
    <w:rsid w:val="00FC03D4"/>
    <w:rsid w:val="00FC1CE3"/>
    <w:rsid w:val="00FC23C1"/>
    <w:rsid w:val="00FC2802"/>
    <w:rsid w:val="00FC383A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6EA"/>
    <w:rsid w:val="00FE10A1"/>
    <w:rsid w:val="00FE1735"/>
    <w:rsid w:val="00FE1B26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719D"/>
    <w:rsid w:val="00FE7506"/>
    <w:rsid w:val="00FE7AC9"/>
    <w:rsid w:val="00FE7E03"/>
    <w:rsid w:val="00FF0F9F"/>
    <w:rsid w:val="00FF15AE"/>
    <w:rsid w:val="00FF1B0A"/>
    <w:rsid w:val="00FF4402"/>
    <w:rsid w:val="00FF446D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521D35-8E84-41E6-BDFE-0766746A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06A9-C61D-4BEC-9199-99831003F1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28553-D374-43B9-9C66-73ED7180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2941</Words>
  <Characters>16827</Characters>
  <Application>Microsoft Office Word</Application>
  <DocSecurity>0</DocSecurity>
  <Lines>373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Дмитрий  Владимирович Машьянов</cp:lastModifiedBy>
  <cp:revision>3</cp:revision>
  <cp:lastPrinted>2019-07-30T06:38:00Z</cp:lastPrinted>
  <dcterms:created xsi:type="dcterms:W3CDTF">2019-08-14T16:25:00Z</dcterms:created>
  <dcterms:modified xsi:type="dcterms:W3CDTF">2019-08-15T09:47:00Z</dcterms:modified>
</cp:coreProperties>
</file>