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50" w:rsidRPr="00D44885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  <w:szCs w:val="24"/>
        </w:rPr>
        <w:t xml:space="preserve">Приложение № </w:t>
      </w:r>
      <w:r w:rsidR="00B26B42" w:rsidRPr="00D44885">
        <w:rPr>
          <w:color w:val="000000" w:themeColor="text1"/>
          <w:sz w:val="24"/>
          <w:szCs w:val="24"/>
        </w:rPr>
        <w:t>1</w:t>
      </w:r>
      <w:r w:rsidR="00AA5473">
        <w:rPr>
          <w:color w:val="000000" w:themeColor="text1"/>
          <w:sz w:val="24"/>
          <w:szCs w:val="24"/>
        </w:rPr>
        <w:t>5</w:t>
      </w:r>
    </w:p>
    <w:p w:rsidR="001C6950" w:rsidRPr="00D44885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  <w:szCs w:val="24"/>
        </w:rPr>
        <w:t>к аналитической записке</w:t>
      </w:r>
    </w:p>
    <w:p w:rsidR="006D65E1" w:rsidRPr="00D44885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C86292" w:rsidRPr="00D44885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DF3AAB" w:rsidRPr="00D44885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  <w:szCs w:val="24"/>
        </w:rPr>
        <w:t>Таблица 1</w:t>
      </w:r>
    </w:p>
    <w:p w:rsidR="002B7597" w:rsidRPr="00D44885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:rsidR="006C38EE" w:rsidRPr="00D44885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44885">
        <w:rPr>
          <w:b/>
          <w:color w:val="000000" w:themeColor="text1"/>
          <w:sz w:val="24"/>
          <w:szCs w:val="24"/>
        </w:rPr>
        <w:t>Анализ выполнения Программы государственных внутренних заимствований Российской Федерации на 2019 год и на плановый период 2020 и 2021 годов</w:t>
      </w:r>
    </w:p>
    <w:p w:rsidR="00C86292" w:rsidRPr="00D44885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9170" w:type="dxa"/>
        <w:jc w:val="center"/>
        <w:tblInd w:w="-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935"/>
        <w:gridCol w:w="1985"/>
        <w:gridCol w:w="1468"/>
        <w:gridCol w:w="850"/>
        <w:gridCol w:w="850"/>
      </w:tblGrid>
      <w:tr w:rsidR="00D44885" w:rsidRPr="00D44885" w:rsidTr="007252F2">
        <w:trPr>
          <w:trHeight w:val="1026"/>
          <w:tblHeader/>
          <w:jc w:val="center"/>
        </w:trPr>
        <w:tc>
          <w:tcPr>
            <w:tcW w:w="2082" w:type="dxa"/>
            <w:vMerge w:val="restart"/>
            <w:shd w:val="clear" w:color="auto" w:fill="auto"/>
            <w:noWrap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920" w:type="dxa"/>
            <w:gridSpan w:val="2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2019 год и на плановый период 2020 и 2021 годы в части 2019 года,</w:t>
            </w:r>
          </w:p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3168" w:type="dxa"/>
            <w:gridSpan w:val="3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 xml:space="preserve">на 1 </w:t>
            </w:r>
            <w:r w:rsidR="006044EA" w:rsidRPr="00D44885">
              <w:rPr>
                <w:b/>
                <w:bCs/>
                <w:color w:val="000000" w:themeColor="text1"/>
                <w:sz w:val="16"/>
                <w:szCs w:val="16"/>
              </w:rPr>
              <w:t>ию</w:t>
            </w: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ля 2019 года</w:t>
            </w:r>
          </w:p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(нарастающим итогом)*</w:t>
            </w:r>
          </w:p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44885" w:rsidRPr="00D44885" w:rsidTr="007252F2">
        <w:trPr>
          <w:trHeight w:val="333"/>
          <w:tblHeader/>
          <w:jc w:val="center"/>
        </w:trPr>
        <w:tc>
          <w:tcPr>
            <w:tcW w:w="2082" w:type="dxa"/>
            <w:vMerge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459-ФЗ</w:t>
            </w:r>
          </w:p>
        </w:tc>
        <w:tc>
          <w:tcPr>
            <w:tcW w:w="1985" w:type="dxa"/>
          </w:tcPr>
          <w:p w:rsidR="006044EA" w:rsidRPr="00D44885" w:rsidRDefault="007252F2" w:rsidP="006044E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  <w:r w:rsidR="006044EA" w:rsidRPr="00D44885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7252F2" w:rsidRPr="00D44885" w:rsidRDefault="006044EA" w:rsidP="006044E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№ 175-ФЗ</w:t>
            </w:r>
          </w:p>
        </w:tc>
        <w:tc>
          <w:tcPr>
            <w:tcW w:w="1468" w:type="dxa"/>
            <w:shd w:val="clear" w:color="auto" w:fill="auto"/>
            <w:noWrap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850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D44885" w:rsidRPr="00D44885" w:rsidTr="007252F2">
        <w:trPr>
          <w:trHeight w:val="98"/>
          <w:jc w:val="center"/>
        </w:trPr>
        <w:tc>
          <w:tcPr>
            <w:tcW w:w="2082" w:type="dxa"/>
            <w:shd w:val="clear" w:color="auto" w:fill="auto"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35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5" w:type="dxa"/>
          </w:tcPr>
          <w:p w:rsidR="007252F2" w:rsidRPr="00D44885" w:rsidRDefault="007252F2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5=4/2</w:t>
            </w:r>
          </w:p>
        </w:tc>
        <w:tc>
          <w:tcPr>
            <w:tcW w:w="850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6=4/3</w:t>
            </w:r>
          </w:p>
        </w:tc>
      </w:tr>
      <w:tr w:rsidR="00D44885" w:rsidRPr="00D44885" w:rsidTr="007252F2">
        <w:trPr>
          <w:trHeight w:val="195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7252F2" w:rsidRPr="00D44885" w:rsidRDefault="007252F2" w:rsidP="00BD003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1 705</w:t>
            </w:r>
            <w:r w:rsidR="00BD0039" w:rsidRPr="00D44885">
              <w:rPr>
                <w:b/>
                <w:color w:val="000000" w:themeColor="text1"/>
                <w:sz w:val="16"/>
                <w:szCs w:val="16"/>
              </w:rPr>
              <w:t> 152,4</w:t>
            </w:r>
          </w:p>
        </w:tc>
        <w:tc>
          <w:tcPr>
            <w:tcW w:w="1985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bCs/>
                <w:color w:val="000000" w:themeColor="text1"/>
                <w:sz w:val="16"/>
                <w:szCs w:val="16"/>
              </w:rPr>
              <w:t>1 566 618,7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945 778,2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55,5</w:t>
            </w:r>
          </w:p>
        </w:tc>
        <w:tc>
          <w:tcPr>
            <w:tcW w:w="850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44885">
              <w:rPr>
                <w:b/>
                <w:color w:val="000000" w:themeColor="text1"/>
                <w:sz w:val="16"/>
                <w:szCs w:val="16"/>
              </w:rPr>
              <w:t>60,4</w:t>
            </w:r>
          </w:p>
        </w:tc>
      </w:tr>
      <w:tr w:rsidR="00D44885" w:rsidRPr="00D44885" w:rsidTr="007252F2">
        <w:trPr>
          <w:trHeight w:val="240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2 425 394,0**</w:t>
            </w:r>
          </w:p>
        </w:tc>
        <w:tc>
          <w:tcPr>
            <w:tcW w:w="1985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2 280 099,5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1 359 191,8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56,0</w:t>
            </w:r>
          </w:p>
        </w:tc>
        <w:tc>
          <w:tcPr>
            <w:tcW w:w="850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59,6</w:t>
            </w:r>
          </w:p>
        </w:tc>
      </w:tr>
      <w:tr w:rsidR="00D44885" w:rsidRPr="00D44885" w:rsidTr="007252F2">
        <w:trPr>
          <w:trHeight w:val="240"/>
          <w:jc w:val="center"/>
        </w:trPr>
        <w:tc>
          <w:tcPr>
            <w:tcW w:w="2082" w:type="dxa"/>
            <w:shd w:val="clear" w:color="auto" w:fill="auto"/>
            <w:vAlign w:val="center"/>
            <w:hideMark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1935" w:type="dxa"/>
            <w:shd w:val="clear" w:color="auto" w:fill="auto"/>
            <w:noWrap/>
            <w:vAlign w:val="center"/>
            <w:hideMark/>
          </w:tcPr>
          <w:p w:rsidR="007252F2" w:rsidRPr="00D44885" w:rsidRDefault="007252F2" w:rsidP="0030468B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-720 241,6</w:t>
            </w:r>
          </w:p>
        </w:tc>
        <w:tc>
          <w:tcPr>
            <w:tcW w:w="1985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-713 480,8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-413 413,7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252F2" w:rsidRPr="00D44885" w:rsidRDefault="007252F2" w:rsidP="009A4553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57,4</w:t>
            </w:r>
          </w:p>
        </w:tc>
        <w:tc>
          <w:tcPr>
            <w:tcW w:w="850" w:type="dxa"/>
            <w:vAlign w:val="center"/>
          </w:tcPr>
          <w:p w:rsidR="007252F2" w:rsidRPr="00D44885" w:rsidRDefault="007252F2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D44885">
              <w:rPr>
                <w:color w:val="000000" w:themeColor="text1"/>
                <w:sz w:val="16"/>
                <w:szCs w:val="16"/>
              </w:rPr>
              <w:t>57,9</w:t>
            </w:r>
          </w:p>
        </w:tc>
      </w:tr>
    </w:tbl>
    <w:p w:rsidR="006C38EE" w:rsidRPr="00D44885" w:rsidRDefault="00DF3AAB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D44885">
        <w:rPr>
          <w:color w:val="000000" w:themeColor="text1"/>
          <w:sz w:val="16"/>
          <w:szCs w:val="16"/>
        </w:rPr>
        <w:t xml:space="preserve">* </w:t>
      </w:r>
      <w:r w:rsidR="008375F5">
        <w:rPr>
          <w:color w:val="000000" w:themeColor="text1"/>
          <w:sz w:val="16"/>
          <w:szCs w:val="16"/>
        </w:rPr>
        <w:t>С</w:t>
      </w:r>
      <w:r w:rsidR="006C38EE" w:rsidRPr="00D44885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D44885">
        <w:rPr>
          <w:color w:val="000000" w:themeColor="text1"/>
          <w:sz w:val="16"/>
          <w:szCs w:val="16"/>
        </w:rPr>
        <w:t>огашения основного долга по ним.</w:t>
      </w:r>
    </w:p>
    <w:p w:rsidR="00DF3AAB" w:rsidRPr="00D44885" w:rsidRDefault="008375F5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**В</w:t>
      </w:r>
      <w:r w:rsidR="00DF3AAB" w:rsidRPr="00D44885">
        <w:rPr>
          <w:color w:val="000000" w:themeColor="text1"/>
          <w:sz w:val="16"/>
          <w:szCs w:val="16"/>
        </w:rPr>
        <w:t xml:space="preserve"> соответствии с распоряжением Правительства Российской Федерации от </w:t>
      </w:r>
      <w:r w:rsidR="0030468B" w:rsidRPr="00D44885">
        <w:rPr>
          <w:color w:val="000000" w:themeColor="text1"/>
          <w:sz w:val="16"/>
          <w:szCs w:val="16"/>
        </w:rPr>
        <w:t>28</w:t>
      </w:r>
      <w:r w:rsidR="00DF3AAB" w:rsidRPr="00D44885">
        <w:rPr>
          <w:color w:val="000000" w:themeColor="text1"/>
          <w:sz w:val="16"/>
          <w:szCs w:val="16"/>
        </w:rPr>
        <w:t xml:space="preserve"> декабря 201</w:t>
      </w:r>
      <w:r w:rsidR="0030468B" w:rsidRPr="00D44885">
        <w:rPr>
          <w:color w:val="000000" w:themeColor="text1"/>
          <w:sz w:val="16"/>
          <w:szCs w:val="16"/>
        </w:rPr>
        <w:t>8</w:t>
      </w:r>
      <w:r w:rsidR="00DF3AAB" w:rsidRPr="00D44885">
        <w:rPr>
          <w:color w:val="000000" w:themeColor="text1"/>
          <w:sz w:val="16"/>
          <w:szCs w:val="16"/>
        </w:rPr>
        <w:t xml:space="preserve"> г. № </w:t>
      </w:r>
      <w:r w:rsidR="0030468B" w:rsidRPr="00D44885">
        <w:rPr>
          <w:color w:val="000000" w:themeColor="text1"/>
          <w:sz w:val="16"/>
          <w:szCs w:val="16"/>
        </w:rPr>
        <w:t>2976</w:t>
      </w:r>
      <w:r w:rsidR="00DF3AAB" w:rsidRPr="00D44885">
        <w:rPr>
          <w:color w:val="000000" w:themeColor="text1"/>
          <w:sz w:val="16"/>
          <w:szCs w:val="16"/>
        </w:rPr>
        <w:t>-р Минфин России вправе осуществлять в 201</w:t>
      </w:r>
      <w:r w:rsidR="0030468B" w:rsidRPr="00D44885">
        <w:rPr>
          <w:color w:val="000000" w:themeColor="text1"/>
          <w:sz w:val="16"/>
          <w:szCs w:val="16"/>
        </w:rPr>
        <w:t xml:space="preserve">9 </w:t>
      </w:r>
      <w:r w:rsidR="00DF3AAB" w:rsidRPr="00D44885">
        <w:rPr>
          <w:color w:val="000000" w:themeColor="text1"/>
          <w:sz w:val="16"/>
          <w:szCs w:val="16"/>
        </w:rPr>
        <w:t xml:space="preserve">году выпуски государственных ценных бумаг, номинальная стоимость которых указана в валюте Российской Федерации, в объемах, не превышающих </w:t>
      </w:r>
      <w:r w:rsidR="0030468B" w:rsidRPr="00D44885">
        <w:rPr>
          <w:color w:val="000000" w:themeColor="text1"/>
          <w:sz w:val="16"/>
          <w:szCs w:val="16"/>
        </w:rPr>
        <w:t>2 475,5</w:t>
      </w:r>
      <w:r w:rsidR="00DF3AAB" w:rsidRPr="00D44885">
        <w:rPr>
          <w:color w:val="000000" w:themeColor="text1"/>
          <w:sz w:val="16"/>
          <w:szCs w:val="16"/>
        </w:rPr>
        <w:t xml:space="preserve"> млрд. рублей.</w:t>
      </w:r>
    </w:p>
    <w:p w:rsidR="00CD5308" w:rsidRPr="00D44885" w:rsidRDefault="00CD5308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F629E1" w:rsidRPr="00D44885" w:rsidRDefault="00F629E1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F629E1" w:rsidRPr="00D44885" w:rsidRDefault="00F629E1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DF3AAB" w:rsidRPr="00D44885" w:rsidRDefault="00DF3AAB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  <w:szCs w:val="24"/>
        </w:rPr>
        <w:t xml:space="preserve">Таблица 2 </w:t>
      </w:r>
    </w:p>
    <w:p w:rsidR="002B7597" w:rsidRPr="00D44885" w:rsidRDefault="002B7597" w:rsidP="000A2C5F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:rsidR="000A2C5F" w:rsidRPr="00D44885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D44885">
        <w:rPr>
          <w:b/>
          <w:color w:val="000000" w:themeColor="text1"/>
          <w:sz w:val="24"/>
        </w:rPr>
        <w:t>Информация о проведении Минфином России в 2019 году аукционов по размещению выпусков ОФЗ*</w:t>
      </w:r>
    </w:p>
    <w:p w:rsidR="000A2C5F" w:rsidRPr="00D44885" w:rsidRDefault="000A2C5F" w:rsidP="000A2C5F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tbl>
      <w:tblPr>
        <w:tblW w:w="9790" w:type="dxa"/>
        <w:tblInd w:w="-318" w:type="dxa"/>
        <w:tblLook w:val="04A0" w:firstRow="1" w:lastRow="0" w:firstColumn="1" w:lastColumn="0" w:noHBand="0" w:noVBand="1"/>
      </w:tblPr>
      <w:tblGrid>
        <w:gridCol w:w="1560"/>
        <w:gridCol w:w="1418"/>
        <w:gridCol w:w="900"/>
        <w:gridCol w:w="1116"/>
        <w:gridCol w:w="1000"/>
        <w:gridCol w:w="1520"/>
        <w:gridCol w:w="1276"/>
        <w:gridCol w:w="1000"/>
      </w:tblGrid>
      <w:tr w:rsidR="00D44885" w:rsidRPr="00D44885" w:rsidTr="00C95FDC">
        <w:trPr>
          <w:trHeight w:val="3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Количество аукционов по размещению гос. ценных бумаг в январе – июне 2019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proofErr w:type="gramEnd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</w:t>
            </w:r>
            <w:proofErr w:type="gramStart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е</w:t>
            </w:r>
            <w:proofErr w:type="spellEnd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  <w:proofErr w:type="gramEnd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26209RMFS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20.07.2022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503 634,0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7,65 до 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141 910,2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143 057,9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26223RMFS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28.02.2024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185 397,4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8,11 до 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103 205,1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99 749,4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26224RMFS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23.05.2029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821 546,0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8,30 до 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230 785,9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214 701,3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26225RMFS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10.05.2034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848 031,3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536FE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8,</w:t>
            </w:r>
            <w:r w:rsidR="00536FE5"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19</w:t>
            </w: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 до 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156 175,8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146 125,6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1 470 123,8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8,09 до 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326 586,6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327 478,5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26227RMFS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17.07.2024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1 665 849,2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7,64 до 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341 389,5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338 754,1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915 399,1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7,46 до 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46 258,2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46 703,6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19 562,5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20 382,2</w:t>
            </w:r>
          </w:p>
        </w:tc>
      </w:tr>
      <w:tr w:rsidR="00D44885" w:rsidRPr="00D44885" w:rsidTr="00C95FDC">
        <w:trPr>
          <w:trHeight w:val="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31 355,7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от 3,22 до 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15 807,8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C95FD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color w:val="000000" w:themeColor="text1"/>
                <w:sz w:val="16"/>
                <w:szCs w:val="16"/>
              </w:rPr>
              <w:t>14 913,4</w:t>
            </w:r>
          </w:p>
        </w:tc>
      </w:tr>
      <w:tr w:rsidR="00D44885" w:rsidRPr="00D44885" w:rsidTr="00EC0A73">
        <w:trPr>
          <w:trHeight w:val="29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6 481 336,4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1 402 119,0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FDC" w:rsidRPr="00D44885" w:rsidRDefault="00C95FDC" w:rsidP="00EC0A7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D4488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1 371 428,5</w:t>
            </w:r>
          </w:p>
        </w:tc>
      </w:tr>
    </w:tbl>
    <w:p w:rsidR="00C95FDC" w:rsidRPr="00D44885" w:rsidRDefault="00C95FDC" w:rsidP="00C95FDC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  <w:r w:rsidRPr="00D44885">
        <w:rPr>
          <w:color w:val="000000" w:themeColor="text1"/>
          <w:sz w:val="16"/>
          <w:szCs w:val="16"/>
        </w:rPr>
        <w:t xml:space="preserve">* </w:t>
      </w:r>
      <w:r w:rsidR="008375F5">
        <w:rPr>
          <w:b/>
          <w:color w:val="000000" w:themeColor="text1"/>
          <w:sz w:val="16"/>
          <w:szCs w:val="16"/>
        </w:rPr>
        <w:t>Д</w:t>
      </w:r>
      <w:r w:rsidRPr="00D44885">
        <w:rPr>
          <w:b/>
          <w:color w:val="000000" w:themeColor="text1"/>
          <w:sz w:val="16"/>
          <w:szCs w:val="16"/>
        </w:rPr>
        <w:t>оразмещение</w:t>
      </w:r>
      <w:r w:rsidRPr="00D44885">
        <w:rPr>
          <w:color w:val="000000" w:themeColor="text1"/>
          <w:sz w:val="16"/>
          <w:szCs w:val="16"/>
        </w:rPr>
        <w:t xml:space="preserve"> на вторичном рынке ОФЗ-ПД в </w:t>
      </w:r>
      <w:r w:rsidR="00EC0A73" w:rsidRPr="00D44885">
        <w:rPr>
          <w:color w:val="000000" w:themeColor="text1"/>
          <w:sz w:val="16"/>
          <w:szCs w:val="16"/>
        </w:rPr>
        <w:t>январе – июне 2019 года составило</w:t>
      </w:r>
      <w:r w:rsidRPr="00D44885">
        <w:rPr>
          <w:color w:val="000000" w:themeColor="text1"/>
          <w:sz w:val="16"/>
          <w:szCs w:val="16"/>
        </w:rPr>
        <w:t xml:space="preserve"> 5 550,7 млн. рублей по номиналу, объем размещения </w:t>
      </w:r>
      <w:r w:rsidRPr="00D44885">
        <w:rPr>
          <w:b/>
          <w:color w:val="000000" w:themeColor="text1"/>
          <w:sz w:val="16"/>
          <w:szCs w:val="16"/>
        </w:rPr>
        <w:t>по открытой подписке</w:t>
      </w:r>
      <w:r w:rsidRPr="00D44885">
        <w:rPr>
          <w:color w:val="000000" w:themeColor="text1"/>
          <w:sz w:val="16"/>
          <w:szCs w:val="16"/>
        </w:rPr>
        <w:t xml:space="preserve"> облигаций федерального займа для физических лиц (</w:t>
      </w:r>
      <w:r w:rsidRPr="00D44885">
        <w:rPr>
          <w:b/>
          <w:color w:val="000000" w:themeColor="text1"/>
          <w:sz w:val="16"/>
          <w:szCs w:val="16"/>
        </w:rPr>
        <w:t>ОФЗ-н</w:t>
      </w:r>
      <w:r w:rsidRPr="00D44885">
        <w:rPr>
          <w:color w:val="000000" w:themeColor="text1"/>
          <w:sz w:val="16"/>
          <w:szCs w:val="16"/>
        </w:rPr>
        <w:t xml:space="preserve">) составил </w:t>
      </w:r>
      <w:r w:rsidR="00A0506E" w:rsidRPr="00D44885">
        <w:rPr>
          <w:color w:val="000000" w:themeColor="text1"/>
          <w:sz w:val="16"/>
          <w:szCs w:val="16"/>
        </w:rPr>
        <w:t xml:space="preserve"> </w:t>
      </w:r>
      <w:r w:rsidRPr="00D44885">
        <w:rPr>
          <w:color w:val="000000" w:themeColor="text1"/>
          <w:sz w:val="16"/>
          <w:szCs w:val="16"/>
        </w:rPr>
        <w:t xml:space="preserve">2 731,0 млн. </w:t>
      </w:r>
      <w:r w:rsidR="00EC0A73" w:rsidRPr="00D44885">
        <w:rPr>
          <w:color w:val="000000" w:themeColor="text1"/>
          <w:sz w:val="16"/>
          <w:szCs w:val="16"/>
        </w:rPr>
        <w:t>рублей по номинальной стоимости, что в 3,4 раза меньше соответствующего показателя 2018 года.</w:t>
      </w:r>
    </w:p>
    <w:p w:rsidR="002B7597" w:rsidRPr="00D44885" w:rsidRDefault="002B7597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2B7597" w:rsidRPr="00D44885" w:rsidRDefault="002B7597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2B7597" w:rsidRPr="00D44885" w:rsidRDefault="002B7597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F629E1" w:rsidRPr="00D44885" w:rsidRDefault="00F629E1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DF3AAB" w:rsidRPr="00D44885" w:rsidRDefault="00DF3AAB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  <w:szCs w:val="24"/>
        </w:rPr>
        <w:lastRenderedPageBreak/>
        <w:t xml:space="preserve">Таблица 3 </w:t>
      </w:r>
    </w:p>
    <w:p w:rsidR="00DF3AAB" w:rsidRPr="00D44885" w:rsidRDefault="00DF3AAB" w:rsidP="00DF3AAB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:rsidR="000A2C5F" w:rsidRPr="00D44885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44885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:rsidR="000A2C5F" w:rsidRPr="00D44885" w:rsidRDefault="000A2C5F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D44885">
        <w:rPr>
          <w:b/>
          <w:color w:val="000000" w:themeColor="text1"/>
          <w:sz w:val="24"/>
          <w:szCs w:val="24"/>
        </w:rPr>
        <w:t xml:space="preserve">в январе - </w:t>
      </w:r>
      <w:r w:rsidR="00F629E1" w:rsidRPr="00D44885">
        <w:rPr>
          <w:b/>
          <w:color w:val="000000" w:themeColor="text1"/>
          <w:sz w:val="24"/>
          <w:szCs w:val="24"/>
        </w:rPr>
        <w:t>июн</w:t>
      </w:r>
      <w:r w:rsidRPr="00D44885">
        <w:rPr>
          <w:b/>
          <w:color w:val="000000" w:themeColor="text1"/>
          <w:sz w:val="24"/>
          <w:szCs w:val="24"/>
        </w:rPr>
        <w:t>е 2015 – 2019 годов</w:t>
      </w:r>
    </w:p>
    <w:p w:rsidR="008C2EB5" w:rsidRPr="00D44885" w:rsidRDefault="008C2EB5" w:rsidP="008C2EB5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10490" w:type="dxa"/>
        <w:tblInd w:w="-885" w:type="dxa"/>
        <w:tblLook w:val="04A0" w:firstRow="1" w:lastRow="0" w:firstColumn="1" w:lastColumn="0" w:noHBand="0" w:noVBand="1"/>
      </w:tblPr>
      <w:tblGrid>
        <w:gridCol w:w="2231"/>
        <w:gridCol w:w="1739"/>
        <w:gridCol w:w="1701"/>
        <w:gridCol w:w="1701"/>
        <w:gridCol w:w="1528"/>
        <w:gridCol w:w="1590"/>
      </w:tblGrid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39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170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2016 год</w:t>
            </w:r>
          </w:p>
        </w:tc>
        <w:tc>
          <w:tcPr>
            <w:tcW w:w="170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2017 год</w:t>
            </w:r>
          </w:p>
        </w:tc>
        <w:tc>
          <w:tcPr>
            <w:tcW w:w="1528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2018 год</w:t>
            </w:r>
          </w:p>
        </w:tc>
        <w:tc>
          <w:tcPr>
            <w:tcW w:w="1590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2019 год</w:t>
            </w:r>
          </w:p>
        </w:tc>
      </w:tr>
      <w:tr w:rsidR="00D44885" w:rsidRPr="00D44885" w:rsidTr="008C2EB5">
        <w:tc>
          <w:tcPr>
            <w:tcW w:w="2231" w:type="dxa"/>
            <w:shd w:val="clear" w:color="auto" w:fill="FDE9D9" w:themeFill="accent6" w:themeFillTint="33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739" w:type="dxa"/>
            <w:shd w:val="clear" w:color="auto" w:fill="FDE9D9" w:themeFill="accent6" w:themeFillTint="33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739" w:type="dxa"/>
            <w:vAlign w:val="center"/>
          </w:tcPr>
          <w:p w:rsidR="008C2EB5" w:rsidRPr="00D44885" w:rsidRDefault="00BC3742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8C2EB5" w:rsidRPr="00D44885" w:rsidRDefault="00BC3742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01" w:type="dxa"/>
            <w:vAlign w:val="center"/>
          </w:tcPr>
          <w:p w:rsidR="008C2EB5" w:rsidRPr="00D44885" w:rsidRDefault="00257D86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528" w:type="dxa"/>
            <w:vAlign w:val="center"/>
          </w:tcPr>
          <w:p w:rsidR="008C2EB5" w:rsidRPr="00D44885" w:rsidRDefault="00D63C2E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590" w:type="dxa"/>
            <w:vAlign w:val="center"/>
          </w:tcPr>
          <w:p w:rsidR="008C2EB5" w:rsidRPr="00D44885" w:rsidRDefault="0021463C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42</w:t>
            </w: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4488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739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10,56 до 15,27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BC3742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8,</w:t>
            </w:r>
            <w:r w:rsidR="00BC3742" w:rsidRPr="00D44885">
              <w:rPr>
                <w:color w:val="000000" w:themeColor="text1"/>
                <w:sz w:val="20"/>
                <w:szCs w:val="20"/>
              </w:rPr>
              <w:t>72</w:t>
            </w:r>
            <w:r w:rsidRPr="00D44885">
              <w:rPr>
                <w:color w:val="000000" w:themeColor="text1"/>
                <w:sz w:val="20"/>
                <w:szCs w:val="20"/>
              </w:rPr>
              <w:t xml:space="preserve"> до 10,74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7,67 до 8,59</w:t>
            </w:r>
          </w:p>
        </w:tc>
        <w:tc>
          <w:tcPr>
            <w:tcW w:w="1528" w:type="dxa"/>
            <w:vAlign w:val="center"/>
          </w:tcPr>
          <w:p w:rsidR="008C2EB5" w:rsidRPr="00D44885" w:rsidRDefault="008C2EB5" w:rsidP="00D63C2E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6,55 до 7,</w:t>
            </w:r>
            <w:r w:rsidR="00D63C2E" w:rsidRPr="00D44885">
              <w:rPr>
                <w:color w:val="000000" w:themeColor="text1"/>
                <w:sz w:val="20"/>
                <w:szCs w:val="20"/>
              </w:rPr>
              <w:t>9</w:t>
            </w:r>
            <w:r w:rsidRPr="00D4488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0" w:type="dxa"/>
            <w:vAlign w:val="center"/>
          </w:tcPr>
          <w:p w:rsidR="008C2EB5" w:rsidRPr="00D44885" w:rsidRDefault="008C2EB5" w:rsidP="0021463C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7,</w:t>
            </w:r>
            <w:r w:rsidR="0021463C" w:rsidRPr="00D44885">
              <w:rPr>
                <w:color w:val="000000" w:themeColor="text1"/>
                <w:sz w:val="20"/>
                <w:szCs w:val="20"/>
              </w:rPr>
              <w:t>46</w:t>
            </w:r>
            <w:r w:rsidRPr="00D44885">
              <w:rPr>
                <w:color w:val="000000" w:themeColor="text1"/>
                <w:sz w:val="20"/>
                <w:szCs w:val="20"/>
              </w:rPr>
              <w:t xml:space="preserve"> до 8,56</w:t>
            </w:r>
          </w:p>
        </w:tc>
      </w:tr>
      <w:tr w:rsidR="00D44885" w:rsidRPr="00D44885" w:rsidTr="008C2EB5">
        <w:tc>
          <w:tcPr>
            <w:tcW w:w="2231" w:type="dxa"/>
            <w:shd w:val="clear" w:color="auto" w:fill="FDE9D9" w:themeFill="accent6" w:themeFillTint="33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739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739" w:type="dxa"/>
            <w:vAlign w:val="center"/>
          </w:tcPr>
          <w:p w:rsidR="008C2EB5" w:rsidRPr="00D44885" w:rsidRDefault="00BC3742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01" w:type="dxa"/>
            <w:vAlign w:val="center"/>
          </w:tcPr>
          <w:p w:rsidR="008C2EB5" w:rsidRPr="00D44885" w:rsidRDefault="00BC3742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8C2EB5" w:rsidRPr="00D44885" w:rsidRDefault="00257D86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28" w:type="dxa"/>
            <w:vAlign w:val="center"/>
          </w:tcPr>
          <w:p w:rsidR="008C2EB5" w:rsidRPr="00D44885" w:rsidRDefault="00D63C2E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0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4488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739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11,30 до 16,28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10,14 до 14,44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257D86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9,4</w:t>
            </w:r>
            <w:r w:rsidR="00257D86" w:rsidRPr="00D44885">
              <w:rPr>
                <w:color w:val="000000" w:themeColor="text1"/>
                <w:sz w:val="20"/>
                <w:szCs w:val="20"/>
              </w:rPr>
              <w:t>1</w:t>
            </w:r>
            <w:r w:rsidRPr="00D44885">
              <w:rPr>
                <w:color w:val="000000" w:themeColor="text1"/>
                <w:sz w:val="20"/>
                <w:szCs w:val="20"/>
              </w:rPr>
              <w:t xml:space="preserve"> до 10,48</w:t>
            </w:r>
          </w:p>
        </w:tc>
        <w:tc>
          <w:tcPr>
            <w:tcW w:w="1528" w:type="dxa"/>
            <w:vAlign w:val="center"/>
          </w:tcPr>
          <w:p w:rsidR="008C2EB5" w:rsidRPr="00D44885" w:rsidRDefault="00D63C2E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 xml:space="preserve">от 7,32 до </w:t>
            </w:r>
            <w:r w:rsidR="008C2EB5" w:rsidRPr="00D44885">
              <w:rPr>
                <w:color w:val="000000" w:themeColor="text1"/>
                <w:sz w:val="20"/>
                <w:szCs w:val="20"/>
              </w:rPr>
              <w:t>8,30</w:t>
            </w:r>
          </w:p>
        </w:tc>
        <w:tc>
          <w:tcPr>
            <w:tcW w:w="1590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44885" w:rsidRPr="00D44885" w:rsidTr="008C2EB5">
        <w:tc>
          <w:tcPr>
            <w:tcW w:w="2231" w:type="dxa"/>
            <w:shd w:val="clear" w:color="auto" w:fill="FDE9D9" w:themeFill="accent6" w:themeFillTint="33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D44885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739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FDE9D9" w:themeFill="accent6" w:themeFillTint="33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739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8C2EB5" w:rsidRPr="00D44885" w:rsidRDefault="00EC16AC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90" w:type="dxa"/>
            <w:vAlign w:val="center"/>
          </w:tcPr>
          <w:p w:rsidR="008C2EB5" w:rsidRPr="00D44885" w:rsidRDefault="0021463C" w:rsidP="0021463C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6</w:t>
            </w:r>
            <w:r w:rsidR="008C2EB5" w:rsidRPr="00D44885">
              <w:rPr>
                <w:color w:val="000000" w:themeColor="text1"/>
                <w:sz w:val="20"/>
                <w:szCs w:val="20"/>
              </w:rPr>
              <w:t>*</w:t>
            </w:r>
          </w:p>
        </w:tc>
      </w:tr>
      <w:tr w:rsidR="00D44885" w:rsidRPr="00D44885" w:rsidTr="008C2EB5">
        <w:tc>
          <w:tcPr>
            <w:tcW w:w="2231" w:type="dxa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D4488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739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2,47 до 2,64</w:t>
            </w:r>
          </w:p>
        </w:tc>
        <w:tc>
          <w:tcPr>
            <w:tcW w:w="1701" w:type="dxa"/>
            <w:vAlign w:val="center"/>
          </w:tcPr>
          <w:p w:rsidR="008C2EB5" w:rsidRPr="00D44885" w:rsidRDefault="008C2EB5" w:rsidP="00AE374D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:rsidR="008C2EB5" w:rsidRPr="00D44885" w:rsidRDefault="008C2EB5" w:rsidP="00EC16AC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2,</w:t>
            </w:r>
            <w:r w:rsidR="00EC16AC" w:rsidRPr="00D44885">
              <w:rPr>
                <w:color w:val="000000" w:themeColor="text1"/>
                <w:sz w:val="20"/>
                <w:szCs w:val="20"/>
              </w:rPr>
              <w:t>89</w:t>
            </w:r>
            <w:r w:rsidRPr="00D44885">
              <w:rPr>
                <w:color w:val="000000" w:themeColor="text1"/>
                <w:sz w:val="20"/>
                <w:szCs w:val="20"/>
              </w:rPr>
              <w:t xml:space="preserve"> до 2,97</w:t>
            </w:r>
          </w:p>
        </w:tc>
        <w:tc>
          <w:tcPr>
            <w:tcW w:w="1590" w:type="dxa"/>
            <w:vAlign w:val="center"/>
          </w:tcPr>
          <w:p w:rsidR="008C2EB5" w:rsidRPr="00D44885" w:rsidRDefault="008C2EB5" w:rsidP="0021463C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D44885">
              <w:rPr>
                <w:color w:val="000000" w:themeColor="text1"/>
                <w:sz w:val="20"/>
                <w:szCs w:val="20"/>
              </w:rPr>
              <w:t>от 3,22 до 3,5</w:t>
            </w:r>
            <w:r w:rsidR="0021463C" w:rsidRPr="00D44885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</w:tbl>
    <w:p w:rsidR="008C2EB5" w:rsidRPr="00D44885" w:rsidRDefault="008375F5" w:rsidP="008C2EB5">
      <w:pPr>
        <w:widowControl w:val="0"/>
        <w:spacing w:line="240" w:lineRule="auto"/>
        <w:ind w:left="0" w:right="0" w:firstLine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 А</w:t>
      </w:r>
      <w:r w:rsidR="008C2EB5" w:rsidRPr="00D44885">
        <w:rPr>
          <w:color w:val="000000" w:themeColor="text1"/>
          <w:sz w:val="20"/>
          <w:szCs w:val="20"/>
        </w:rPr>
        <w:t>укцион по размещению ОФЗ-ИН выпуска № 52002RMFS 17 апреля 2019 года признан несостоявшимся в связи с отсутствием заявок по приемлемым уровням цен.</w:t>
      </w:r>
    </w:p>
    <w:p w:rsidR="008C2EB5" w:rsidRPr="00D44885" w:rsidRDefault="008C2EB5" w:rsidP="000A2C5F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</w:p>
    <w:p w:rsidR="00D76727" w:rsidRPr="00D44885" w:rsidRDefault="00D76727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D44885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D44885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</w:t>
      </w:r>
      <w:r w:rsidRPr="00D44885">
        <w:rPr>
          <w:color w:val="000000" w:themeColor="text1"/>
          <w:sz w:val="24"/>
          <w:szCs w:val="24"/>
        </w:rPr>
        <w:t xml:space="preserve">январь - </w:t>
      </w:r>
      <w:r w:rsidR="00EA325E" w:rsidRPr="00D44885">
        <w:rPr>
          <w:color w:val="000000" w:themeColor="text1"/>
          <w:sz w:val="24"/>
          <w:szCs w:val="24"/>
        </w:rPr>
        <w:t>июнь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2</w:t>
      </w:r>
      <w:bookmarkStart w:id="0" w:name="_GoBack"/>
      <w:bookmarkEnd w:id="0"/>
      <w:r w:rsidRPr="00D44885">
        <w:rPr>
          <w:rFonts w:eastAsia="Times New Roman"/>
          <w:color w:val="000000" w:themeColor="text1"/>
          <w:sz w:val="24"/>
          <w:szCs w:val="24"/>
        </w:rPr>
        <w:t>01</w:t>
      </w:r>
      <w:r w:rsidRPr="00D44885">
        <w:rPr>
          <w:color w:val="000000" w:themeColor="text1"/>
          <w:sz w:val="24"/>
          <w:szCs w:val="24"/>
        </w:rPr>
        <w:t>9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 года </w:t>
      </w:r>
      <w:r w:rsidRPr="00D44885">
        <w:rPr>
          <w:color w:val="000000" w:themeColor="text1"/>
          <w:sz w:val="24"/>
          <w:szCs w:val="24"/>
        </w:rPr>
        <w:t>увеличилась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9E0B3F" w:rsidRPr="00D44885">
        <w:rPr>
          <w:color w:val="000000" w:themeColor="text1"/>
          <w:sz w:val="24"/>
          <w:szCs w:val="24"/>
        </w:rPr>
        <w:t>6,4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процентных пункта, </w:t>
      </w:r>
      <w:r w:rsidRPr="00D44885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нерезидентов в ОФЗ </w:t>
      </w:r>
      <w:r w:rsidRPr="00D44885">
        <w:rPr>
          <w:color w:val="000000" w:themeColor="text1"/>
          <w:sz w:val="24"/>
          <w:szCs w:val="24"/>
        </w:rPr>
        <w:t>-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9E0B3F" w:rsidRPr="00D44885">
        <w:rPr>
          <w:color w:val="000000" w:themeColor="text1"/>
          <w:sz w:val="24"/>
          <w:szCs w:val="24"/>
        </w:rPr>
        <w:t>769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 млрд. рублей, или на </w:t>
      </w:r>
      <w:r w:rsidR="009E0B3F" w:rsidRPr="00D44885">
        <w:rPr>
          <w:rFonts w:eastAsia="Times New Roman"/>
          <w:b/>
          <w:color w:val="000000" w:themeColor="text1"/>
          <w:sz w:val="24"/>
          <w:szCs w:val="24"/>
        </w:rPr>
        <w:t>43</w:t>
      </w:r>
      <w:r w:rsidR="001C7632" w:rsidRPr="00D44885">
        <w:rPr>
          <w:rFonts w:eastAsia="Times New Roman"/>
          <w:b/>
          <w:color w:val="000000" w:themeColor="text1"/>
          <w:sz w:val="24"/>
          <w:szCs w:val="24"/>
        </w:rPr>
        <w:t> </w:t>
      </w:r>
      <w:r w:rsidRPr="00D44885">
        <w:rPr>
          <w:rFonts w:eastAsia="Times New Roman"/>
          <w:b/>
          <w:color w:val="000000" w:themeColor="text1"/>
          <w:sz w:val="24"/>
          <w:szCs w:val="24"/>
        </w:rPr>
        <w:t>%</w:t>
      </w:r>
      <w:r w:rsidRPr="00D44885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:rsidR="00D76727" w:rsidRPr="00D44885" w:rsidRDefault="00D76727" w:rsidP="00D76727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D44885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2012 – 2019 годах представлена на следующей диаграмме.</w:t>
      </w:r>
    </w:p>
    <w:p w:rsidR="009E0B3F" w:rsidRPr="00D44885" w:rsidRDefault="009E0B3F" w:rsidP="009E0B3F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 w:rsidRPr="00D44885">
        <w:rPr>
          <w:noProof/>
          <w:color w:val="000000" w:themeColor="text1"/>
        </w:rPr>
        <w:drawing>
          <wp:inline distT="0" distB="0" distL="0" distR="0" wp14:anchorId="2EB73814" wp14:editId="45EF24E4">
            <wp:extent cx="6011186" cy="1844703"/>
            <wp:effectExtent l="0" t="0" r="8890" b="31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7D08" w:rsidRPr="00D44885" w:rsidRDefault="00E47D08" w:rsidP="00E47D08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D44885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D44885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D44885">
        <w:rPr>
          <w:rFonts w:eastAsia="Times New Roman"/>
          <w:color w:val="000000" w:themeColor="text1"/>
          <w:sz w:val="24"/>
          <w:szCs w:val="24"/>
        </w:rPr>
        <w:t>.</w:t>
      </w:r>
    </w:p>
    <w:p w:rsidR="006150DB" w:rsidRPr="00D44885" w:rsidRDefault="00342069" w:rsidP="00342069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 w:firstLine="709"/>
        <w:rPr>
          <w:color w:val="000000" w:themeColor="text1"/>
          <w:sz w:val="24"/>
          <w:szCs w:val="24"/>
        </w:rPr>
      </w:pPr>
      <w:r w:rsidRPr="00D44885">
        <w:rPr>
          <w:color w:val="000000" w:themeColor="text1"/>
          <w:sz w:val="24"/>
        </w:rPr>
        <w:t xml:space="preserve">В январе – </w:t>
      </w:r>
      <w:r w:rsidR="004006EC" w:rsidRPr="00D44885">
        <w:rPr>
          <w:color w:val="000000" w:themeColor="text1"/>
          <w:sz w:val="24"/>
        </w:rPr>
        <w:t>июн</w:t>
      </w:r>
      <w:r w:rsidRPr="00D44885">
        <w:rPr>
          <w:color w:val="000000" w:themeColor="text1"/>
          <w:sz w:val="24"/>
        </w:rPr>
        <w:t>е 201</w:t>
      </w:r>
      <w:r w:rsidR="009E7A5A">
        <w:rPr>
          <w:color w:val="000000" w:themeColor="text1"/>
          <w:sz w:val="24"/>
        </w:rPr>
        <w:t>9</w:t>
      </w:r>
      <w:r w:rsidRPr="00D44885">
        <w:rPr>
          <w:color w:val="000000" w:themeColor="text1"/>
          <w:sz w:val="24"/>
        </w:rPr>
        <w:t xml:space="preserve"> года Банк России </w:t>
      </w:r>
      <w:r w:rsidR="006065C7" w:rsidRPr="00D44885">
        <w:rPr>
          <w:color w:val="000000" w:themeColor="text1"/>
          <w:sz w:val="24"/>
        </w:rPr>
        <w:t>один раз</w:t>
      </w:r>
      <w:r w:rsidRPr="00D44885">
        <w:rPr>
          <w:color w:val="000000" w:themeColor="text1"/>
          <w:sz w:val="24"/>
        </w:rPr>
        <w:t xml:space="preserve"> принимал решение о понижении ключевой ставки: р</w:t>
      </w:r>
      <w:r w:rsidRPr="00D44885">
        <w:rPr>
          <w:color w:val="000000" w:themeColor="text1"/>
          <w:sz w:val="24"/>
          <w:szCs w:val="24"/>
        </w:rPr>
        <w:t xml:space="preserve">ешением Банка России от </w:t>
      </w:r>
      <w:r w:rsidR="00857B85" w:rsidRPr="00D44885">
        <w:rPr>
          <w:color w:val="000000" w:themeColor="text1"/>
          <w:sz w:val="24"/>
          <w:szCs w:val="24"/>
        </w:rPr>
        <w:t>14 июня</w:t>
      </w:r>
      <w:r w:rsidRPr="00D44885">
        <w:rPr>
          <w:color w:val="000000" w:themeColor="text1"/>
          <w:sz w:val="24"/>
          <w:szCs w:val="24"/>
        </w:rPr>
        <w:t xml:space="preserve"> 201</w:t>
      </w:r>
      <w:r w:rsidR="00857B85" w:rsidRPr="00D44885">
        <w:rPr>
          <w:color w:val="000000" w:themeColor="text1"/>
          <w:sz w:val="24"/>
          <w:szCs w:val="24"/>
        </w:rPr>
        <w:t>9</w:t>
      </w:r>
      <w:r w:rsidRPr="00D44885">
        <w:rPr>
          <w:color w:val="000000" w:themeColor="text1"/>
          <w:sz w:val="24"/>
          <w:szCs w:val="24"/>
        </w:rPr>
        <w:t xml:space="preserve"> года ключевая ставка </w:t>
      </w:r>
      <w:r w:rsidRPr="00D44885">
        <w:rPr>
          <w:b/>
          <w:color w:val="000000" w:themeColor="text1"/>
          <w:sz w:val="24"/>
          <w:szCs w:val="24"/>
        </w:rPr>
        <w:t xml:space="preserve">с </w:t>
      </w:r>
      <w:r w:rsidR="00857B85" w:rsidRPr="00D44885">
        <w:rPr>
          <w:b/>
          <w:color w:val="000000" w:themeColor="text1"/>
          <w:sz w:val="24"/>
          <w:szCs w:val="24"/>
        </w:rPr>
        <w:t>17 июня</w:t>
      </w:r>
      <w:r w:rsidRPr="00D44885">
        <w:rPr>
          <w:b/>
          <w:color w:val="000000" w:themeColor="text1"/>
          <w:sz w:val="24"/>
          <w:szCs w:val="24"/>
        </w:rPr>
        <w:t xml:space="preserve"> 2018 года снижена с 7,</w:t>
      </w:r>
      <w:r w:rsidR="00857B85" w:rsidRPr="00D44885">
        <w:rPr>
          <w:b/>
          <w:color w:val="000000" w:themeColor="text1"/>
          <w:sz w:val="24"/>
          <w:szCs w:val="24"/>
        </w:rPr>
        <w:t>75</w:t>
      </w:r>
      <w:r w:rsidRPr="00D44885">
        <w:rPr>
          <w:b/>
          <w:color w:val="000000" w:themeColor="text1"/>
          <w:sz w:val="24"/>
          <w:szCs w:val="24"/>
        </w:rPr>
        <w:t> % до 7,</w:t>
      </w:r>
      <w:r w:rsidR="00857B85" w:rsidRPr="00D44885">
        <w:rPr>
          <w:b/>
          <w:color w:val="000000" w:themeColor="text1"/>
          <w:sz w:val="24"/>
          <w:szCs w:val="24"/>
        </w:rPr>
        <w:t>50</w:t>
      </w:r>
      <w:r w:rsidRPr="00D44885">
        <w:rPr>
          <w:b/>
          <w:color w:val="000000" w:themeColor="text1"/>
          <w:sz w:val="24"/>
          <w:szCs w:val="24"/>
        </w:rPr>
        <w:t xml:space="preserve"> % </w:t>
      </w:r>
      <w:r w:rsidRPr="00D44885">
        <w:rPr>
          <w:color w:val="000000" w:themeColor="text1"/>
          <w:sz w:val="24"/>
          <w:szCs w:val="24"/>
        </w:rPr>
        <w:t>(</w:t>
      </w:r>
      <w:r w:rsidR="00857B85" w:rsidRPr="00D44885">
        <w:rPr>
          <w:color w:val="000000" w:themeColor="text1"/>
          <w:sz w:val="24"/>
        </w:rPr>
        <w:t xml:space="preserve">с 17 декабря 2018 года 7,75 % </w:t>
      </w:r>
      <w:proofErr w:type="gramStart"/>
      <w:r w:rsidR="00857B85" w:rsidRPr="00D44885">
        <w:rPr>
          <w:color w:val="000000" w:themeColor="text1"/>
          <w:sz w:val="24"/>
        </w:rPr>
        <w:t>годовых</w:t>
      </w:r>
      <w:proofErr w:type="gramEnd"/>
      <w:r w:rsidRPr="00D44885">
        <w:rPr>
          <w:color w:val="000000" w:themeColor="text1"/>
          <w:sz w:val="24"/>
          <w:szCs w:val="24"/>
        </w:rPr>
        <w:t>)</w:t>
      </w:r>
      <w:r w:rsidR="00857B85" w:rsidRPr="00D44885">
        <w:rPr>
          <w:color w:val="000000" w:themeColor="text1"/>
          <w:sz w:val="24"/>
          <w:szCs w:val="24"/>
        </w:rPr>
        <w:t>.</w:t>
      </w:r>
      <w:r w:rsidR="006150DB">
        <w:rPr>
          <w:color w:val="000000" w:themeColor="text1"/>
          <w:sz w:val="24"/>
          <w:szCs w:val="24"/>
        </w:rPr>
        <w:t xml:space="preserve"> Кроме того, 26 июля 2019 года</w:t>
      </w:r>
      <w:r w:rsidR="006150DB" w:rsidRPr="006150DB">
        <w:t xml:space="preserve"> </w:t>
      </w:r>
      <w:r w:rsidR="006150DB" w:rsidRPr="006150DB">
        <w:rPr>
          <w:color w:val="000000" w:themeColor="text1"/>
          <w:sz w:val="24"/>
          <w:szCs w:val="24"/>
        </w:rPr>
        <w:t>Банк</w:t>
      </w:r>
      <w:r w:rsidR="006150DB">
        <w:rPr>
          <w:color w:val="000000" w:themeColor="text1"/>
          <w:sz w:val="24"/>
          <w:szCs w:val="24"/>
        </w:rPr>
        <w:t>ом</w:t>
      </w:r>
      <w:r w:rsidR="006150DB" w:rsidRPr="006150DB">
        <w:rPr>
          <w:color w:val="000000" w:themeColor="text1"/>
          <w:sz w:val="24"/>
          <w:szCs w:val="24"/>
        </w:rPr>
        <w:t xml:space="preserve"> России</w:t>
      </w:r>
      <w:r w:rsidR="006150DB">
        <w:rPr>
          <w:color w:val="000000" w:themeColor="text1"/>
          <w:sz w:val="24"/>
          <w:szCs w:val="24"/>
        </w:rPr>
        <w:t xml:space="preserve"> принято решение о снижении </w:t>
      </w:r>
      <w:r w:rsidR="006150DB" w:rsidRPr="006150DB">
        <w:rPr>
          <w:color w:val="000000" w:themeColor="text1"/>
          <w:sz w:val="24"/>
          <w:szCs w:val="24"/>
        </w:rPr>
        <w:t>ключев</w:t>
      </w:r>
      <w:r w:rsidR="006150DB">
        <w:rPr>
          <w:color w:val="000000" w:themeColor="text1"/>
          <w:sz w:val="24"/>
          <w:szCs w:val="24"/>
        </w:rPr>
        <w:t xml:space="preserve">ой </w:t>
      </w:r>
      <w:r w:rsidR="006150DB" w:rsidRPr="006150DB">
        <w:rPr>
          <w:color w:val="000000" w:themeColor="text1"/>
          <w:sz w:val="24"/>
          <w:szCs w:val="24"/>
        </w:rPr>
        <w:t>ставк</w:t>
      </w:r>
      <w:r w:rsidR="006150DB">
        <w:rPr>
          <w:color w:val="000000" w:themeColor="text1"/>
          <w:sz w:val="24"/>
          <w:szCs w:val="24"/>
        </w:rPr>
        <w:t>и</w:t>
      </w:r>
      <w:r w:rsidR="006150DB" w:rsidRPr="006150DB">
        <w:rPr>
          <w:color w:val="000000" w:themeColor="text1"/>
          <w:sz w:val="24"/>
          <w:szCs w:val="24"/>
        </w:rPr>
        <w:t xml:space="preserve"> с </w:t>
      </w:r>
      <w:r w:rsidR="006150DB">
        <w:rPr>
          <w:color w:val="000000" w:themeColor="text1"/>
          <w:sz w:val="24"/>
          <w:szCs w:val="24"/>
        </w:rPr>
        <w:t>29</w:t>
      </w:r>
      <w:r w:rsidR="006150DB" w:rsidRPr="006150DB">
        <w:rPr>
          <w:color w:val="000000" w:themeColor="text1"/>
          <w:sz w:val="24"/>
          <w:szCs w:val="24"/>
        </w:rPr>
        <w:t xml:space="preserve"> ию</w:t>
      </w:r>
      <w:r w:rsidR="006150DB">
        <w:rPr>
          <w:color w:val="000000" w:themeColor="text1"/>
          <w:sz w:val="24"/>
          <w:szCs w:val="24"/>
        </w:rPr>
        <w:t>л</w:t>
      </w:r>
      <w:r w:rsidR="006150DB" w:rsidRPr="006150DB">
        <w:rPr>
          <w:color w:val="000000" w:themeColor="text1"/>
          <w:sz w:val="24"/>
          <w:szCs w:val="24"/>
        </w:rPr>
        <w:t xml:space="preserve">я 2018 года </w:t>
      </w:r>
      <w:r w:rsidR="006150DB">
        <w:rPr>
          <w:color w:val="000000" w:themeColor="text1"/>
          <w:sz w:val="24"/>
          <w:szCs w:val="24"/>
        </w:rPr>
        <w:t xml:space="preserve">на 0,25 </w:t>
      </w:r>
      <w:proofErr w:type="gramStart"/>
      <w:r w:rsidR="006150DB">
        <w:rPr>
          <w:color w:val="000000" w:themeColor="text1"/>
          <w:sz w:val="24"/>
          <w:szCs w:val="24"/>
        </w:rPr>
        <w:t>процентных</w:t>
      </w:r>
      <w:proofErr w:type="gramEnd"/>
      <w:r w:rsidR="006150DB">
        <w:rPr>
          <w:color w:val="000000" w:themeColor="text1"/>
          <w:sz w:val="24"/>
          <w:szCs w:val="24"/>
        </w:rPr>
        <w:t xml:space="preserve"> пункта </w:t>
      </w:r>
      <w:r w:rsidR="006150DB" w:rsidRPr="006150DB">
        <w:rPr>
          <w:color w:val="000000" w:themeColor="text1"/>
          <w:sz w:val="24"/>
          <w:szCs w:val="24"/>
        </w:rPr>
        <w:t xml:space="preserve">до </w:t>
      </w:r>
      <w:r w:rsidR="006150DB">
        <w:rPr>
          <w:color w:val="000000" w:themeColor="text1"/>
          <w:sz w:val="24"/>
          <w:szCs w:val="24"/>
        </w:rPr>
        <w:t xml:space="preserve">уровня </w:t>
      </w:r>
      <w:r w:rsidR="006150DB" w:rsidRPr="006150DB">
        <w:rPr>
          <w:color w:val="000000" w:themeColor="text1"/>
          <w:sz w:val="24"/>
          <w:szCs w:val="24"/>
        </w:rPr>
        <w:t>7,</w:t>
      </w:r>
      <w:r w:rsidR="006150DB">
        <w:rPr>
          <w:color w:val="000000" w:themeColor="text1"/>
          <w:sz w:val="24"/>
          <w:szCs w:val="24"/>
        </w:rPr>
        <w:t>25</w:t>
      </w:r>
      <w:r w:rsidR="006150DB" w:rsidRPr="006150DB">
        <w:rPr>
          <w:color w:val="000000" w:themeColor="text1"/>
          <w:sz w:val="24"/>
          <w:szCs w:val="24"/>
        </w:rPr>
        <w:t xml:space="preserve"> %</w:t>
      </w:r>
      <w:r w:rsidR="006150DB">
        <w:rPr>
          <w:color w:val="000000" w:themeColor="text1"/>
          <w:sz w:val="24"/>
          <w:szCs w:val="24"/>
        </w:rPr>
        <w:t>.</w:t>
      </w:r>
    </w:p>
    <w:sectPr w:rsidR="006150DB" w:rsidRPr="00D44885" w:rsidSect="00105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AF1" w:rsidRDefault="00AA2AF1" w:rsidP="00B8499A">
      <w:pPr>
        <w:spacing w:line="240" w:lineRule="auto"/>
      </w:pPr>
      <w:r>
        <w:separator/>
      </w:r>
    </w:p>
  </w:endnote>
  <w:endnote w:type="continuationSeparator" w:id="0">
    <w:p w:rsidR="00AA2AF1" w:rsidRDefault="00AA2AF1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AF1" w:rsidRDefault="00AA2AF1" w:rsidP="00B8499A">
      <w:pPr>
        <w:spacing w:line="240" w:lineRule="auto"/>
      </w:pPr>
      <w:r>
        <w:separator/>
      </w:r>
    </w:p>
  </w:footnote>
  <w:footnote w:type="continuationSeparator" w:id="0">
    <w:p w:rsidR="00AA2AF1" w:rsidRDefault="00AA2AF1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326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B017D" w:rsidRPr="00B30D92" w:rsidRDefault="00BB017D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8375F5">
          <w:rPr>
            <w:noProof/>
            <w:sz w:val="24"/>
            <w:szCs w:val="24"/>
          </w:rPr>
          <w:t>2</w:t>
        </w:r>
        <w:r w:rsidRPr="00B30D92">
          <w:rPr>
            <w:sz w:val="24"/>
            <w:szCs w:val="24"/>
          </w:rPr>
          <w:fldChar w:fldCharType="end"/>
        </w:r>
      </w:p>
    </w:sdtContent>
  </w:sdt>
  <w:p w:rsidR="00BB017D" w:rsidRDefault="00BB017D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7C1" w:rsidRDefault="001C27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51434"/>
    <w:rsid w:val="00053B18"/>
    <w:rsid w:val="0005586E"/>
    <w:rsid w:val="000667DD"/>
    <w:rsid w:val="00074805"/>
    <w:rsid w:val="00087031"/>
    <w:rsid w:val="000A0F5B"/>
    <w:rsid w:val="000A2C5F"/>
    <w:rsid w:val="000B3640"/>
    <w:rsid w:val="000C4393"/>
    <w:rsid w:val="000C7450"/>
    <w:rsid w:val="000D0BB2"/>
    <w:rsid w:val="000D79C3"/>
    <w:rsid w:val="000E2009"/>
    <w:rsid w:val="000E25B5"/>
    <w:rsid w:val="000F0370"/>
    <w:rsid w:val="000F1F58"/>
    <w:rsid w:val="000F6589"/>
    <w:rsid w:val="00105F78"/>
    <w:rsid w:val="00106459"/>
    <w:rsid w:val="00112C2B"/>
    <w:rsid w:val="00126CF2"/>
    <w:rsid w:val="00135406"/>
    <w:rsid w:val="00136353"/>
    <w:rsid w:val="00151CFB"/>
    <w:rsid w:val="001545FD"/>
    <w:rsid w:val="00161526"/>
    <w:rsid w:val="001707C1"/>
    <w:rsid w:val="00175669"/>
    <w:rsid w:val="00181DD5"/>
    <w:rsid w:val="0019145D"/>
    <w:rsid w:val="001976DA"/>
    <w:rsid w:val="001A3279"/>
    <w:rsid w:val="001A4E3F"/>
    <w:rsid w:val="001C27C1"/>
    <w:rsid w:val="001C6950"/>
    <w:rsid w:val="001C7632"/>
    <w:rsid w:val="001D3263"/>
    <w:rsid w:val="001D5C10"/>
    <w:rsid w:val="001E2D9D"/>
    <w:rsid w:val="001F4623"/>
    <w:rsid w:val="00200AD8"/>
    <w:rsid w:val="0021443B"/>
    <w:rsid w:val="0021463C"/>
    <w:rsid w:val="00220D7F"/>
    <w:rsid w:val="002351C7"/>
    <w:rsid w:val="00240765"/>
    <w:rsid w:val="00243A41"/>
    <w:rsid w:val="00246959"/>
    <w:rsid w:val="00254D4B"/>
    <w:rsid w:val="00257D86"/>
    <w:rsid w:val="002733CC"/>
    <w:rsid w:val="00291773"/>
    <w:rsid w:val="0029447E"/>
    <w:rsid w:val="002A0E78"/>
    <w:rsid w:val="002B5608"/>
    <w:rsid w:val="002B7597"/>
    <w:rsid w:val="002B7CFF"/>
    <w:rsid w:val="002C0D71"/>
    <w:rsid w:val="002C1B3F"/>
    <w:rsid w:val="002D6930"/>
    <w:rsid w:val="002F2973"/>
    <w:rsid w:val="0030149F"/>
    <w:rsid w:val="00302584"/>
    <w:rsid w:val="0030468B"/>
    <w:rsid w:val="003244D6"/>
    <w:rsid w:val="00325C31"/>
    <w:rsid w:val="00333FD1"/>
    <w:rsid w:val="00340F13"/>
    <w:rsid w:val="00342069"/>
    <w:rsid w:val="00355B7A"/>
    <w:rsid w:val="00362861"/>
    <w:rsid w:val="003644F2"/>
    <w:rsid w:val="00383E45"/>
    <w:rsid w:val="003C0B07"/>
    <w:rsid w:val="003C474F"/>
    <w:rsid w:val="003F185A"/>
    <w:rsid w:val="004006EC"/>
    <w:rsid w:val="004355AF"/>
    <w:rsid w:val="0044209D"/>
    <w:rsid w:val="0045176E"/>
    <w:rsid w:val="004577B0"/>
    <w:rsid w:val="004605DC"/>
    <w:rsid w:val="0046254F"/>
    <w:rsid w:val="0046405C"/>
    <w:rsid w:val="0048428C"/>
    <w:rsid w:val="004946D5"/>
    <w:rsid w:val="004A5233"/>
    <w:rsid w:val="004B3449"/>
    <w:rsid w:val="004C3CA8"/>
    <w:rsid w:val="004E20A1"/>
    <w:rsid w:val="004E2914"/>
    <w:rsid w:val="005000A1"/>
    <w:rsid w:val="005127B8"/>
    <w:rsid w:val="005228B5"/>
    <w:rsid w:val="00536FE5"/>
    <w:rsid w:val="00547CF0"/>
    <w:rsid w:val="00565B24"/>
    <w:rsid w:val="0057508B"/>
    <w:rsid w:val="00594A20"/>
    <w:rsid w:val="005A6239"/>
    <w:rsid w:val="005D7DE5"/>
    <w:rsid w:val="006044EA"/>
    <w:rsid w:val="006065C7"/>
    <w:rsid w:val="006150DB"/>
    <w:rsid w:val="00684C91"/>
    <w:rsid w:val="00687F36"/>
    <w:rsid w:val="006935AC"/>
    <w:rsid w:val="006A08A9"/>
    <w:rsid w:val="006C38EE"/>
    <w:rsid w:val="006D0BD6"/>
    <w:rsid w:val="006D3EDD"/>
    <w:rsid w:val="006D65E1"/>
    <w:rsid w:val="006F14FB"/>
    <w:rsid w:val="00711933"/>
    <w:rsid w:val="007252F2"/>
    <w:rsid w:val="0074764F"/>
    <w:rsid w:val="00747658"/>
    <w:rsid w:val="00755603"/>
    <w:rsid w:val="00760604"/>
    <w:rsid w:val="00785577"/>
    <w:rsid w:val="007A7EFF"/>
    <w:rsid w:val="007B0EF3"/>
    <w:rsid w:val="007C4623"/>
    <w:rsid w:val="007F56A8"/>
    <w:rsid w:val="0080395F"/>
    <w:rsid w:val="00812530"/>
    <w:rsid w:val="0083267B"/>
    <w:rsid w:val="008369ED"/>
    <w:rsid w:val="008375F5"/>
    <w:rsid w:val="00845692"/>
    <w:rsid w:val="00857B85"/>
    <w:rsid w:val="0088583D"/>
    <w:rsid w:val="008C2B3D"/>
    <w:rsid w:val="008C2EB5"/>
    <w:rsid w:val="008D7F8E"/>
    <w:rsid w:val="008E781A"/>
    <w:rsid w:val="009609EF"/>
    <w:rsid w:val="009A0B49"/>
    <w:rsid w:val="009B12E4"/>
    <w:rsid w:val="009C5AE4"/>
    <w:rsid w:val="009D2AB2"/>
    <w:rsid w:val="009E0B3F"/>
    <w:rsid w:val="009E21C6"/>
    <w:rsid w:val="009E7A5A"/>
    <w:rsid w:val="009F3C2F"/>
    <w:rsid w:val="009F7DF8"/>
    <w:rsid w:val="00A04366"/>
    <w:rsid w:val="00A0506E"/>
    <w:rsid w:val="00A40F95"/>
    <w:rsid w:val="00A66012"/>
    <w:rsid w:val="00A85A40"/>
    <w:rsid w:val="00A924AD"/>
    <w:rsid w:val="00AA144A"/>
    <w:rsid w:val="00AA2AF1"/>
    <w:rsid w:val="00AA5473"/>
    <w:rsid w:val="00AB497B"/>
    <w:rsid w:val="00B1533C"/>
    <w:rsid w:val="00B26B42"/>
    <w:rsid w:val="00B30D92"/>
    <w:rsid w:val="00B34999"/>
    <w:rsid w:val="00B36692"/>
    <w:rsid w:val="00B45E1F"/>
    <w:rsid w:val="00B5428B"/>
    <w:rsid w:val="00B573A9"/>
    <w:rsid w:val="00B61F50"/>
    <w:rsid w:val="00B71F58"/>
    <w:rsid w:val="00B76088"/>
    <w:rsid w:val="00B76A3E"/>
    <w:rsid w:val="00B83930"/>
    <w:rsid w:val="00B8499A"/>
    <w:rsid w:val="00B84D9D"/>
    <w:rsid w:val="00B87CCB"/>
    <w:rsid w:val="00BA7BD7"/>
    <w:rsid w:val="00BB017D"/>
    <w:rsid w:val="00BB33DB"/>
    <w:rsid w:val="00BC2916"/>
    <w:rsid w:val="00BC3742"/>
    <w:rsid w:val="00BC45B6"/>
    <w:rsid w:val="00BC4737"/>
    <w:rsid w:val="00BD0039"/>
    <w:rsid w:val="00BD33B3"/>
    <w:rsid w:val="00BE60B5"/>
    <w:rsid w:val="00BF3EF9"/>
    <w:rsid w:val="00C03F2F"/>
    <w:rsid w:val="00C30CAA"/>
    <w:rsid w:val="00C478D7"/>
    <w:rsid w:val="00C506C6"/>
    <w:rsid w:val="00C510B8"/>
    <w:rsid w:val="00C62C90"/>
    <w:rsid w:val="00C662C1"/>
    <w:rsid w:val="00C731D4"/>
    <w:rsid w:val="00C86292"/>
    <w:rsid w:val="00C95FDC"/>
    <w:rsid w:val="00CA156E"/>
    <w:rsid w:val="00CB47F8"/>
    <w:rsid w:val="00CD2D43"/>
    <w:rsid w:val="00CD4A7D"/>
    <w:rsid w:val="00CD5290"/>
    <w:rsid w:val="00CD5308"/>
    <w:rsid w:val="00CE0A7B"/>
    <w:rsid w:val="00CE1648"/>
    <w:rsid w:val="00CE16E9"/>
    <w:rsid w:val="00CE42F6"/>
    <w:rsid w:val="00CF50AA"/>
    <w:rsid w:val="00CF67B5"/>
    <w:rsid w:val="00D125C1"/>
    <w:rsid w:val="00D22DCF"/>
    <w:rsid w:val="00D24ED2"/>
    <w:rsid w:val="00D33DDC"/>
    <w:rsid w:val="00D37D67"/>
    <w:rsid w:val="00D44885"/>
    <w:rsid w:val="00D515E3"/>
    <w:rsid w:val="00D63C2E"/>
    <w:rsid w:val="00D76727"/>
    <w:rsid w:val="00D812FD"/>
    <w:rsid w:val="00DA0074"/>
    <w:rsid w:val="00DA287A"/>
    <w:rsid w:val="00DC3941"/>
    <w:rsid w:val="00DD46D1"/>
    <w:rsid w:val="00DD68A2"/>
    <w:rsid w:val="00DE4E39"/>
    <w:rsid w:val="00DF3AAB"/>
    <w:rsid w:val="00DF5C6E"/>
    <w:rsid w:val="00DF77E6"/>
    <w:rsid w:val="00E129AF"/>
    <w:rsid w:val="00E15E49"/>
    <w:rsid w:val="00E255C4"/>
    <w:rsid w:val="00E45694"/>
    <w:rsid w:val="00E47D08"/>
    <w:rsid w:val="00E62C12"/>
    <w:rsid w:val="00E6353D"/>
    <w:rsid w:val="00E64951"/>
    <w:rsid w:val="00E66CBF"/>
    <w:rsid w:val="00E87C1C"/>
    <w:rsid w:val="00E9172F"/>
    <w:rsid w:val="00EA2B00"/>
    <w:rsid w:val="00EA325E"/>
    <w:rsid w:val="00EC0A73"/>
    <w:rsid w:val="00EC16AC"/>
    <w:rsid w:val="00EE078B"/>
    <w:rsid w:val="00EE6E72"/>
    <w:rsid w:val="00F04280"/>
    <w:rsid w:val="00F11F6A"/>
    <w:rsid w:val="00F1303E"/>
    <w:rsid w:val="00F1569E"/>
    <w:rsid w:val="00F227D6"/>
    <w:rsid w:val="00F236B6"/>
    <w:rsid w:val="00F47346"/>
    <w:rsid w:val="00F50735"/>
    <w:rsid w:val="00F629E1"/>
    <w:rsid w:val="00F65979"/>
    <w:rsid w:val="00F65A68"/>
    <w:rsid w:val="00F71698"/>
    <w:rsid w:val="00F758A0"/>
    <w:rsid w:val="00F77CC1"/>
    <w:rsid w:val="00F858DE"/>
    <w:rsid w:val="00FA1C6B"/>
    <w:rsid w:val="00FD356E"/>
    <w:rsid w:val="00FE19DA"/>
    <w:rsid w:val="00FE26BB"/>
    <w:rsid w:val="00FF1B38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yablova_mm\Documents\&#1057;&#1055;&#1056;&#1060;\&#1054;&#1087;&#1077;&#1088;&#1072;&#1090;&#1080;&#1074;&#1085;&#1099;&#1077;%20&#1086;&#1090;&#1095;&#1077;&#1090;&#1099;%20(&#1077;&#1078;&#1077;&#1084;&#1077;&#1089;&#1103;&#1095;&#1085;&#1099;&#1077;)\2019%20&#1075;&#1086;&#1076;\&#1080;&#1102;&#1085;&#1100;\&#1055;&#1072;&#1096;&#1072;\&#1075;&#1088;&#1072;&#1092;&#1080;&#1082;&#1080;%20&#1080;&#1102;&#1085;&#1100;%20&#1054;&#105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251040662558166E-2"/>
          <c:y val="0.12472149921766953"/>
          <c:w val="0.67333513847220272"/>
          <c:h val="0.73454815238888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287539745549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635861900694399E-17"/>
                  <c:y val="2.143769872774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3.5729497879580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8340210912425492E-3"/>
                  <c:y val="7.981855990062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0.1306121889283029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7246663173035446E-17"/>
                  <c:y val="0.174149585237737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2350550825070066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'12.2 нерезиденты'!$A$3:$A$11</c:f>
              <c:strCache>
                <c:ptCount val="9"/>
                <c:pt idx="0">
                  <c:v>01.07.2012</c:v>
                </c:pt>
                <c:pt idx="1">
                  <c:v>01.07.2013</c:v>
                </c:pt>
                <c:pt idx="2">
                  <c:v>01.07.2014</c:v>
                </c:pt>
                <c:pt idx="3">
                  <c:v>01.07.2015</c:v>
                </c:pt>
                <c:pt idx="4">
                  <c:v>01.07.2016</c:v>
                </c:pt>
                <c:pt idx="5">
                  <c:v>01.07.2017</c:v>
                </c:pt>
                <c:pt idx="6">
                  <c:v>01.07.2018</c:v>
                </c:pt>
                <c:pt idx="7">
                  <c:v> 01.01.2019</c:v>
                </c:pt>
                <c:pt idx="8">
                  <c:v>01.07.2019</c:v>
                </c:pt>
              </c:strCache>
            </c:strRef>
          </c:cat>
          <c:val>
            <c:numRef>
              <c:f>'12.2 нерезиденты'!$B$3:$B$11</c:f>
              <c:numCache>
                <c:formatCode>General</c:formatCode>
                <c:ptCount val="9"/>
                <c:pt idx="0">
                  <c:v>203</c:v>
                </c:pt>
                <c:pt idx="1">
                  <c:v>818</c:v>
                </c:pt>
                <c:pt idx="2">
                  <c:v>945</c:v>
                </c:pt>
                <c:pt idx="3">
                  <c:v>981</c:v>
                </c:pt>
                <c:pt idx="4" formatCode="#,##0">
                  <c:v>1350</c:v>
                </c:pt>
                <c:pt idx="5" formatCode="#,##0">
                  <c:v>1869</c:v>
                </c:pt>
                <c:pt idx="6" formatCode="#,##0">
                  <c:v>1982</c:v>
                </c:pt>
                <c:pt idx="7" formatCode="#,##0">
                  <c:v>1790</c:v>
                </c:pt>
                <c:pt idx="8" formatCode="#,##0">
                  <c:v>2559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305024"/>
        <c:axId val="63861824"/>
      </c:barChart>
      <c:lineChart>
        <c:grouping val="standard"/>
        <c:varyColors val="0"/>
        <c:ser>
          <c:idx val="1"/>
          <c:order val="1"/>
          <c:tx>
            <c:strRef>
              <c:f>'12.2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'12.2 нерезиденты'!$A$3:$A$10</c:f>
              <c:strCache>
                <c:ptCount val="8"/>
                <c:pt idx="0">
                  <c:v>01.07.2012</c:v>
                </c:pt>
                <c:pt idx="1">
                  <c:v>01.07.2013</c:v>
                </c:pt>
                <c:pt idx="2">
                  <c:v>01.07.2014</c:v>
                </c:pt>
                <c:pt idx="3">
                  <c:v>01.07.2015</c:v>
                </c:pt>
                <c:pt idx="4">
                  <c:v>01.07.2016</c:v>
                </c:pt>
                <c:pt idx="5">
                  <c:v>01.07.2017</c:v>
                </c:pt>
                <c:pt idx="6">
                  <c:v>01.07.2018</c:v>
                </c:pt>
                <c:pt idx="7">
                  <c:v> 01.01.2019</c:v>
                </c:pt>
              </c:strCache>
            </c:strRef>
          </c:cat>
          <c:val>
            <c:numRef>
              <c:f>'12.2 нерезиденты'!$C$3:$C$11</c:f>
              <c:numCache>
                <c:formatCode>General</c:formatCode>
                <c:ptCount val="9"/>
                <c:pt idx="0">
                  <c:v>6.5</c:v>
                </c:pt>
                <c:pt idx="1">
                  <c:v>24.3</c:v>
                </c:pt>
                <c:pt idx="2">
                  <c:v>25.6</c:v>
                </c:pt>
                <c:pt idx="3">
                  <c:v>20.3</c:v>
                </c:pt>
                <c:pt idx="4">
                  <c:v>25.4</c:v>
                </c:pt>
                <c:pt idx="5">
                  <c:v>30.4</c:v>
                </c:pt>
                <c:pt idx="6">
                  <c:v>28.2</c:v>
                </c:pt>
                <c:pt idx="7">
                  <c:v>24.4</c:v>
                </c:pt>
                <c:pt idx="8">
                  <c:v>30.8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877632"/>
        <c:axId val="86614016"/>
      </c:lineChart>
      <c:catAx>
        <c:axId val="1463050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m/d/yyyy" sourceLinked="1"/>
        <c:majorTickMark val="out"/>
        <c:minorTickMark val="none"/>
        <c:tickLblPos val="nextTo"/>
        <c:txPr>
          <a:bodyPr/>
          <a:lstStyle/>
          <a:p>
            <a:pPr>
              <a:defRPr sz="600"/>
            </a:pPr>
            <a:endParaRPr lang="ru-RU"/>
          </a:p>
        </c:txPr>
        <c:crossAx val="63861824"/>
        <c:crosses val="autoZero"/>
        <c:auto val="1"/>
        <c:lblAlgn val="ctr"/>
        <c:lblOffset val="100"/>
        <c:noMultiLvlLbl val="0"/>
      </c:catAx>
      <c:valAx>
        <c:axId val="63861824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46305024"/>
        <c:crosses val="autoZero"/>
        <c:crossBetween val="between"/>
      </c:valAx>
      <c:valAx>
        <c:axId val="8661401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151877632"/>
        <c:crosses val="max"/>
        <c:crossBetween val="between"/>
      </c:valAx>
      <c:catAx>
        <c:axId val="151877632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561122169815947"/>
              <c:y val="5.1967044902084961E-3"/>
            </c:manualLayout>
          </c:layout>
          <c:overlay val="0"/>
        </c:title>
        <c:numFmt formatCode="m/d/yyyy" sourceLinked="1"/>
        <c:majorTickMark val="out"/>
        <c:minorTickMark val="none"/>
        <c:tickLblPos val="nextTo"/>
        <c:crossAx val="8661401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998158758353275"/>
          <c:y val="0.18238540937293865"/>
          <c:w val="0.2181843913252246"/>
          <c:h val="0.4102856813102584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Берестовенко М.В.</cp:lastModifiedBy>
  <cp:revision>26</cp:revision>
  <cp:lastPrinted>2019-02-15T13:37:00Z</cp:lastPrinted>
  <dcterms:created xsi:type="dcterms:W3CDTF">2019-07-24T17:07:00Z</dcterms:created>
  <dcterms:modified xsi:type="dcterms:W3CDTF">2019-07-29T11:32:00Z</dcterms:modified>
</cp:coreProperties>
</file>