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50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  <w:szCs w:val="24"/>
        </w:rPr>
        <w:t xml:space="preserve">Приложение № </w:t>
      </w:r>
      <w:r w:rsidR="00B26B42" w:rsidRPr="00EE0504">
        <w:rPr>
          <w:color w:val="000000" w:themeColor="text1"/>
          <w:sz w:val="24"/>
          <w:szCs w:val="24"/>
        </w:rPr>
        <w:t>1</w:t>
      </w:r>
      <w:r w:rsidR="003A71D7">
        <w:rPr>
          <w:color w:val="000000" w:themeColor="text1"/>
          <w:sz w:val="24"/>
          <w:szCs w:val="24"/>
        </w:rPr>
        <w:t>4</w:t>
      </w:r>
    </w:p>
    <w:p w:rsidR="001C6950" w:rsidRPr="00EE0504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  <w:szCs w:val="24"/>
        </w:rPr>
        <w:t>к аналитической записке</w:t>
      </w:r>
    </w:p>
    <w:p w:rsidR="006D65E1" w:rsidRPr="00EE0504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C86292" w:rsidRPr="00EE0504" w:rsidRDefault="00C86292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DF3AAB" w:rsidRPr="00EE0504" w:rsidRDefault="00DF3AAB" w:rsidP="00DF3AAB">
      <w:pPr>
        <w:ind w:left="0" w:right="0"/>
        <w:jc w:val="right"/>
        <w:rPr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  <w:szCs w:val="24"/>
        </w:rPr>
        <w:t>Таблица 1</w:t>
      </w:r>
    </w:p>
    <w:p w:rsidR="002B7597" w:rsidRPr="00EE0504" w:rsidRDefault="002B7597" w:rsidP="00DF3AAB">
      <w:pPr>
        <w:ind w:left="0" w:right="0"/>
        <w:jc w:val="right"/>
        <w:rPr>
          <w:color w:val="000000" w:themeColor="text1"/>
          <w:sz w:val="24"/>
          <w:szCs w:val="24"/>
        </w:rPr>
      </w:pPr>
    </w:p>
    <w:p w:rsidR="006C38EE" w:rsidRPr="00EE0504" w:rsidRDefault="006C38EE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EE0504">
        <w:rPr>
          <w:b/>
          <w:color w:val="000000" w:themeColor="text1"/>
          <w:sz w:val="24"/>
          <w:szCs w:val="24"/>
        </w:rPr>
        <w:t>Анализ выполнения Программы государственных внутренних заимствований Российской Федерации на 2019 год и на плановый период 2020 и 2021 годов</w:t>
      </w:r>
    </w:p>
    <w:p w:rsidR="00C86292" w:rsidRPr="00EE0504" w:rsidRDefault="00C86292" w:rsidP="006C38EE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W w:w="9170" w:type="dxa"/>
        <w:jc w:val="center"/>
        <w:tblInd w:w="-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935"/>
        <w:gridCol w:w="1985"/>
        <w:gridCol w:w="2318"/>
        <w:gridCol w:w="850"/>
      </w:tblGrid>
      <w:tr w:rsidR="00EE0504" w:rsidRPr="00EE0504" w:rsidTr="007252F2">
        <w:trPr>
          <w:trHeight w:val="1026"/>
          <w:tblHeader/>
          <w:jc w:val="center"/>
        </w:trPr>
        <w:tc>
          <w:tcPr>
            <w:tcW w:w="2082" w:type="dxa"/>
            <w:vMerge w:val="restart"/>
            <w:shd w:val="clear" w:color="auto" w:fill="auto"/>
            <w:noWrap/>
            <w:vAlign w:val="center"/>
            <w:hideMark/>
          </w:tcPr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920" w:type="dxa"/>
            <w:gridSpan w:val="2"/>
            <w:shd w:val="clear" w:color="auto" w:fill="auto"/>
            <w:vAlign w:val="center"/>
            <w:hideMark/>
          </w:tcPr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внутренних заимствований Российской Федерации на 2019 год и на плановый период 2020 и 2021 годы в части 2019 года,</w:t>
            </w:r>
          </w:p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3168" w:type="dxa"/>
            <w:gridSpan w:val="2"/>
            <w:shd w:val="clear" w:color="auto" w:fill="auto"/>
            <w:vAlign w:val="center"/>
            <w:hideMark/>
          </w:tcPr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</w:t>
            </w:r>
          </w:p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E87538" w:rsidRPr="00EE0504">
              <w:rPr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 xml:space="preserve"> 2019 года</w:t>
            </w:r>
          </w:p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>(нарастающим итогом)*</w:t>
            </w:r>
          </w:p>
          <w:p w:rsidR="007252F2" w:rsidRPr="00EE0504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E0504" w:rsidRPr="00EE0504" w:rsidTr="00D8145A">
        <w:trPr>
          <w:trHeight w:val="333"/>
          <w:tblHeader/>
          <w:jc w:val="center"/>
        </w:trPr>
        <w:tc>
          <w:tcPr>
            <w:tcW w:w="2082" w:type="dxa"/>
            <w:vMerge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Федеральный закон № 459-ФЗ</w:t>
            </w:r>
          </w:p>
        </w:tc>
        <w:tc>
          <w:tcPr>
            <w:tcW w:w="1985" w:type="dxa"/>
          </w:tcPr>
          <w:p w:rsidR="00E87538" w:rsidRPr="00EE0504" w:rsidRDefault="00E87538" w:rsidP="006044E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 xml:space="preserve">Федеральный закон </w:t>
            </w:r>
          </w:p>
          <w:p w:rsidR="00E87538" w:rsidRPr="00EE0504" w:rsidRDefault="00E87538" w:rsidP="006044E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>№ 175-ФЗ</w:t>
            </w:r>
          </w:p>
        </w:tc>
        <w:tc>
          <w:tcPr>
            <w:tcW w:w="2318" w:type="dxa"/>
            <w:shd w:val="clear" w:color="auto" w:fill="auto"/>
            <w:noWrap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>сумма,</w:t>
            </w:r>
          </w:p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850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EE0504" w:rsidRPr="00EE0504" w:rsidTr="002301F3">
        <w:trPr>
          <w:trHeight w:val="98"/>
          <w:jc w:val="center"/>
        </w:trPr>
        <w:tc>
          <w:tcPr>
            <w:tcW w:w="2082" w:type="dxa"/>
            <w:shd w:val="clear" w:color="auto" w:fill="auto"/>
            <w:vAlign w:val="center"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35" w:type="dxa"/>
            <w:shd w:val="clear" w:color="auto" w:fill="auto"/>
            <w:noWrap/>
            <w:vAlign w:val="center"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E87538" w:rsidRPr="00EE0504" w:rsidRDefault="00E87538" w:rsidP="00B45E1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318" w:type="dxa"/>
            <w:shd w:val="clear" w:color="auto" w:fill="auto"/>
            <w:noWrap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5=4/3</w:t>
            </w:r>
          </w:p>
        </w:tc>
      </w:tr>
      <w:tr w:rsidR="00EE0504" w:rsidRPr="00EE0504" w:rsidTr="009175BF">
        <w:trPr>
          <w:trHeight w:val="195"/>
          <w:jc w:val="center"/>
        </w:trPr>
        <w:tc>
          <w:tcPr>
            <w:tcW w:w="2082" w:type="dxa"/>
            <w:shd w:val="clear" w:color="auto" w:fill="auto"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Государственные ценные бумаги Российской Федерации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:rsidR="00E87538" w:rsidRPr="00EE0504" w:rsidRDefault="00E87538" w:rsidP="00BD003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1 705 152,4</w:t>
            </w:r>
          </w:p>
        </w:tc>
        <w:tc>
          <w:tcPr>
            <w:tcW w:w="1985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bCs/>
                <w:color w:val="000000" w:themeColor="text1"/>
                <w:sz w:val="16"/>
                <w:szCs w:val="16"/>
              </w:rPr>
              <w:t>1 566 618,7</w:t>
            </w:r>
          </w:p>
        </w:tc>
        <w:tc>
          <w:tcPr>
            <w:tcW w:w="2318" w:type="dxa"/>
            <w:shd w:val="clear" w:color="auto" w:fill="auto"/>
            <w:noWrap/>
            <w:vAlign w:val="center"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1 247 361,9</w:t>
            </w:r>
          </w:p>
        </w:tc>
        <w:tc>
          <w:tcPr>
            <w:tcW w:w="850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504">
              <w:rPr>
                <w:b/>
                <w:color w:val="000000" w:themeColor="text1"/>
                <w:sz w:val="16"/>
                <w:szCs w:val="16"/>
              </w:rPr>
              <w:t>79,6</w:t>
            </w:r>
          </w:p>
        </w:tc>
      </w:tr>
      <w:tr w:rsidR="00EE0504" w:rsidRPr="00EE0504" w:rsidTr="00EB0FE2">
        <w:trPr>
          <w:trHeight w:val="240"/>
          <w:jc w:val="center"/>
        </w:trPr>
        <w:tc>
          <w:tcPr>
            <w:tcW w:w="2082" w:type="dxa"/>
            <w:shd w:val="clear" w:color="auto" w:fill="auto"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2 425 394,0**</w:t>
            </w:r>
          </w:p>
        </w:tc>
        <w:tc>
          <w:tcPr>
            <w:tcW w:w="1985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2 280 099,5</w:t>
            </w:r>
          </w:p>
        </w:tc>
        <w:tc>
          <w:tcPr>
            <w:tcW w:w="2318" w:type="dxa"/>
            <w:shd w:val="clear" w:color="auto" w:fill="auto"/>
            <w:noWrap/>
            <w:vAlign w:val="center"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1 661 041,9</w:t>
            </w:r>
          </w:p>
        </w:tc>
        <w:tc>
          <w:tcPr>
            <w:tcW w:w="850" w:type="dxa"/>
            <w:vAlign w:val="center"/>
          </w:tcPr>
          <w:p w:rsidR="00E87538" w:rsidRPr="00EE0504" w:rsidRDefault="00E87538" w:rsidP="002A7C76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72,</w:t>
            </w:r>
            <w:r w:rsidR="002A7C76" w:rsidRPr="00EE0504">
              <w:rPr>
                <w:color w:val="000000" w:themeColor="text1"/>
                <w:sz w:val="16"/>
                <w:szCs w:val="16"/>
              </w:rPr>
              <w:t>8</w:t>
            </w:r>
          </w:p>
        </w:tc>
      </w:tr>
      <w:tr w:rsidR="00EE0504" w:rsidRPr="00EE0504" w:rsidTr="00600BF6">
        <w:trPr>
          <w:trHeight w:val="240"/>
          <w:jc w:val="center"/>
        </w:trPr>
        <w:tc>
          <w:tcPr>
            <w:tcW w:w="2082" w:type="dxa"/>
            <w:shd w:val="clear" w:color="auto" w:fill="auto"/>
            <w:vAlign w:val="center"/>
            <w:hideMark/>
          </w:tcPr>
          <w:p w:rsidR="00E87538" w:rsidRPr="00EE0504" w:rsidRDefault="00E87538" w:rsidP="009A4553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:rsidR="00E87538" w:rsidRPr="00EE0504" w:rsidRDefault="00E87538" w:rsidP="0030468B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-720 241,6</w:t>
            </w:r>
          </w:p>
        </w:tc>
        <w:tc>
          <w:tcPr>
            <w:tcW w:w="1985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-713 480,8</w:t>
            </w:r>
          </w:p>
        </w:tc>
        <w:tc>
          <w:tcPr>
            <w:tcW w:w="2318" w:type="dxa"/>
            <w:shd w:val="clear" w:color="auto" w:fill="auto"/>
            <w:noWrap/>
            <w:vAlign w:val="center"/>
          </w:tcPr>
          <w:p w:rsidR="00E87538" w:rsidRPr="00EE0504" w:rsidRDefault="00E87538" w:rsidP="00E8753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-413 680,0</w:t>
            </w:r>
          </w:p>
        </w:tc>
        <w:tc>
          <w:tcPr>
            <w:tcW w:w="850" w:type="dxa"/>
            <w:vAlign w:val="center"/>
          </w:tcPr>
          <w:p w:rsidR="00E87538" w:rsidRPr="00EE0504" w:rsidRDefault="00E87538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EE0504">
              <w:rPr>
                <w:color w:val="000000" w:themeColor="text1"/>
                <w:sz w:val="16"/>
                <w:szCs w:val="16"/>
              </w:rPr>
              <w:t>58,0</w:t>
            </w:r>
          </w:p>
        </w:tc>
      </w:tr>
    </w:tbl>
    <w:p w:rsidR="006C38EE" w:rsidRPr="00EE0504" w:rsidRDefault="00DF3AAB" w:rsidP="0030468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EE0504">
        <w:rPr>
          <w:color w:val="000000" w:themeColor="text1"/>
          <w:sz w:val="16"/>
          <w:szCs w:val="16"/>
        </w:rPr>
        <w:t xml:space="preserve">* </w:t>
      </w:r>
      <w:r w:rsidR="008375F5" w:rsidRPr="00EE0504">
        <w:rPr>
          <w:color w:val="000000" w:themeColor="text1"/>
          <w:sz w:val="16"/>
          <w:szCs w:val="16"/>
        </w:rPr>
        <w:t>С</w:t>
      </w:r>
      <w:r w:rsidR="006C38EE" w:rsidRPr="00EE0504">
        <w:rPr>
          <w:color w:val="000000" w:themeColor="text1"/>
          <w:sz w:val="16"/>
          <w:szCs w:val="16"/>
        </w:rPr>
        <w:t xml:space="preserve"> учетом положений статьи 113 Бюджетного кодекса Российской Федерации (суммы накопленного купонного дохода, поступлений в сумме, превышающей номинальную стоимость, а также разницы, возникшей при выкупе ценных бумаг по цене ниже цены размещения) и п</w:t>
      </w:r>
      <w:r w:rsidR="0030468B" w:rsidRPr="00EE0504">
        <w:rPr>
          <w:color w:val="000000" w:themeColor="text1"/>
          <w:sz w:val="16"/>
          <w:szCs w:val="16"/>
        </w:rPr>
        <w:t>огашения основного долга по ним.</w:t>
      </w:r>
    </w:p>
    <w:p w:rsidR="00DF3AAB" w:rsidRPr="00EE0504" w:rsidRDefault="008375F5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EE0504">
        <w:rPr>
          <w:color w:val="000000" w:themeColor="text1"/>
          <w:sz w:val="16"/>
          <w:szCs w:val="16"/>
        </w:rPr>
        <w:t>**В</w:t>
      </w:r>
      <w:r w:rsidR="00DF3AAB" w:rsidRPr="00EE0504">
        <w:rPr>
          <w:color w:val="000000" w:themeColor="text1"/>
          <w:sz w:val="16"/>
          <w:szCs w:val="16"/>
        </w:rPr>
        <w:t xml:space="preserve"> соответствии с распоряжением Правительства Российской Федерации от </w:t>
      </w:r>
      <w:r w:rsidR="0030468B" w:rsidRPr="00EE0504">
        <w:rPr>
          <w:color w:val="000000" w:themeColor="text1"/>
          <w:sz w:val="16"/>
          <w:szCs w:val="16"/>
        </w:rPr>
        <w:t>28</w:t>
      </w:r>
      <w:r w:rsidR="00DF3AAB" w:rsidRPr="00EE0504">
        <w:rPr>
          <w:color w:val="000000" w:themeColor="text1"/>
          <w:sz w:val="16"/>
          <w:szCs w:val="16"/>
        </w:rPr>
        <w:t xml:space="preserve"> декабря 201</w:t>
      </w:r>
      <w:r w:rsidR="0030468B" w:rsidRPr="00EE0504">
        <w:rPr>
          <w:color w:val="000000" w:themeColor="text1"/>
          <w:sz w:val="16"/>
          <w:szCs w:val="16"/>
        </w:rPr>
        <w:t>8</w:t>
      </w:r>
      <w:r w:rsidR="00DF3AAB" w:rsidRPr="00EE0504">
        <w:rPr>
          <w:color w:val="000000" w:themeColor="text1"/>
          <w:sz w:val="16"/>
          <w:szCs w:val="16"/>
        </w:rPr>
        <w:t xml:space="preserve"> г. № </w:t>
      </w:r>
      <w:r w:rsidR="0030468B" w:rsidRPr="00EE0504">
        <w:rPr>
          <w:color w:val="000000" w:themeColor="text1"/>
          <w:sz w:val="16"/>
          <w:szCs w:val="16"/>
        </w:rPr>
        <w:t>2976</w:t>
      </w:r>
      <w:r w:rsidR="00DF3AAB" w:rsidRPr="00EE0504">
        <w:rPr>
          <w:color w:val="000000" w:themeColor="text1"/>
          <w:sz w:val="16"/>
          <w:szCs w:val="16"/>
        </w:rPr>
        <w:t>-р Минфин России вправе осуществлять в 201</w:t>
      </w:r>
      <w:r w:rsidR="0030468B" w:rsidRPr="00EE0504">
        <w:rPr>
          <w:color w:val="000000" w:themeColor="text1"/>
          <w:sz w:val="16"/>
          <w:szCs w:val="16"/>
        </w:rPr>
        <w:t xml:space="preserve">9 </w:t>
      </w:r>
      <w:r w:rsidR="00DF3AAB" w:rsidRPr="00EE0504">
        <w:rPr>
          <w:color w:val="000000" w:themeColor="text1"/>
          <w:sz w:val="16"/>
          <w:szCs w:val="16"/>
        </w:rPr>
        <w:t xml:space="preserve">году выпуски государственных ценных бумаг, номинальная стоимость которых указана в валюте Российской Федерации, в объемах, не превышающих </w:t>
      </w:r>
      <w:r w:rsidR="0030468B" w:rsidRPr="00EE0504">
        <w:rPr>
          <w:color w:val="000000" w:themeColor="text1"/>
          <w:sz w:val="16"/>
          <w:szCs w:val="16"/>
        </w:rPr>
        <w:t>2 475,5</w:t>
      </w:r>
      <w:r w:rsidR="00DF3AAB" w:rsidRPr="00EE0504">
        <w:rPr>
          <w:color w:val="000000" w:themeColor="text1"/>
          <w:sz w:val="16"/>
          <w:szCs w:val="16"/>
        </w:rPr>
        <w:t xml:space="preserve"> млрд. рублей.</w:t>
      </w:r>
    </w:p>
    <w:p w:rsidR="00CD5308" w:rsidRPr="00EE0504" w:rsidRDefault="00CD5308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F629E1" w:rsidRPr="00EE0504" w:rsidRDefault="00F629E1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F629E1" w:rsidRPr="00EE0504" w:rsidRDefault="00F629E1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DF3AAB" w:rsidRPr="00EE0504" w:rsidRDefault="00DF3AAB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  <w:szCs w:val="24"/>
        </w:rPr>
        <w:t xml:space="preserve">Таблица 2 </w:t>
      </w:r>
    </w:p>
    <w:p w:rsidR="002B7597" w:rsidRPr="00EE0504" w:rsidRDefault="002B7597" w:rsidP="000A2C5F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:rsidR="000A2C5F" w:rsidRPr="00EE0504" w:rsidRDefault="000A2C5F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  <w:r w:rsidRPr="00EE0504">
        <w:rPr>
          <w:b/>
          <w:color w:val="000000" w:themeColor="text1"/>
          <w:sz w:val="24"/>
        </w:rPr>
        <w:t>Информация о проведении Минфином России в 2019 году аукционов по размещению выпусков ОФЗ*</w:t>
      </w:r>
    </w:p>
    <w:tbl>
      <w:tblPr>
        <w:tblW w:w="9482" w:type="dxa"/>
        <w:tblInd w:w="-318" w:type="dxa"/>
        <w:tblLook w:val="04A0" w:firstRow="1" w:lastRow="0" w:firstColumn="1" w:lastColumn="0" w:noHBand="0" w:noVBand="1"/>
      </w:tblPr>
      <w:tblGrid>
        <w:gridCol w:w="1702"/>
        <w:gridCol w:w="1220"/>
        <w:gridCol w:w="900"/>
        <w:gridCol w:w="1060"/>
        <w:gridCol w:w="1000"/>
        <w:gridCol w:w="1300"/>
        <w:gridCol w:w="1300"/>
        <w:gridCol w:w="1000"/>
      </w:tblGrid>
      <w:tr w:rsidR="00EE0504" w:rsidRPr="00EE0504" w:rsidTr="000A5FE0">
        <w:trPr>
          <w:trHeight w:val="5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Количество аукционов по размещению гос. ценных бумаг в январе - сентябре 2019 году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</w:t>
            </w:r>
            <w:proofErr w:type="spellStart"/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предложе-ния</w:t>
            </w:r>
            <w:proofErr w:type="spellEnd"/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 млн. рублей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Доходность по </w:t>
            </w:r>
            <w:proofErr w:type="spellStart"/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средневзве</w:t>
            </w:r>
            <w:proofErr w:type="spellEnd"/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</w:t>
            </w:r>
            <w:proofErr w:type="spellStart"/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шенной</w:t>
            </w:r>
            <w:proofErr w:type="spellEnd"/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цене, % годовых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24020RMFS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27.07.2022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100 000,0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25 054,4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25 236,2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26209RMFS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20.07.2022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503 634,0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7,65 до 8,07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141 910,2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143 057,9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26223RMFS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28.02.2024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185 397,4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8,11 до 8,23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103 205,1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99 749,4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26224RMFS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23.05.2029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821 546,0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8,3</w:t>
            </w:r>
            <w:r w:rsidR="002A7C76" w:rsidRPr="00EE0504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 до 8,47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230 785,9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214 701,3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26225RMFS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10.05.2034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888 031,3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4B301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7,</w:t>
            </w:r>
            <w:r w:rsidR="004B301B">
              <w:rPr>
                <w:rFonts w:eastAsia="Times New Roman"/>
                <w:color w:val="000000" w:themeColor="text1"/>
                <w:sz w:val="16"/>
                <w:szCs w:val="16"/>
              </w:rPr>
              <w:t>31</w:t>
            </w: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 до 8,56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188 908,9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179 285,6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26226RMFS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07.10.2026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1 470 123,8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8,09 до 8,4</w:t>
            </w:r>
            <w:r w:rsidR="002A7C76" w:rsidRPr="00EE0504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326 586,6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327 478,5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26227RMFS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17.07.2024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1 695 849,2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6,99 до 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371 389,5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369 424,1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26228RMFS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10.04.2030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955 399,1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7,3</w:t>
            </w:r>
            <w:r w:rsidR="002A7C76" w:rsidRPr="00EE0504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 до 8,4</w:t>
            </w:r>
            <w:r w:rsidR="002A7C76" w:rsidRPr="00EE0504">
              <w:rPr>
                <w:rFonts w:eastAsia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76 451,5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78 557,4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26229RMFS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12.11.2025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460 013,4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D91678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6,90 до 7,73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107 350,8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108 910,5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26230RMFS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16.03.2039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60 000,0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DA4947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7,29 до 7,68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60 000,0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62 834,2</w:t>
            </w:r>
          </w:p>
        </w:tc>
      </w:tr>
      <w:tr w:rsidR="00EE0504" w:rsidRPr="00EE0504" w:rsidTr="000A5FE0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47 366,5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от 3,22 до 3,58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31 818,6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29 876,6</w:t>
            </w:r>
          </w:p>
        </w:tc>
      </w:tr>
      <w:tr w:rsidR="00EE0504" w:rsidRPr="00EE0504" w:rsidTr="009A4BCE">
        <w:trPr>
          <w:trHeight w:val="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7 187 360,6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1 663 461,4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E0" w:rsidRPr="00EE0504" w:rsidRDefault="000A5FE0" w:rsidP="000A5F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EE0504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1 639 111,7</w:t>
            </w:r>
          </w:p>
        </w:tc>
      </w:tr>
    </w:tbl>
    <w:p w:rsidR="005E526D" w:rsidRPr="00EE0504" w:rsidRDefault="00C32EE1" w:rsidP="009A4BCE">
      <w:pPr>
        <w:spacing w:before="120" w:line="240" w:lineRule="auto"/>
        <w:ind w:left="0" w:right="0" w:firstLine="0"/>
        <w:rPr>
          <w:color w:val="000000" w:themeColor="text1"/>
          <w:sz w:val="16"/>
          <w:szCs w:val="16"/>
        </w:rPr>
      </w:pPr>
      <w:r w:rsidRPr="00EE0504">
        <w:rPr>
          <w:color w:val="000000" w:themeColor="text1"/>
          <w:sz w:val="16"/>
          <w:szCs w:val="16"/>
        </w:rPr>
        <w:t xml:space="preserve">* </w:t>
      </w:r>
      <w:r w:rsidRPr="00EE0504">
        <w:rPr>
          <w:b/>
          <w:color w:val="000000" w:themeColor="text1"/>
          <w:sz w:val="16"/>
          <w:szCs w:val="16"/>
        </w:rPr>
        <w:t>Доразмещение</w:t>
      </w:r>
      <w:r w:rsidRPr="00EE0504">
        <w:rPr>
          <w:color w:val="000000" w:themeColor="text1"/>
          <w:sz w:val="16"/>
          <w:szCs w:val="16"/>
        </w:rPr>
        <w:t xml:space="preserve"> на вторичном рынке ОФЗ-ПД в январе – </w:t>
      </w:r>
      <w:r w:rsidR="00C82E46" w:rsidRPr="00EE0504">
        <w:rPr>
          <w:color w:val="000000" w:themeColor="text1"/>
          <w:sz w:val="16"/>
          <w:szCs w:val="16"/>
        </w:rPr>
        <w:t>сентябр</w:t>
      </w:r>
      <w:r w:rsidRPr="00EE0504">
        <w:rPr>
          <w:color w:val="000000" w:themeColor="text1"/>
          <w:sz w:val="16"/>
          <w:szCs w:val="16"/>
        </w:rPr>
        <w:t>е 2019 года составило 5 550,7 млн. рублей по номиналу</w:t>
      </w:r>
      <w:r w:rsidR="005E526D" w:rsidRPr="00EE0504">
        <w:rPr>
          <w:color w:val="000000" w:themeColor="text1"/>
          <w:sz w:val="16"/>
          <w:szCs w:val="16"/>
        </w:rPr>
        <w:t>.</w:t>
      </w:r>
    </w:p>
    <w:p w:rsidR="00C32EE1" w:rsidRPr="00EE0504" w:rsidRDefault="00C32EE1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</w:p>
    <w:p w:rsidR="005E526D" w:rsidRPr="00EE0504" w:rsidRDefault="005E526D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</w:p>
    <w:p w:rsidR="005E526D" w:rsidRPr="00EE0504" w:rsidRDefault="005E526D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</w:p>
    <w:p w:rsidR="000A5FE0" w:rsidRPr="00EE0504" w:rsidRDefault="000A5FE0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0A5FE0" w:rsidRPr="00EE0504" w:rsidRDefault="000A5FE0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DF3AAB" w:rsidRPr="00EE0504" w:rsidRDefault="00DF3AAB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  <w:szCs w:val="24"/>
        </w:rPr>
        <w:lastRenderedPageBreak/>
        <w:t xml:space="preserve">Таблица 3 </w:t>
      </w:r>
    </w:p>
    <w:p w:rsidR="00DF3AAB" w:rsidRPr="00EE0504" w:rsidRDefault="00DF3AAB" w:rsidP="00DF3AAB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p w:rsidR="000A2C5F" w:rsidRPr="00EE0504" w:rsidRDefault="000A2C5F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EE0504">
        <w:rPr>
          <w:b/>
          <w:color w:val="000000" w:themeColor="text1"/>
          <w:sz w:val="24"/>
          <w:szCs w:val="24"/>
        </w:rPr>
        <w:t>Анализ доходности облигаций федерального займа</w:t>
      </w:r>
    </w:p>
    <w:p w:rsidR="000A2C5F" w:rsidRPr="00EE0504" w:rsidRDefault="000A2C5F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EE0504">
        <w:rPr>
          <w:b/>
          <w:color w:val="000000" w:themeColor="text1"/>
          <w:sz w:val="24"/>
          <w:szCs w:val="24"/>
        </w:rPr>
        <w:t xml:space="preserve">в январе - </w:t>
      </w:r>
      <w:r w:rsidR="00670EF2" w:rsidRPr="00EE0504">
        <w:rPr>
          <w:b/>
          <w:color w:val="000000" w:themeColor="text1"/>
          <w:sz w:val="24"/>
          <w:szCs w:val="24"/>
        </w:rPr>
        <w:t>сентябр</w:t>
      </w:r>
      <w:r w:rsidRPr="00EE0504">
        <w:rPr>
          <w:b/>
          <w:color w:val="000000" w:themeColor="text1"/>
          <w:sz w:val="24"/>
          <w:szCs w:val="24"/>
        </w:rPr>
        <w:t>е 201</w:t>
      </w:r>
      <w:r w:rsidR="00B60B07">
        <w:rPr>
          <w:b/>
          <w:color w:val="000000" w:themeColor="text1"/>
          <w:sz w:val="24"/>
          <w:szCs w:val="24"/>
        </w:rPr>
        <w:t>7</w:t>
      </w:r>
      <w:r w:rsidRPr="00EE0504">
        <w:rPr>
          <w:b/>
          <w:color w:val="000000" w:themeColor="text1"/>
          <w:sz w:val="24"/>
          <w:szCs w:val="24"/>
        </w:rPr>
        <w:t xml:space="preserve"> – 2019 годов</w:t>
      </w:r>
    </w:p>
    <w:p w:rsidR="00C82E46" w:rsidRPr="00EE0504" w:rsidRDefault="00C82E46" w:rsidP="00C82E46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Style w:val="ab"/>
        <w:tblW w:w="9539" w:type="dxa"/>
        <w:tblInd w:w="108" w:type="dxa"/>
        <w:tblLook w:val="04A0" w:firstRow="1" w:lastRow="0" w:firstColumn="1" w:lastColumn="0" w:noHBand="0" w:noVBand="1"/>
      </w:tblPr>
      <w:tblGrid>
        <w:gridCol w:w="4678"/>
        <w:gridCol w:w="1684"/>
        <w:gridCol w:w="1513"/>
        <w:gridCol w:w="1664"/>
      </w:tblGrid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84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2017 год</w:t>
            </w:r>
          </w:p>
        </w:tc>
        <w:tc>
          <w:tcPr>
            <w:tcW w:w="1513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2018 год</w:t>
            </w:r>
          </w:p>
        </w:tc>
        <w:tc>
          <w:tcPr>
            <w:tcW w:w="1664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2019 год</w:t>
            </w:r>
          </w:p>
        </w:tc>
      </w:tr>
      <w:tr w:rsidR="00B60B07" w:rsidRPr="00EE0504" w:rsidTr="00B60B07">
        <w:tc>
          <w:tcPr>
            <w:tcW w:w="4678" w:type="dxa"/>
            <w:shd w:val="clear" w:color="auto" w:fill="FDE9D9" w:themeFill="accent6" w:themeFillTint="33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b/>
                <w:color w:val="000000" w:themeColor="text1"/>
                <w:sz w:val="20"/>
                <w:szCs w:val="20"/>
              </w:rPr>
              <w:t>ОФЗ-ПД</w:t>
            </w:r>
          </w:p>
        </w:tc>
        <w:tc>
          <w:tcPr>
            <w:tcW w:w="1684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8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513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66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EE0504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84" w:type="dxa"/>
            <w:vAlign w:val="center"/>
          </w:tcPr>
          <w:p w:rsidR="00B60B07" w:rsidRPr="00EE0504" w:rsidRDefault="00B60B07" w:rsidP="00FF3CF5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7,51 до 8,59</w:t>
            </w:r>
          </w:p>
        </w:tc>
        <w:tc>
          <w:tcPr>
            <w:tcW w:w="1513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33" w:right="0" w:hanging="33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6,55 до 8,25</w:t>
            </w:r>
          </w:p>
        </w:tc>
        <w:tc>
          <w:tcPr>
            <w:tcW w:w="1664" w:type="dxa"/>
            <w:vAlign w:val="center"/>
          </w:tcPr>
          <w:p w:rsidR="00B60B07" w:rsidRPr="00EE0504" w:rsidRDefault="00B60B07" w:rsidP="001D0BFC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6,90 до 8,56</w:t>
            </w:r>
          </w:p>
        </w:tc>
      </w:tr>
      <w:tr w:rsidR="00B60B07" w:rsidRPr="00EE0504" w:rsidTr="00B60B07">
        <w:tc>
          <w:tcPr>
            <w:tcW w:w="4678" w:type="dxa"/>
            <w:shd w:val="clear" w:color="auto" w:fill="FDE9D9" w:themeFill="accent6" w:themeFillTint="33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b/>
                <w:color w:val="000000" w:themeColor="text1"/>
                <w:sz w:val="20"/>
                <w:szCs w:val="20"/>
              </w:rPr>
              <w:t>ОФЗ-ПК</w:t>
            </w:r>
          </w:p>
        </w:tc>
        <w:tc>
          <w:tcPr>
            <w:tcW w:w="1684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8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13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6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EE0504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8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9,41 до 10,48</w:t>
            </w:r>
          </w:p>
        </w:tc>
        <w:tc>
          <w:tcPr>
            <w:tcW w:w="1513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7,32 до 8,30</w:t>
            </w:r>
          </w:p>
        </w:tc>
        <w:tc>
          <w:tcPr>
            <w:tcW w:w="166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доходность не рассчитывалась*</w:t>
            </w:r>
          </w:p>
        </w:tc>
      </w:tr>
      <w:tr w:rsidR="00B60B07" w:rsidRPr="00EE0504" w:rsidTr="00B60B07">
        <w:tc>
          <w:tcPr>
            <w:tcW w:w="4678" w:type="dxa"/>
            <w:shd w:val="clear" w:color="auto" w:fill="FDE9D9" w:themeFill="accent6" w:themeFillTint="33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20"/>
                <w:szCs w:val="20"/>
              </w:rPr>
            </w:pPr>
            <w:r w:rsidRPr="00EE0504">
              <w:rPr>
                <w:b/>
                <w:color w:val="000000" w:themeColor="text1"/>
                <w:sz w:val="20"/>
                <w:szCs w:val="20"/>
              </w:rPr>
              <w:t>ОФЗ-ИН</w:t>
            </w:r>
          </w:p>
        </w:tc>
        <w:tc>
          <w:tcPr>
            <w:tcW w:w="1684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FDE9D9" w:themeFill="accent6" w:themeFillTint="33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8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6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9**</w:t>
            </w:r>
          </w:p>
        </w:tc>
      </w:tr>
      <w:tr w:rsidR="00B60B07" w:rsidRPr="00EE0504" w:rsidTr="00B60B07">
        <w:tc>
          <w:tcPr>
            <w:tcW w:w="4678" w:type="dxa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EE0504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8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2,89 до 3,02</w:t>
            </w:r>
          </w:p>
        </w:tc>
        <w:tc>
          <w:tcPr>
            <w:tcW w:w="1664" w:type="dxa"/>
            <w:vAlign w:val="center"/>
          </w:tcPr>
          <w:p w:rsidR="00B60B07" w:rsidRPr="00EE0504" w:rsidRDefault="00B60B07" w:rsidP="00A8625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EE0504">
              <w:rPr>
                <w:color w:val="000000" w:themeColor="text1"/>
                <w:sz w:val="20"/>
                <w:szCs w:val="20"/>
              </w:rPr>
              <w:t>от 3,22 до 3,58</w:t>
            </w:r>
          </w:p>
        </w:tc>
      </w:tr>
    </w:tbl>
    <w:p w:rsidR="00C82E46" w:rsidRPr="006E27C0" w:rsidRDefault="00C82E46" w:rsidP="00C82E46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proofErr w:type="gramStart"/>
      <w:r w:rsidRPr="006E27C0">
        <w:rPr>
          <w:color w:val="000000" w:themeColor="text1"/>
          <w:sz w:val="16"/>
          <w:szCs w:val="16"/>
        </w:rPr>
        <w:t xml:space="preserve">* В соответствии с приказом Минфина России от 13 августа 2019 г. № 445 «Об эмиссии облигаций федерального займа с переменным купонным доходом выпуска № 24020RMFS» сведения о купонном доходе по первому-двенадцатому купонам ОФЗ-ПК № 24020RMFS публикуется на официальном сайте Минфина России в информационно-телекоммуникационной сети «Интернет» </w:t>
      </w:r>
      <w:r w:rsidRPr="006E27C0">
        <w:rPr>
          <w:b/>
          <w:color w:val="000000" w:themeColor="text1"/>
          <w:sz w:val="16"/>
          <w:szCs w:val="16"/>
        </w:rPr>
        <w:t>не позднее, чем за два рабочих дня до даты выплат</w:t>
      </w:r>
      <w:r w:rsidRPr="006E27C0">
        <w:rPr>
          <w:color w:val="000000" w:themeColor="text1"/>
          <w:sz w:val="16"/>
          <w:szCs w:val="16"/>
        </w:rPr>
        <w:t xml:space="preserve"> по первому-двенадцатому купонам соответственно. </w:t>
      </w:r>
      <w:proofErr w:type="gramEnd"/>
    </w:p>
    <w:p w:rsidR="00C82E46" w:rsidRPr="006E27C0" w:rsidRDefault="00C82E46" w:rsidP="00C82E46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6E27C0">
        <w:rPr>
          <w:color w:val="000000" w:themeColor="text1"/>
          <w:sz w:val="16"/>
          <w:szCs w:val="16"/>
        </w:rPr>
        <w:t>** Аукцион по размещению ОФЗ-ИН выпуска № 52002RMFS 17 апреля 2019 года признан несостоявшимся в связи с отсутствием заявок по приемлемым уровням цен.</w:t>
      </w:r>
    </w:p>
    <w:p w:rsidR="00C82E46" w:rsidRPr="00EE0504" w:rsidRDefault="00C82E46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</w:p>
    <w:p w:rsidR="00DD6E4B" w:rsidRDefault="00DD6E4B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</w:p>
    <w:p w:rsidR="00DD6E4B" w:rsidRDefault="00DD6E4B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</w:p>
    <w:p w:rsidR="00D76727" w:rsidRPr="00EE0504" w:rsidRDefault="00D76727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EE0504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EE0504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</w:t>
      </w:r>
      <w:r w:rsidRPr="00EE0504">
        <w:rPr>
          <w:color w:val="000000" w:themeColor="text1"/>
          <w:sz w:val="24"/>
          <w:szCs w:val="24"/>
        </w:rPr>
        <w:t xml:space="preserve">январь - </w:t>
      </w:r>
      <w:r w:rsidR="00DD6E4B">
        <w:rPr>
          <w:color w:val="000000" w:themeColor="text1"/>
          <w:sz w:val="24"/>
          <w:szCs w:val="24"/>
        </w:rPr>
        <w:t>сентябрь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201</w:t>
      </w:r>
      <w:r w:rsidRPr="00EE0504">
        <w:rPr>
          <w:color w:val="000000" w:themeColor="text1"/>
          <w:sz w:val="24"/>
          <w:szCs w:val="24"/>
        </w:rPr>
        <w:t>9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 года </w:t>
      </w:r>
      <w:r w:rsidRPr="00EE0504">
        <w:rPr>
          <w:color w:val="000000" w:themeColor="text1"/>
          <w:sz w:val="24"/>
          <w:szCs w:val="24"/>
        </w:rPr>
        <w:t>увеличилась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C662D4" w:rsidRPr="00EE0504">
        <w:rPr>
          <w:color w:val="000000" w:themeColor="text1"/>
          <w:sz w:val="24"/>
          <w:szCs w:val="24"/>
        </w:rPr>
        <w:t>5,</w:t>
      </w:r>
      <w:r w:rsidR="0074331F">
        <w:rPr>
          <w:color w:val="000000" w:themeColor="text1"/>
          <w:sz w:val="24"/>
          <w:szCs w:val="24"/>
        </w:rPr>
        <w:t>4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процентных пункта, </w:t>
      </w:r>
      <w:r w:rsidRPr="00EE0504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нерезидентов в ОФЗ </w:t>
      </w:r>
      <w:r w:rsidRPr="00EE0504">
        <w:rPr>
          <w:color w:val="000000" w:themeColor="text1"/>
          <w:sz w:val="24"/>
          <w:szCs w:val="24"/>
        </w:rPr>
        <w:t>-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74331F">
        <w:rPr>
          <w:rFonts w:eastAsia="Times New Roman"/>
          <w:color w:val="000000" w:themeColor="text1"/>
          <w:sz w:val="24"/>
          <w:szCs w:val="24"/>
        </w:rPr>
        <w:t>827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млрд. рублей, или на </w:t>
      </w:r>
      <w:r w:rsidR="009E0B3F" w:rsidRPr="00EE0504">
        <w:rPr>
          <w:rFonts w:eastAsia="Times New Roman"/>
          <w:b/>
          <w:color w:val="000000" w:themeColor="text1"/>
          <w:sz w:val="24"/>
          <w:szCs w:val="24"/>
        </w:rPr>
        <w:t>4</w:t>
      </w:r>
      <w:r w:rsidR="0074331F">
        <w:rPr>
          <w:rFonts w:eastAsia="Times New Roman"/>
          <w:b/>
          <w:color w:val="000000" w:themeColor="text1"/>
          <w:sz w:val="24"/>
          <w:szCs w:val="24"/>
        </w:rPr>
        <w:t>6,2</w:t>
      </w:r>
      <w:r w:rsidR="001C7632" w:rsidRPr="00EE0504">
        <w:rPr>
          <w:rFonts w:eastAsia="Times New Roman"/>
          <w:b/>
          <w:color w:val="000000" w:themeColor="text1"/>
          <w:sz w:val="24"/>
          <w:szCs w:val="24"/>
        </w:rPr>
        <w:t> </w:t>
      </w:r>
      <w:r w:rsidRPr="00EE0504">
        <w:rPr>
          <w:rFonts w:eastAsia="Times New Roman"/>
          <w:b/>
          <w:color w:val="000000" w:themeColor="text1"/>
          <w:sz w:val="24"/>
          <w:szCs w:val="24"/>
        </w:rPr>
        <w:t>%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:rsidR="00D76727" w:rsidRDefault="00D76727" w:rsidP="00D76727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EE0504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</w:t>
      </w:r>
      <w:r w:rsidR="00077FB7">
        <w:rPr>
          <w:rFonts w:eastAsia="Times New Roman"/>
          <w:color w:val="000000" w:themeColor="text1"/>
          <w:sz w:val="24"/>
          <w:szCs w:val="24"/>
        </w:rPr>
        <w:t>7</w:t>
      </w:r>
      <w:r w:rsidRPr="00EE0504">
        <w:rPr>
          <w:rFonts w:eastAsia="Times New Roman"/>
          <w:color w:val="000000" w:themeColor="text1"/>
          <w:sz w:val="24"/>
          <w:szCs w:val="24"/>
        </w:rPr>
        <w:t xml:space="preserve"> – 2019 годах представлена на следующей диаграмме.</w:t>
      </w:r>
    </w:p>
    <w:p w:rsidR="0074331F" w:rsidRDefault="0074331F" w:rsidP="0074331F">
      <w:pPr>
        <w:widowControl w:val="0"/>
        <w:ind w:left="0" w:right="0" w:firstLine="0"/>
        <w:rPr>
          <w:rFonts w:eastAsia="Times New Roman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3ED51F1A" wp14:editId="1825E4C1">
            <wp:extent cx="5940425" cy="1374593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47D08" w:rsidRPr="00EE0504" w:rsidRDefault="00E47D08" w:rsidP="00E47D08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EE0504">
        <w:rPr>
          <w:rFonts w:eastAsia="Times New Roman"/>
          <w:color w:val="000000" w:themeColor="text1"/>
          <w:sz w:val="24"/>
          <w:szCs w:val="24"/>
        </w:rPr>
        <w:t xml:space="preserve">Таким образом, доля нерезидентов на рынке облигаций федеральных займов </w:t>
      </w:r>
      <w:r w:rsidRPr="00EE0504">
        <w:rPr>
          <w:rFonts w:eastAsia="Times New Roman"/>
          <w:b/>
          <w:color w:val="000000" w:themeColor="text1"/>
          <w:sz w:val="24"/>
          <w:szCs w:val="24"/>
        </w:rPr>
        <w:t>остается на достаточно высоком уровне</w:t>
      </w:r>
      <w:r w:rsidRPr="00EE0504">
        <w:rPr>
          <w:rFonts w:eastAsia="Times New Roman"/>
          <w:color w:val="000000" w:themeColor="text1"/>
          <w:sz w:val="24"/>
          <w:szCs w:val="24"/>
        </w:rPr>
        <w:t>.</w:t>
      </w:r>
    </w:p>
    <w:p w:rsidR="00DD6E4B" w:rsidRDefault="00890979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</w:rPr>
        <w:t>В январе – сентябре 2019 года Банк России три раза принимал решение о понижении ключевой ставки</w:t>
      </w:r>
      <w:r w:rsidRPr="00EE0504">
        <w:rPr>
          <w:color w:val="000000" w:themeColor="text1"/>
          <w:sz w:val="24"/>
          <w:szCs w:val="24"/>
        </w:rPr>
        <w:t xml:space="preserve"> в целом на 0,75 процентных пункта (с 9 сентября 2019 года снижена с 7,25 % до 7,00 %, с 29 июля 2019 года - с 7,50 % до 7,25 %, с 17 июня 2019 года - с 7,75 % до 7,50 %, </w:t>
      </w:r>
      <w:r w:rsidRPr="00EE0504">
        <w:rPr>
          <w:color w:val="000000" w:themeColor="text1"/>
          <w:sz w:val="24"/>
        </w:rPr>
        <w:t>с 17 декабря 2018 года 7,75 % годовых</w:t>
      </w:r>
      <w:r w:rsidRPr="00EE0504">
        <w:rPr>
          <w:color w:val="000000" w:themeColor="text1"/>
          <w:sz w:val="24"/>
          <w:szCs w:val="24"/>
        </w:rPr>
        <w:t xml:space="preserve">). </w:t>
      </w:r>
      <w:r w:rsidRPr="00EE0504">
        <w:rPr>
          <w:b/>
          <w:color w:val="000000" w:themeColor="text1"/>
          <w:sz w:val="24"/>
          <w:szCs w:val="24"/>
        </w:rPr>
        <w:t xml:space="preserve">Последний </w:t>
      </w:r>
      <w:proofErr w:type="gramStart"/>
      <w:r w:rsidRPr="00EE0504">
        <w:rPr>
          <w:b/>
          <w:color w:val="000000" w:themeColor="text1"/>
          <w:sz w:val="24"/>
          <w:szCs w:val="24"/>
        </w:rPr>
        <w:t>раз</w:t>
      </w:r>
      <w:proofErr w:type="gramEnd"/>
      <w:r w:rsidRPr="00EE0504">
        <w:rPr>
          <w:b/>
          <w:color w:val="000000" w:themeColor="text1"/>
          <w:sz w:val="24"/>
          <w:szCs w:val="24"/>
        </w:rPr>
        <w:t xml:space="preserve"> указанный уровень устанавливался 3 марта 2014 года.</w:t>
      </w:r>
      <w:r w:rsidR="00DD6E4B">
        <w:rPr>
          <w:b/>
          <w:color w:val="000000" w:themeColor="text1"/>
          <w:sz w:val="24"/>
          <w:szCs w:val="24"/>
        </w:rPr>
        <w:br w:type="page"/>
      </w:r>
    </w:p>
    <w:p w:rsidR="00890979" w:rsidRDefault="00890979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</w:p>
    <w:p w:rsidR="006E27C0" w:rsidRPr="00EE0504" w:rsidRDefault="006E27C0" w:rsidP="006E27C0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EE0504">
        <w:rPr>
          <w:color w:val="000000" w:themeColor="text1"/>
          <w:sz w:val="24"/>
          <w:szCs w:val="24"/>
        </w:rPr>
        <w:t xml:space="preserve">Таблица </w:t>
      </w:r>
      <w:r>
        <w:rPr>
          <w:color w:val="000000" w:themeColor="text1"/>
          <w:sz w:val="24"/>
          <w:szCs w:val="24"/>
        </w:rPr>
        <w:t>4</w:t>
      </w:r>
      <w:r w:rsidRPr="00EE0504">
        <w:rPr>
          <w:color w:val="000000" w:themeColor="text1"/>
          <w:sz w:val="24"/>
          <w:szCs w:val="24"/>
        </w:rPr>
        <w:t xml:space="preserve"> </w:t>
      </w:r>
    </w:p>
    <w:p w:rsidR="006E27C0" w:rsidRPr="0076472A" w:rsidRDefault="006E27C0" w:rsidP="006E27C0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76472A">
        <w:rPr>
          <w:b/>
          <w:color w:val="000000" w:themeColor="text1"/>
          <w:sz w:val="24"/>
          <w:szCs w:val="24"/>
          <w:lang w:eastAsia="en-US"/>
        </w:rPr>
        <w:t xml:space="preserve">Анализ информации об управлении средствами </w:t>
      </w:r>
    </w:p>
    <w:p w:rsidR="006E27C0" w:rsidRDefault="006E27C0" w:rsidP="006E27C0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76472A">
        <w:rPr>
          <w:b/>
          <w:color w:val="000000" w:themeColor="text1"/>
          <w:sz w:val="24"/>
          <w:szCs w:val="24"/>
          <w:lang w:eastAsia="en-US"/>
        </w:rPr>
        <w:t>Фонда национального благосостояния в части разрешенных финансовых активов</w:t>
      </w:r>
    </w:p>
    <w:p w:rsidR="006E27C0" w:rsidRPr="0076472A" w:rsidRDefault="006E27C0" w:rsidP="006E27C0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tbl>
      <w:tblPr>
        <w:tblStyle w:val="ab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6E27C0" w:rsidRPr="0076472A" w:rsidTr="00960020">
        <w:trPr>
          <w:tblHeader/>
        </w:trPr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472A">
              <w:rPr>
                <w:b/>
                <w:color w:val="000000" w:themeColor="text1"/>
                <w:sz w:val="24"/>
                <w:szCs w:val="24"/>
              </w:rPr>
              <w:t>Наименование направления (вида финансового актива)</w:t>
            </w:r>
          </w:p>
        </w:tc>
        <w:tc>
          <w:tcPr>
            <w:tcW w:w="5953" w:type="dxa"/>
            <w:vAlign w:val="center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472A">
              <w:rPr>
                <w:b/>
                <w:color w:val="000000" w:themeColor="text1"/>
                <w:sz w:val="24"/>
                <w:szCs w:val="24"/>
              </w:rPr>
              <w:t xml:space="preserve">Объем размещения (возврата)/ </w:t>
            </w:r>
          </w:p>
          <w:p w:rsidR="006E27C0" w:rsidRPr="0076472A" w:rsidRDefault="006E27C0" w:rsidP="00960020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472A">
              <w:rPr>
                <w:b/>
                <w:color w:val="000000" w:themeColor="text1"/>
                <w:sz w:val="24"/>
                <w:szCs w:val="24"/>
              </w:rPr>
              <w:t>основание размещения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76472A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b/>
                <w:color w:val="000000" w:themeColor="text1"/>
                <w:sz w:val="24"/>
                <w:szCs w:val="24"/>
              </w:rPr>
              <w:t xml:space="preserve">на 1 января 2019 года, </w:t>
            </w:r>
            <w:r w:rsidRPr="0076472A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5953" w:type="dxa"/>
            <w:vAlign w:val="center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1 680 423,2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1. Размещено*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21 311,5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на депозиты в ВЭБ.РФ в целях финансирования проектов в реальном секторе экономики, реализуемых российскими организациями**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В соответствии с постановлением Правительства Российской Федерации от 19 января 2008 г. № 18, заключенными в 2017 году между Федеральным казначейством и ВЭБ.РФ депозитными договорами и на основании заявок ВЭБ.РФ средства ФНБ в объеме </w:t>
            </w:r>
            <w:r w:rsidRPr="0076472A">
              <w:rPr>
                <w:rFonts w:eastAsia="Arial Unicode MS"/>
                <w:b/>
                <w:bCs/>
                <w:color w:val="000000" w:themeColor="text1"/>
                <w:sz w:val="24"/>
              </w:rPr>
              <w:t>11 811,5 млн. рублей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Pr="0076472A">
              <w:rPr>
                <w:color w:val="000000" w:themeColor="text1"/>
                <w:sz w:val="24"/>
                <w:szCs w:val="24"/>
                <w:lang w:eastAsia="en-US"/>
              </w:rPr>
              <w:t xml:space="preserve">(43,6 % показателя сводной росписи) 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размещены в целях финансирования следующих проектов: </w:t>
            </w:r>
          </w:p>
          <w:p w:rsidR="006E27C0" w:rsidRPr="0076472A" w:rsidRDefault="006E27C0" w:rsidP="00960020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- </w:t>
            </w:r>
            <w:r w:rsidRPr="0076472A">
              <w:rPr>
                <w:color w:val="000000" w:themeColor="text1"/>
                <w:sz w:val="24"/>
                <w:szCs w:val="24"/>
              </w:rPr>
              <w:t xml:space="preserve">«Строительство нового аэропортового комплекса «Центральный» (г. Саратов)» 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>– в сумме 1 781,8 млн. рублей;</w:t>
            </w:r>
          </w:p>
          <w:p w:rsidR="006E27C0" w:rsidRPr="0076472A" w:rsidRDefault="006E27C0" w:rsidP="00960020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76472A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>«Приобретение и предоставление во владение и пользование (лизинг) вагонов Московского метро» (КЖЦ-2) – в сумме 10 029,7 млн. рублей.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в целях финансирования инфраструктурных проектов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472A">
              <w:rPr>
                <w:color w:val="000000" w:themeColor="text1"/>
                <w:sz w:val="24"/>
                <w:szCs w:val="24"/>
                <w:lang w:eastAsia="en-US"/>
              </w:rPr>
              <w:t xml:space="preserve">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76472A">
              <w:rPr>
                <w:b/>
                <w:color w:val="000000" w:themeColor="text1"/>
                <w:sz w:val="24"/>
                <w:szCs w:val="24"/>
                <w:lang w:eastAsia="en-US"/>
              </w:rPr>
              <w:t>9 500,0 млн. рублей</w:t>
            </w:r>
            <w:r w:rsidRPr="0076472A">
              <w:rPr>
                <w:color w:val="000000" w:themeColor="text1"/>
                <w:sz w:val="24"/>
                <w:szCs w:val="24"/>
                <w:lang w:eastAsia="en-US"/>
              </w:rPr>
              <w:t xml:space="preserve"> (45,3 % показателя сводной росписи) размещены в облигации Государственной компании «Российские автомобильные дороги» в целях финансирования </w:t>
            </w:r>
            <w:r w:rsidRPr="0076472A">
              <w:rPr>
                <w:b/>
                <w:color w:val="000000" w:themeColor="text1"/>
                <w:sz w:val="24"/>
                <w:szCs w:val="24"/>
                <w:lang w:eastAsia="en-US"/>
              </w:rPr>
              <w:t>инфраструктурного проекта «Центральная кольцевая автомобильная дорога (Московская область)»,</w:t>
            </w:r>
            <w:r w:rsidRPr="0076472A">
              <w:rPr>
                <w:color w:val="000000" w:themeColor="text1"/>
                <w:sz w:val="24"/>
                <w:szCs w:val="24"/>
                <w:lang w:eastAsia="en-US"/>
              </w:rPr>
              <w:t xml:space="preserve"> предусмотренного пунктом 1 перечня самоокупаемых инфраструктурных проектов, реализуемых юридическими лицами, в финансовые активы которых размещаются средства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основе, утвержденного распоряжением Правительства Российской Федерации от 5 ноября 2013 г. № 2044-р.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2. Возвращено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jc w:val="center"/>
              <w:textAlignment w:val="top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31 106,2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 xml:space="preserve">с депозитов в ВЭБ.РФ в целях финансирования проектов в реальном секторе экономики, </w:t>
            </w:r>
            <w:r w:rsidRPr="0076472A">
              <w:rPr>
                <w:color w:val="000000" w:themeColor="text1"/>
                <w:sz w:val="24"/>
                <w:szCs w:val="24"/>
              </w:rPr>
              <w:lastRenderedPageBreak/>
              <w:t>реализуемых российскими организациями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lastRenderedPageBreak/>
              <w:t xml:space="preserve">ВЭБ.РФ досрочно возвратил часть средств Фонда, размещенных на депозитах в 2016-2018 годах на общую сумму </w:t>
            </w:r>
            <w:r w:rsidRPr="0076472A">
              <w:rPr>
                <w:rFonts w:eastAsia="Arial Unicode MS"/>
                <w:b/>
                <w:bCs/>
                <w:color w:val="000000" w:themeColor="text1"/>
                <w:sz w:val="24"/>
              </w:rPr>
              <w:t>2 966,2 млн. рублей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 в целях 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lastRenderedPageBreak/>
              <w:t>финансирования следующих проектов:</w:t>
            </w:r>
          </w:p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>- «Приобретение и предоставление во владение и пользование (лизинг) вагонов Московского метро» (КЖЦ-1) – в сумме 876,7 млн. рублей;</w:t>
            </w:r>
          </w:p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>- «Приобретение и предоставление во владение и пользование (лизинг) вагонов Московского метро» (КЖЦ-2) – в сумме 2 089,5 млн. рублей.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lastRenderedPageBreak/>
              <w:t>с депозитов в целях финансирования инфраструктурных проектов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В январе 2019 года Банком ВТБ (ПАО) в полном объеме возвращены средства ФНБ, привлеченные на депозит в марте 2015 года в сумме </w:t>
            </w:r>
            <w:r w:rsidRPr="0076472A">
              <w:rPr>
                <w:rFonts w:eastAsia="Arial Unicode MS"/>
                <w:b/>
                <w:bCs/>
                <w:color w:val="000000" w:themeColor="text1"/>
                <w:sz w:val="24"/>
              </w:rPr>
              <w:t>26 000,0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Pr="0076472A">
              <w:rPr>
                <w:rFonts w:eastAsia="Arial Unicode MS"/>
                <w:b/>
                <w:bCs/>
                <w:color w:val="000000" w:themeColor="text1"/>
                <w:sz w:val="24"/>
              </w:rPr>
              <w:t>млн. рублей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>.</w:t>
            </w: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>с депозитов в ВЭБ.РФ, размещенных в соответствии с Федеральным законом от 13 октября 2008 г. № 173-ФЗ «О дополнительных мерах по поддержке финансовой системы Российской Федерации»</w:t>
            </w:r>
          </w:p>
        </w:tc>
        <w:tc>
          <w:tcPr>
            <w:tcW w:w="5953" w:type="dxa"/>
          </w:tcPr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 xml:space="preserve">В июне 2019 года ВЭБ.РФ досрочно возвратил средства ФНБ в сумме </w:t>
            </w:r>
            <w:r w:rsidRPr="0076472A">
              <w:rPr>
                <w:rFonts w:eastAsia="Arial Unicode MS"/>
                <w:b/>
                <w:bCs/>
                <w:color w:val="000000" w:themeColor="text1"/>
                <w:sz w:val="24"/>
              </w:rPr>
              <w:t>2 140,0 млн. рублей</w:t>
            </w:r>
            <w:r w:rsidRPr="0076472A">
              <w:rPr>
                <w:rFonts w:eastAsia="Arial Unicode MS"/>
                <w:bCs/>
                <w:color w:val="000000" w:themeColor="text1"/>
                <w:sz w:val="24"/>
              </w:rPr>
              <w:t>, размещенные на депозите в августе 2009 года для предоставления субординированного кредита ПАО Банк ЗЕНИТ в связи с наступлением срока возврата.</w:t>
            </w:r>
          </w:p>
          <w:p w:rsidR="006E27C0" w:rsidRPr="0076472A" w:rsidRDefault="006E27C0" w:rsidP="0096002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</w:p>
        </w:tc>
      </w:tr>
      <w:tr w:rsidR="006E27C0" w:rsidRPr="0076472A" w:rsidTr="00960020">
        <w:tc>
          <w:tcPr>
            <w:tcW w:w="3369" w:type="dxa"/>
          </w:tcPr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76472A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76472A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:rsidR="006E27C0" w:rsidRPr="0076472A" w:rsidRDefault="006E27C0" w:rsidP="00960020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76472A">
              <w:rPr>
                <w:b/>
                <w:color w:val="000000" w:themeColor="text1"/>
                <w:sz w:val="24"/>
                <w:szCs w:val="24"/>
              </w:rPr>
              <w:t xml:space="preserve">на 1 октября 2019 года </w:t>
            </w:r>
            <w:r w:rsidRPr="0076472A">
              <w:rPr>
                <w:color w:val="000000" w:themeColor="text1"/>
                <w:sz w:val="24"/>
                <w:szCs w:val="24"/>
              </w:rPr>
              <w:t>(с учетом курсовой разницы)***</w:t>
            </w:r>
          </w:p>
        </w:tc>
        <w:tc>
          <w:tcPr>
            <w:tcW w:w="5953" w:type="dxa"/>
            <w:vAlign w:val="center"/>
          </w:tcPr>
          <w:p w:rsidR="006E27C0" w:rsidRPr="0076472A" w:rsidRDefault="006E27C0" w:rsidP="00960020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</w:pPr>
            <w:r w:rsidRPr="0076472A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1 634 670,7</w:t>
            </w:r>
          </w:p>
        </w:tc>
      </w:tr>
    </w:tbl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76472A">
        <w:rPr>
          <w:color w:val="000000" w:themeColor="text1"/>
          <w:sz w:val="20"/>
          <w:szCs w:val="20"/>
          <w:lang w:eastAsia="en-US"/>
        </w:rPr>
        <w:t>* Н</w:t>
      </w:r>
      <w:r w:rsidRPr="0076472A">
        <w:rPr>
          <w:color w:val="000000" w:themeColor="text1"/>
          <w:sz w:val="20"/>
          <w:szCs w:val="20"/>
        </w:rPr>
        <w:t>а основании статьи 96</w:t>
      </w:r>
      <w:r w:rsidRPr="0076472A">
        <w:rPr>
          <w:color w:val="000000" w:themeColor="text1"/>
          <w:sz w:val="20"/>
          <w:szCs w:val="20"/>
          <w:vertAlign w:val="superscript"/>
        </w:rPr>
        <w:t>11</w:t>
      </w:r>
      <w:r w:rsidRPr="0076472A">
        <w:rPr>
          <w:color w:val="000000" w:themeColor="text1"/>
          <w:sz w:val="20"/>
          <w:szCs w:val="20"/>
        </w:rPr>
        <w:t xml:space="preserve"> и пункта 3 статьи 217 Бюджетного кодекса Российской Федерации, постановления Правительства Российской Федерации от 19 января 2008 г. № 18 «О порядке управления средствами Фонда национального благосостояния» (далее – постановление Правительства Российской Федерации № 18) </w:t>
      </w:r>
      <w:r w:rsidRPr="0076472A">
        <w:rPr>
          <w:b/>
          <w:color w:val="000000" w:themeColor="text1"/>
          <w:sz w:val="20"/>
          <w:szCs w:val="20"/>
        </w:rPr>
        <w:t xml:space="preserve">в связи с планируемым размещением средств Фонда </w:t>
      </w:r>
      <w:r w:rsidRPr="0076472A">
        <w:rPr>
          <w:color w:val="000000" w:themeColor="text1"/>
          <w:sz w:val="20"/>
          <w:szCs w:val="20"/>
        </w:rPr>
        <w:t xml:space="preserve">национального благосостояния показатели сводной бюджетной росписи по источникам финансирования дефицита федерального бюджета увеличены на </w:t>
      </w:r>
      <w:r w:rsidRPr="0076472A">
        <w:rPr>
          <w:b/>
          <w:color w:val="000000" w:themeColor="text1"/>
          <w:sz w:val="20"/>
          <w:szCs w:val="20"/>
        </w:rPr>
        <w:t>98 043,5 млн. рублей</w:t>
      </w:r>
      <w:r w:rsidRPr="0076472A">
        <w:rPr>
          <w:color w:val="000000" w:themeColor="text1"/>
          <w:sz w:val="20"/>
          <w:szCs w:val="20"/>
        </w:rPr>
        <w:t>, из них:</w:t>
      </w:r>
    </w:p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76472A">
        <w:rPr>
          <w:color w:val="000000" w:themeColor="text1"/>
          <w:sz w:val="20"/>
          <w:szCs w:val="20"/>
        </w:rPr>
        <w:t>- в целях финансирования самоокупаемого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 на 50 000,0 млн. рублей;</w:t>
      </w:r>
    </w:p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76472A">
        <w:rPr>
          <w:color w:val="000000" w:themeColor="text1"/>
          <w:sz w:val="20"/>
          <w:szCs w:val="20"/>
        </w:rPr>
        <w:t>- в целях финансирования самоокупаемого инфраструктурного проекта «Центральная кольцевая автомобильная дорога (Московская область)» на 20 953,5 млн. рублей;</w:t>
      </w:r>
    </w:p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76472A">
        <w:rPr>
          <w:color w:val="000000" w:themeColor="text1"/>
          <w:sz w:val="20"/>
          <w:szCs w:val="20"/>
        </w:rPr>
        <w:t>- в целях финансирования проектов ВЭБ.РФ на 27 090,0 млн. рублей.</w:t>
      </w:r>
    </w:p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76472A">
        <w:rPr>
          <w:color w:val="000000" w:themeColor="text1"/>
          <w:sz w:val="20"/>
          <w:szCs w:val="20"/>
        </w:rPr>
        <w:t>**</w:t>
      </w:r>
      <w:r w:rsidRPr="0076472A">
        <w:rPr>
          <w:color w:val="000000" w:themeColor="text1"/>
        </w:rPr>
        <w:t xml:space="preserve"> </w:t>
      </w:r>
      <w:r w:rsidRPr="0076472A">
        <w:rPr>
          <w:color w:val="000000" w:themeColor="text1"/>
          <w:sz w:val="20"/>
          <w:szCs w:val="20"/>
        </w:rPr>
        <w:t>Остаток средств ФНБ, которые могут быть размещены в целях финансирования проектов на депозиты в ВЭБ.РФ, составляет 15 278,5 млн. рублей, или 21,4 % предельного объема (71 328,0 млн. рублей), установленного условиями заключенных депозитных договоров.</w:t>
      </w:r>
    </w:p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76472A">
        <w:rPr>
          <w:color w:val="000000" w:themeColor="text1"/>
          <w:sz w:val="20"/>
          <w:szCs w:val="20"/>
        </w:rPr>
        <w:t>** Отрицательная курсовая разница по указанным средствам составила 35 957,9 млн. рублей.</w:t>
      </w:r>
    </w:p>
    <w:p w:rsidR="006E27C0" w:rsidRPr="0076472A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</w:p>
    <w:p w:rsidR="00AB62C7" w:rsidRDefault="00AB62C7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BC09B8">
        <w:rPr>
          <w:color w:val="000000" w:themeColor="text1"/>
          <w:sz w:val="24"/>
          <w:szCs w:val="24"/>
        </w:rPr>
        <w:lastRenderedPageBreak/>
        <w:t xml:space="preserve">Таблица </w:t>
      </w:r>
      <w:r>
        <w:rPr>
          <w:color w:val="000000" w:themeColor="text1"/>
          <w:sz w:val="24"/>
          <w:szCs w:val="24"/>
        </w:rPr>
        <w:t>5</w:t>
      </w: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AB62C7" w:rsidRPr="00BC09B8" w:rsidRDefault="00AB62C7" w:rsidP="00AB62C7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BC09B8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внутреннего долга Российской Федерации в январе – сентябре 2019 года</w:t>
      </w:r>
    </w:p>
    <w:p w:rsidR="00AB62C7" w:rsidRPr="00BC09B8" w:rsidRDefault="00AB62C7" w:rsidP="00AB62C7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BC09B8">
        <w:rPr>
          <w:color w:val="000000" w:themeColor="text1"/>
          <w:sz w:val="18"/>
          <w:szCs w:val="16"/>
        </w:rPr>
        <w:t>(млрд. рублей)</w:t>
      </w:r>
    </w:p>
    <w:tbl>
      <w:tblPr>
        <w:tblW w:w="99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260"/>
        <w:gridCol w:w="1100"/>
        <w:gridCol w:w="1220"/>
        <w:gridCol w:w="940"/>
        <w:gridCol w:w="709"/>
        <w:gridCol w:w="992"/>
      </w:tblGrid>
      <w:tr w:rsidR="00AB62C7" w:rsidRPr="00BC09B8" w:rsidTr="00AB62C7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Изменение ( +/-) </w:t>
            </w: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  <w:t>за январь – сентябрь 2019 года</w:t>
            </w:r>
          </w:p>
        </w:tc>
      </w:tr>
      <w:tr w:rsidR="00AB62C7" w:rsidRPr="00BC09B8" w:rsidTr="00AB62C7">
        <w:trPr>
          <w:trHeight w:val="42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октября 2019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октября 2019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AB62C7" w:rsidRPr="00BC09B8" w:rsidTr="00AB62C7">
        <w:trPr>
          <w:trHeight w:val="25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AB62C7" w:rsidRPr="00BC09B8" w:rsidTr="00AB62C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9 176,4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10 597,7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+1 421,3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15,5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AB62C7" w:rsidRPr="00BC09B8" w:rsidTr="00AB62C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7 749,5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b/>
                <w:bCs/>
                <w:color w:val="000000" w:themeColor="text1"/>
                <w:sz w:val="16"/>
                <w:szCs w:val="16"/>
              </w:rPr>
              <w:t>9 207,6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b/>
                <w:bCs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b/>
                <w:bCs/>
                <w:color w:val="000000" w:themeColor="text1"/>
                <w:sz w:val="16"/>
                <w:szCs w:val="16"/>
              </w:rPr>
              <w:t xml:space="preserve">86,9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+1 458,1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18,8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2,4   </w:t>
            </w:r>
          </w:p>
        </w:tc>
      </w:tr>
      <w:tr w:rsidR="00AB62C7" w:rsidRPr="00BC09B8" w:rsidTr="00AB62C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 в структуре государственных ценных бумаг: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AB62C7" w:rsidRPr="00BC09B8" w:rsidTr="00AB62C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4 929,4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6 354,2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63,6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69,0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+1 424,8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28,9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5,4   </w:t>
            </w:r>
          </w:p>
        </w:tc>
      </w:tr>
      <w:tr w:rsidR="00AB62C7" w:rsidRPr="00BC09B8" w:rsidTr="00AB62C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1 731,8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1 756,8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22,3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19,1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+25,0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- 3,2   </w:t>
            </w:r>
          </w:p>
        </w:tc>
      </w:tr>
      <w:tr w:rsidR="00AB62C7" w:rsidRPr="00BC09B8" w:rsidTr="00AB62C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416,9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377,9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4,1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- 39,0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- 9,3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- 1,3   </w:t>
            </w:r>
          </w:p>
        </w:tc>
      </w:tr>
      <w:tr w:rsidR="00AB62C7" w:rsidRPr="00BC09B8" w:rsidTr="00AB62C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253,5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296,4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3,2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+42,9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16,9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- 0,1   </w:t>
            </w:r>
          </w:p>
        </w:tc>
      </w:tr>
      <w:tr w:rsidR="00AB62C7" w:rsidRPr="00BC09B8" w:rsidTr="00AB62C7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230,3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2,5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- 0,5 </w:t>
            </w:r>
          </w:p>
        </w:tc>
      </w:tr>
      <w:tr w:rsidR="00AB62C7" w:rsidRPr="00BC09B8" w:rsidTr="00AB62C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132,0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1,4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- 0,3   </w:t>
            </w:r>
          </w:p>
        </w:tc>
      </w:tr>
      <w:tr w:rsidR="00AB62C7" w:rsidRPr="00BC09B8" w:rsidTr="00AB62C7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>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59,9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0,7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+4,3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7,7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BC09B8">
              <w:rPr>
                <w:color w:val="000000" w:themeColor="text1"/>
                <w:sz w:val="16"/>
                <w:szCs w:val="16"/>
              </w:rPr>
              <w:t xml:space="preserve">-   </w:t>
            </w:r>
          </w:p>
        </w:tc>
      </w:tr>
      <w:tr w:rsidR="00AB62C7" w:rsidRPr="00BC09B8" w:rsidTr="00AB62C7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1 426,9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1 390,1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13,1  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- 36,8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- 2,6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- 2,4   </w:t>
            </w:r>
          </w:p>
        </w:tc>
      </w:tr>
    </w:tbl>
    <w:p w:rsidR="00AB62C7" w:rsidRPr="00BC09B8" w:rsidRDefault="00AB62C7" w:rsidP="00AB62C7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BC09B8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:rsidR="00AB62C7" w:rsidRPr="00BC09B8" w:rsidRDefault="00AB62C7" w:rsidP="00AB62C7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BC09B8">
        <w:rPr>
          <w:color w:val="000000" w:themeColor="text1"/>
          <w:sz w:val="24"/>
          <w:szCs w:val="24"/>
        </w:rPr>
        <w:br w:type="page"/>
      </w: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BC09B8">
        <w:rPr>
          <w:color w:val="000000" w:themeColor="text1"/>
          <w:sz w:val="24"/>
          <w:szCs w:val="24"/>
        </w:rPr>
        <w:t xml:space="preserve">Таблица </w:t>
      </w:r>
      <w:r>
        <w:rPr>
          <w:color w:val="000000" w:themeColor="text1"/>
          <w:sz w:val="24"/>
          <w:szCs w:val="24"/>
        </w:rPr>
        <w:t>6</w:t>
      </w: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BC09B8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внешнего долга Российской Федерации в январе – сентябре 2019 года</w:t>
      </w:r>
    </w:p>
    <w:p w:rsidR="00AB62C7" w:rsidRPr="00BC09B8" w:rsidRDefault="00AB62C7" w:rsidP="00AB62C7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BC09B8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1" w:type="dxa"/>
        <w:tblInd w:w="-7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5"/>
        <w:gridCol w:w="1275"/>
        <w:gridCol w:w="1276"/>
        <w:gridCol w:w="1135"/>
        <w:gridCol w:w="850"/>
        <w:gridCol w:w="993"/>
      </w:tblGrid>
      <w:tr w:rsidR="00AB62C7" w:rsidRPr="00BC09B8" w:rsidTr="00AB62C7">
        <w:trPr>
          <w:trHeight w:val="127"/>
          <w:tblHeader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Категория долга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государственного внешнего долга </w:t>
            </w:r>
          </w:p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Российской Федерации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Изменение ( +/-) </w:t>
            </w: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  <w:t>за январь – сентябрь 2019 года</w:t>
            </w:r>
          </w:p>
        </w:tc>
      </w:tr>
      <w:tr w:rsidR="00AB62C7" w:rsidRPr="00BC09B8" w:rsidTr="00AB62C7">
        <w:trPr>
          <w:trHeight w:val="419"/>
          <w:tblHeader/>
        </w:trPr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октября 2019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октября 2019 года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процент - </w:t>
            </w:r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r w:rsidRPr="00BC09B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AB62C7" w:rsidRPr="00BC09B8" w:rsidTr="00AB62C7">
        <w:trPr>
          <w:trHeight w:val="357"/>
        </w:trPr>
        <w:tc>
          <w:tcPr>
            <w:tcW w:w="2551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49 156,5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53 625,5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+4 469,0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9,1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AB62C7" w:rsidRPr="00BC09B8" w:rsidTr="00AB62C7">
        <w:trPr>
          <w:trHeight w:val="255"/>
        </w:trPr>
        <w:tc>
          <w:tcPr>
            <w:tcW w:w="2551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AB62C7" w:rsidRPr="00BC09B8" w:rsidTr="00AB62C7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36 570,7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40 592,1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75,7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+4 021,4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+11,0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1,3</w:t>
            </w:r>
          </w:p>
        </w:tc>
      </w:tr>
      <w:tr w:rsidR="00AB62C7" w:rsidRPr="00BC09B8" w:rsidTr="00AB62C7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внешним облигационным займам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36 568,0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40 589,4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75,7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+4 021,4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+11,0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1,3</w:t>
            </w:r>
          </w:p>
        </w:tc>
      </w:tr>
      <w:tr w:rsidR="00AB62C7" w:rsidRPr="00BC09B8" w:rsidTr="00AB62C7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0,01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B62C7" w:rsidRPr="00BC09B8" w:rsidTr="00AB62C7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1 018,4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979,7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- 38,7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-0,3</w:t>
            </w:r>
          </w:p>
        </w:tc>
      </w:tr>
      <w:tr w:rsidR="00AB62C7" w:rsidRPr="00BC09B8" w:rsidTr="00AB62C7">
        <w:trPr>
          <w:trHeight w:val="90"/>
        </w:trPr>
        <w:tc>
          <w:tcPr>
            <w:tcW w:w="2551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489,4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454,4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-35,0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-7,2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-0,2</w:t>
            </w:r>
          </w:p>
        </w:tc>
      </w:tr>
      <w:tr w:rsidR="00AB62C7" w:rsidRPr="00BC09B8" w:rsidTr="00AB62C7">
        <w:trPr>
          <w:trHeight w:val="60"/>
        </w:trPr>
        <w:tc>
          <w:tcPr>
            <w:tcW w:w="2551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508,7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505,2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-3,5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-0,7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-0,1</w:t>
            </w:r>
          </w:p>
        </w:tc>
      </w:tr>
      <w:tr w:rsidR="00AB62C7" w:rsidRPr="00BC09B8" w:rsidTr="00AB62C7">
        <w:trPr>
          <w:trHeight w:val="86"/>
        </w:trPr>
        <w:tc>
          <w:tcPr>
            <w:tcW w:w="2551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20,3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20,1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B62C7" w:rsidRPr="00BC09B8" w:rsidTr="00AB62C7">
        <w:trPr>
          <w:trHeight w:val="480"/>
        </w:trPr>
        <w:tc>
          <w:tcPr>
            <w:tcW w:w="2551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11 567,4</w:t>
            </w:r>
          </w:p>
        </w:tc>
        <w:tc>
          <w:tcPr>
            <w:tcW w:w="1275" w:type="dxa"/>
            <w:vAlign w:val="center"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12 053,6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22,5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486,2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62C7" w:rsidRPr="00BC09B8" w:rsidRDefault="00AB62C7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-1,0</w:t>
            </w:r>
          </w:p>
        </w:tc>
      </w:tr>
    </w:tbl>
    <w:p w:rsidR="00AB62C7" w:rsidRPr="00BC09B8" w:rsidRDefault="00AB62C7" w:rsidP="00AB62C7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AB62C7" w:rsidRPr="00BC09B8" w:rsidRDefault="00AB62C7" w:rsidP="00AB62C7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AB62C7" w:rsidRPr="00BC09B8" w:rsidRDefault="00AB62C7" w:rsidP="00AB62C7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BC09B8">
        <w:rPr>
          <w:color w:val="000000" w:themeColor="text1"/>
          <w:sz w:val="24"/>
          <w:szCs w:val="24"/>
        </w:rPr>
        <w:br w:type="page"/>
      </w: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BC09B8">
        <w:rPr>
          <w:color w:val="000000" w:themeColor="text1"/>
          <w:sz w:val="24"/>
          <w:szCs w:val="24"/>
        </w:rPr>
        <w:lastRenderedPageBreak/>
        <w:t xml:space="preserve">Таблица </w:t>
      </w:r>
      <w:r>
        <w:rPr>
          <w:color w:val="000000" w:themeColor="text1"/>
          <w:sz w:val="24"/>
          <w:szCs w:val="24"/>
        </w:rPr>
        <w:t>7</w:t>
      </w:r>
    </w:p>
    <w:p w:rsidR="00AB62C7" w:rsidRPr="00BC09B8" w:rsidRDefault="00AB62C7" w:rsidP="00AB62C7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AB62C7" w:rsidRPr="00BC09B8" w:rsidRDefault="00AB62C7" w:rsidP="00AB62C7">
      <w:pPr>
        <w:widowControl w:val="0"/>
        <w:spacing w:line="240" w:lineRule="auto"/>
        <w:ind w:left="142" w:right="0" w:firstLine="0"/>
        <w:jc w:val="center"/>
        <w:rPr>
          <w:b/>
          <w:color w:val="000000" w:themeColor="text1"/>
          <w:sz w:val="24"/>
          <w:szCs w:val="24"/>
        </w:rPr>
      </w:pPr>
      <w:r w:rsidRPr="00BC09B8">
        <w:rPr>
          <w:b/>
          <w:color w:val="000000" w:themeColor="text1"/>
          <w:sz w:val="24"/>
          <w:szCs w:val="24"/>
        </w:rPr>
        <w:t>Анализ расходов на обслуживание государственного долга Российской Федерации</w:t>
      </w:r>
    </w:p>
    <w:p w:rsidR="00AB62C7" w:rsidRPr="00BC09B8" w:rsidRDefault="00AB62C7" w:rsidP="00D1373F">
      <w:pPr>
        <w:widowControl w:val="0"/>
        <w:spacing w:line="240" w:lineRule="auto"/>
        <w:ind w:left="142" w:right="283" w:firstLine="0"/>
        <w:jc w:val="center"/>
        <w:rPr>
          <w:rFonts w:eastAsia="Times New Roman"/>
          <w:b/>
          <w:iCs/>
          <w:color w:val="000000" w:themeColor="text1"/>
          <w:sz w:val="24"/>
          <w:szCs w:val="24"/>
        </w:rPr>
      </w:pPr>
    </w:p>
    <w:p w:rsidR="00AB62C7" w:rsidRPr="00BC09B8" w:rsidRDefault="00AB62C7" w:rsidP="00D1373F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  <w:r w:rsidRPr="00BC09B8">
        <w:rPr>
          <w:color w:val="000000" w:themeColor="text1"/>
          <w:sz w:val="18"/>
          <w:szCs w:val="16"/>
        </w:rPr>
        <w:t>(млн. р</w:t>
      </w:r>
      <w:bookmarkStart w:id="0" w:name="_GoBack"/>
      <w:bookmarkEnd w:id="0"/>
      <w:r w:rsidRPr="00BC09B8">
        <w:rPr>
          <w:color w:val="000000" w:themeColor="text1"/>
          <w:sz w:val="18"/>
          <w:szCs w:val="16"/>
        </w:rPr>
        <w:t>ублей)</w:t>
      </w:r>
    </w:p>
    <w:tbl>
      <w:tblPr>
        <w:tblW w:w="8978" w:type="dxa"/>
        <w:jc w:val="center"/>
        <w:tblInd w:w="-2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65"/>
        <w:gridCol w:w="1139"/>
        <w:gridCol w:w="1027"/>
        <w:gridCol w:w="1025"/>
        <w:gridCol w:w="881"/>
        <w:gridCol w:w="676"/>
        <w:gridCol w:w="797"/>
      </w:tblGrid>
      <w:tr w:rsidR="00D1373F" w:rsidRPr="00BC09B8" w:rsidTr="00D1373F">
        <w:trPr>
          <w:trHeight w:val="270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304" w:type="dxa"/>
            <w:gridSpan w:val="2"/>
            <w:vMerge w:val="restart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Исполнено 1 октября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Утверждено Федеральным законом</w:t>
            </w:r>
          </w:p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№ 459-ФЗ (с изменениями)</w:t>
            </w:r>
          </w:p>
        </w:tc>
        <w:tc>
          <w:tcPr>
            <w:tcW w:w="1025" w:type="dxa"/>
            <w:vMerge w:val="restart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Установлено сводной бюджетной росписью </w:t>
            </w:r>
          </w:p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на 1 октября 2019 года</w:t>
            </w:r>
          </w:p>
        </w:tc>
        <w:tc>
          <w:tcPr>
            <w:tcW w:w="2354" w:type="dxa"/>
            <w:gridSpan w:val="3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 1 октября 2019 года</w:t>
            </w:r>
          </w:p>
        </w:tc>
      </w:tr>
      <w:tr w:rsidR="00D1373F" w:rsidRPr="00BC09B8" w:rsidTr="00D1373F">
        <w:trPr>
          <w:trHeight w:val="161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304" w:type="dxa"/>
            <w:gridSpan w:val="2"/>
            <w:vMerge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25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vMerge w:val="restart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676" w:type="dxa"/>
            <w:vMerge w:val="restart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</w:t>
            </w:r>
            <w:proofErr w:type="spellStart"/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-денному объему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сводной </w:t>
            </w:r>
            <w:proofErr w:type="spellStart"/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бюд-жетной</w:t>
            </w:r>
            <w:proofErr w:type="spellEnd"/>
            <w:r w:rsidRPr="00BC09B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росписи</w:t>
            </w:r>
          </w:p>
        </w:tc>
      </w:tr>
      <w:tr w:rsidR="00D1373F" w:rsidRPr="00BC09B8" w:rsidTr="00D1373F">
        <w:trPr>
          <w:trHeight w:val="284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2017 года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2018 года</w:t>
            </w: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5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D1373F" w:rsidRPr="00BC09B8" w:rsidTr="00D1373F">
        <w:trPr>
          <w:trHeight w:val="54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542 120,7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621 262,2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819 038,9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819 038,9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532 231,3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65,0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65,0</w:t>
            </w:r>
          </w:p>
        </w:tc>
      </w:tr>
      <w:tr w:rsidR="00D1373F" w:rsidRPr="00BC09B8" w:rsidTr="00D1373F">
        <w:trPr>
          <w:trHeight w:val="331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4,8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5,5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4,5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4,3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4,4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D1373F" w:rsidRPr="00BC09B8" w:rsidTr="00D1373F">
        <w:trPr>
          <w:trHeight w:val="764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397 096,4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432 523,1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660 272,0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660 272,0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450 706,5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68,3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68,3</w:t>
            </w:r>
          </w:p>
        </w:tc>
      </w:tr>
      <w:tr w:rsidR="00D1373F" w:rsidRPr="00BC09B8" w:rsidTr="00D1373F">
        <w:trPr>
          <w:trHeight w:val="166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73,2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69,6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80,6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80,6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84,7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D1373F" w:rsidRPr="00BC09B8" w:rsidTr="00D1373F">
        <w:trPr>
          <w:trHeight w:val="553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145 024,3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188 739,1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158 766,9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158 766,9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81 524,8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51,3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51,3</w:t>
            </w:r>
          </w:p>
        </w:tc>
      </w:tr>
      <w:tr w:rsidR="00D1373F" w:rsidRPr="00BC09B8" w:rsidTr="00D1373F">
        <w:trPr>
          <w:trHeight w:val="622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26,8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30,4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19,4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19,4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15,3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D1373F" w:rsidRPr="00BC09B8" w:rsidTr="00D1373F">
        <w:trPr>
          <w:trHeight w:val="110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D1373F" w:rsidRPr="00BC09B8" w:rsidTr="00D1373F">
        <w:trPr>
          <w:trHeight w:val="60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бюджета, всего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D1373F" w:rsidRPr="00BC09B8" w:rsidRDefault="00D1373F" w:rsidP="00D1373F">
            <w:pPr>
              <w:overflowPunct/>
              <w:autoSpaceDE/>
              <w:autoSpaceDN/>
              <w:adjustRightInd/>
              <w:spacing w:line="240" w:lineRule="auto"/>
              <w:ind w:left="-57" w:right="-26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11 191 233,9</w:t>
            </w:r>
          </w:p>
        </w:tc>
        <w:tc>
          <w:tcPr>
            <w:tcW w:w="1139" w:type="dxa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11 370 206,5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18 293 710,9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19 139 400,6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12 048 250,5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65,9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D1373F" w:rsidRPr="00BC09B8" w:rsidRDefault="00D1373F" w:rsidP="00960020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C09B8">
              <w:rPr>
                <w:rFonts w:eastAsia="Times New Roman"/>
                <w:color w:val="000000" w:themeColor="text1"/>
                <w:sz w:val="14"/>
                <w:szCs w:val="14"/>
              </w:rPr>
              <w:t>62,9</w:t>
            </w:r>
          </w:p>
        </w:tc>
      </w:tr>
    </w:tbl>
    <w:p w:rsidR="00AB62C7" w:rsidRPr="00BC09B8" w:rsidRDefault="00AB62C7" w:rsidP="00AB62C7">
      <w:pPr>
        <w:spacing w:after="120"/>
        <w:ind w:left="0" w:right="-1"/>
        <w:rPr>
          <w:color w:val="000000" w:themeColor="text1"/>
          <w:sz w:val="24"/>
          <w:szCs w:val="24"/>
        </w:rPr>
      </w:pPr>
    </w:p>
    <w:p w:rsidR="006E27C0" w:rsidRPr="00EE0504" w:rsidRDefault="006E27C0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</w:p>
    <w:p w:rsidR="006150DB" w:rsidRPr="00EE0504" w:rsidRDefault="006150DB" w:rsidP="00890979">
      <w:pPr>
        <w:widowControl w:val="0"/>
        <w:numPr>
          <w:ilvl w:val="12"/>
          <w:numId w:val="0"/>
        </w:numPr>
        <w:tabs>
          <w:tab w:val="left" w:pos="1134"/>
        </w:tabs>
        <w:spacing w:line="336" w:lineRule="auto"/>
        <w:ind w:right="0" w:firstLine="709"/>
        <w:rPr>
          <w:color w:val="000000" w:themeColor="text1"/>
          <w:sz w:val="24"/>
          <w:szCs w:val="24"/>
        </w:rPr>
      </w:pPr>
    </w:p>
    <w:sectPr w:rsidR="006150DB" w:rsidRPr="00EE0504" w:rsidSect="00105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FC" w:rsidRDefault="00D00EFC" w:rsidP="00B8499A">
      <w:pPr>
        <w:spacing w:line="240" w:lineRule="auto"/>
      </w:pPr>
      <w:r>
        <w:separator/>
      </w:r>
    </w:p>
  </w:endnote>
  <w:endnote w:type="continuationSeparator" w:id="0">
    <w:p w:rsidR="00D00EFC" w:rsidRDefault="00D00EFC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FC" w:rsidRDefault="00D00EFC" w:rsidP="00B8499A">
      <w:pPr>
        <w:spacing w:line="240" w:lineRule="auto"/>
      </w:pPr>
      <w:r>
        <w:separator/>
      </w:r>
    </w:p>
  </w:footnote>
  <w:footnote w:type="continuationSeparator" w:id="0">
    <w:p w:rsidR="00D00EFC" w:rsidRDefault="00D00EFC" w:rsidP="00B8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326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B017D" w:rsidRPr="00B30D92" w:rsidRDefault="00BB017D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D1373F">
          <w:rPr>
            <w:noProof/>
            <w:sz w:val="24"/>
            <w:szCs w:val="24"/>
          </w:rPr>
          <w:t>7</w:t>
        </w:r>
        <w:r w:rsidRPr="00B30D92">
          <w:rPr>
            <w:sz w:val="24"/>
            <w:szCs w:val="24"/>
          </w:rPr>
          <w:fldChar w:fldCharType="end"/>
        </w:r>
      </w:p>
    </w:sdtContent>
  </w:sdt>
  <w:p w:rsidR="00BB017D" w:rsidRDefault="00BB017D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00A7B"/>
    <w:rsid w:val="00051434"/>
    <w:rsid w:val="00053B18"/>
    <w:rsid w:val="0005586E"/>
    <w:rsid w:val="000667DD"/>
    <w:rsid w:val="00074805"/>
    <w:rsid w:val="00077FB7"/>
    <w:rsid w:val="00087031"/>
    <w:rsid w:val="000A0F5B"/>
    <w:rsid w:val="000A2C5F"/>
    <w:rsid w:val="000A5FE0"/>
    <w:rsid w:val="000A69EA"/>
    <w:rsid w:val="000B3640"/>
    <w:rsid w:val="000C4393"/>
    <w:rsid w:val="000C5A6B"/>
    <w:rsid w:val="000C7450"/>
    <w:rsid w:val="000D0BB2"/>
    <w:rsid w:val="000D79C3"/>
    <w:rsid w:val="000E2009"/>
    <w:rsid w:val="000E25B5"/>
    <w:rsid w:val="000F0370"/>
    <w:rsid w:val="000F1F58"/>
    <w:rsid w:val="000F6589"/>
    <w:rsid w:val="00105F78"/>
    <w:rsid w:val="00106459"/>
    <w:rsid w:val="00112C2B"/>
    <w:rsid w:val="00112C4D"/>
    <w:rsid w:val="00126CF2"/>
    <w:rsid w:val="00135406"/>
    <w:rsid w:val="00136353"/>
    <w:rsid w:val="00151CFB"/>
    <w:rsid w:val="001545FD"/>
    <w:rsid w:val="0015546C"/>
    <w:rsid w:val="00161526"/>
    <w:rsid w:val="001707C1"/>
    <w:rsid w:val="00175669"/>
    <w:rsid w:val="00181DD5"/>
    <w:rsid w:val="0019145D"/>
    <w:rsid w:val="001976DA"/>
    <w:rsid w:val="001A3279"/>
    <w:rsid w:val="001A4E3F"/>
    <w:rsid w:val="001B4E91"/>
    <w:rsid w:val="001C27C1"/>
    <w:rsid w:val="001C6950"/>
    <w:rsid w:val="001C7632"/>
    <w:rsid w:val="001D0BFC"/>
    <w:rsid w:val="001D3263"/>
    <w:rsid w:val="001D5C10"/>
    <w:rsid w:val="001E2D9D"/>
    <w:rsid w:val="001F4623"/>
    <w:rsid w:val="00200AD8"/>
    <w:rsid w:val="0021443B"/>
    <w:rsid w:val="0021463C"/>
    <w:rsid w:val="00220D7F"/>
    <w:rsid w:val="002351C7"/>
    <w:rsid w:val="00240765"/>
    <w:rsid w:val="00243A41"/>
    <w:rsid w:val="00246959"/>
    <w:rsid w:val="00254D4B"/>
    <w:rsid w:val="00257D86"/>
    <w:rsid w:val="002733CC"/>
    <w:rsid w:val="00291773"/>
    <w:rsid w:val="0029447E"/>
    <w:rsid w:val="002A0E78"/>
    <w:rsid w:val="002A7C76"/>
    <w:rsid w:val="002B5608"/>
    <w:rsid w:val="002B7597"/>
    <w:rsid w:val="002B7CFF"/>
    <w:rsid w:val="002C0D71"/>
    <w:rsid w:val="002C1B3F"/>
    <w:rsid w:val="002D6930"/>
    <w:rsid w:val="002F2973"/>
    <w:rsid w:val="0030149F"/>
    <w:rsid w:val="00302584"/>
    <w:rsid w:val="0030468B"/>
    <w:rsid w:val="00314CD8"/>
    <w:rsid w:val="00314D16"/>
    <w:rsid w:val="003244D6"/>
    <w:rsid w:val="00325C31"/>
    <w:rsid w:val="00326742"/>
    <w:rsid w:val="00333FD1"/>
    <w:rsid w:val="00340F13"/>
    <w:rsid w:val="00342069"/>
    <w:rsid w:val="00355B7A"/>
    <w:rsid w:val="00362861"/>
    <w:rsid w:val="003644F2"/>
    <w:rsid w:val="00383E45"/>
    <w:rsid w:val="003A5113"/>
    <w:rsid w:val="003A71D7"/>
    <w:rsid w:val="003B3D9B"/>
    <w:rsid w:val="003C0B07"/>
    <w:rsid w:val="003C474F"/>
    <w:rsid w:val="003F185A"/>
    <w:rsid w:val="004006EC"/>
    <w:rsid w:val="004355AF"/>
    <w:rsid w:val="0044209D"/>
    <w:rsid w:val="0045176E"/>
    <w:rsid w:val="004577B0"/>
    <w:rsid w:val="004605DC"/>
    <w:rsid w:val="0046254F"/>
    <w:rsid w:val="0046405C"/>
    <w:rsid w:val="0048428C"/>
    <w:rsid w:val="004946D5"/>
    <w:rsid w:val="004A5233"/>
    <w:rsid w:val="004B301B"/>
    <w:rsid w:val="004B3449"/>
    <w:rsid w:val="004C3CA8"/>
    <w:rsid w:val="004E20A1"/>
    <w:rsid w:val="004E2914"/>
    <w:rsid w:val="005000A1"/>
    <w:rsid w:val="005127B8"/>
    <w:rsid w:val="005228B5"/>
    <w:rsid w:val="00536FE5"/>
    <w:rsid w:val="00547CF0"/>
    <w:rsid w:val="00565B24"/>
    <w:rsid w:val="0057508B"/>
    <w:rsid w:val="00592F6A"/>
    <w:rsid w:val="00594A20"/>
    <w:rsid w:val="005954ED"/>
    <w:rsid w:val="005A6239"/>
    <w:rsid w:val="005D7DE5"/>
    <w:rsid w:val="005E526D"/>
    <w:rsid w:val="006044EA"/>
    <w:rsid w:val="006065C7"/>
    <w:rsid w:val="006150DB"/>
    <w:rsid w:val="00670EF2"/>
    <w:rsid w:val="006722EB"/>
    <w:rsid w:val="00684C91"/>
    <w:rsid w:val="00687F36"/>
    <w:rsid w:val="006935AC"/>
    <w:rsid w:val="006A047B"/>
    <w:rsid w:val="006A08A9"/>
    <w:rsid w:val="006B6979"/>
    <w:rsid w:val="006C38EE"/>
    <w:rsid w:val="006D0BD6"/>
    <w:rsid w:val="006D3EDD"/>
    <w:rsid w:val="006D65E1"/>
    <w:rsid w:val="006E27C0"/>
    <w:rsid w:val="006F14FB"/>
    <w:rsid w:val="00711933"/>
    <w:rsid w:val="007252F2"/>
    <w:rsid w:val="0074331F"/>
    <w:rsid w:val="0074764F"/>
    <w:rsid w:val="00747658"/>
    <w:rsid w:val="007502E5"/>
    <w:rsid w:val="00753993"/>
    <w:rsid w:val="00755603"/>
    <w:rsid w:val="00760604"/>
    <w:rsid w:val="007835B5"/>
    <w:rsid w:val="00785577"/>
    <w:rsid w:val="007A1803"/>
    <w:rsid w:val="007A7EFF"/>
    <w:rsid w:val="007B0EF3"/>
    <w:rsid w:val="007C4623"/>
    <w:rsid w:val="007F56A8"/>
    <w:rsid w:val="0080395F"/>
    <w:rsid w:val="00812530"/>
    <w:rsid w:val="0083267B"/>
    <w:rsid w:val="00835DCD"/>
    <w:rsid w:val="008369ED"/>
    <w:rsid w:val="008375F5"/>
    <w:rsid w:val="00845692"/>
    <w:rsid w:val="00857B85"/>
    <w:rsid w:val="0088583D"/>
    <w:rsid w:val="00890979"/>
    <w:rsid w:val="008A6230"/>
    <w:rsid w:val="008C2B3D"/>
    <w:rsid w:val="008C2EB5"/>
    <w:rsid w:val="008D7F8E"/>
    <w:rsid w:val="008E781A"/>
    <w:rsid w:val="00940541"/>
    <w:rsid w:val="00950198"/>
    <w:rsid w:val="009609EF"/>
    <w:rsid w:val="009A0B49"/>
    <w:rsid w:val="009A4BCE"/>
    <w:rsid w:val="009B12E4"/>
    <w:rsid w:val="009C4224"/>
    <w:rsid w:val="009C5AE4"/>
    <w:rsid w:val="009D2AB2"/>
    <w:rsid w:val="009E0B3F"/>
    <w:rsid w:val="009E21C6"/>
    <w:rsid w:val="009E7A5A"/>
    <w:rsid w:val="009F3C2F"/>
    <w:rsid w:val="009F7DF8"/>
    <w:rsid w:val="00A01B47"/>
    <w:rsid w:val="00A04366"/>
    <w:rsid w:val="00A0506E"/>
    <w:rsid w:val="00A40F95"/>
    <w:rsid w:val="00A44879"/>
    <w:rsid w:val="00A66012"/>
    <w:rsid w:val="00A85A40"/>
    <w:rsid w:val="00A924AD"/>
    <w:rsid w:val="00AA144A"/>
    <w:rsid w:val="00AA2AF1"/>
    <w:rsid w:val="00AA5473"/>
    <w:rsid w:val="00AB497B"/>
    <w:rsid w:val="00AB62C7"/>
    <w:rsid w:val="00B1533C"/>
    <w:rsid w:val="00B26B42"/>
    <w:rsid w:val="00B30D92"/>
    <w:rsid w:val="00B33DCF"/>
    <w:rsid w:val="00B34999"/>
    <w:rsid w:val="00B36692"/>
    <w:rsid w:val="00B45E1F"/>
    <w:rsid w:val="00B5428B"/>
    <w:rsid w:val="00B573A9"/>
    <w:rsid w:val="00B60B07"/>
    <w:rsid w:val="00B61F50"/>
    <w:rsid w:val="00B71F58"/>
    <w:rsid w:val="00B76088"/>
    <w:rsid w:val="00B76A3E"/>
    <w:rsid w:val="00B83930"/>
    <w:rsid w:val="00B8499A"/>
    <w:rsid w:val="00B84D9D"/>
    <w:rsid w:val="00B87CCB"/>
    <w:rsid w:val="00BA7BD7"/>
    <w:rsid w:val="00BB017D"/>
    <w:rsid w:val="00BB33DB"/>
    <w:rsid w:val="00BC2916"/>
    <w:rsid w:val="00BC3742"/>
    <w:rsid w:val="00BC45B6"/>
    <w:rsid w:val="00BC4737"/>
    <w:rsid w:val="00BD0039"/>
    <w:rsid w:val="00BD33B3"/>
    <w:rsid w:val="00BE60B5"/>
    <w:rsid w:val="00BF3EF9"/>
    <w:rsid w:val="00C03F2F"/>
    <w:rsid w:val="00C30CAA"/>
    <w:rsid w:val="00C32EE1"/>
    <w:rsid w:val="00C478D7"/>
    <w:rsid w:val="00C506C6"/>
    <w:rsid w:val="00C510B8"/>
    <w:rsid w:val="00C5545C"/>
    <w:rsid w:val="00C62C90"/>
    <w:rsid w:val="00C662C1"/>
    <w:rsid w:val="00C662D4"/>
    <w:rsid w:val="00C731D4"/>
    <w:rsid w:val="00C82E46"/>
    <w:rsid w:val="00C86292"/>
    <w:rsid w:val="00C95FDC"/>
    <w:rsid w:val="00CA156E"/>
    <w:rsid w:val="00CA5A43"/>
    <w:rsid w:val="00CB47F8"/>
    <w:rsid w:val="00CD2D43"/>
    <w:rsid w:val="00CD43D0"/>
    <w:rsid w:val="00CD4A7D"/>
    <w:rsid w:val="00CD5290"/>
    <w:rsid w:val="00CD5308"/>
    <w:rsid w:val="00CE0A7B"/>
    <w:rsid w:val="00CE1648"/>
    <w:rsid w:val="00CE16E9"/>
    <w:rsid w:val="00CE42F6"/>
    <w:rsid w:val="00CF50AA"/>
    <w:rsid w:val="00CF67B5"/>
    <w:rsid w:val="00D00EFC"/>
    <w:rsid w:val="00D125C1"/>
    <w:rsid w:val="00D1373F"/>
    <w:rsid w:val="00D22DCF"/>
    <w:rsid w:val="00D24ED2"/>
    <w:rsid w:val="00D31073"/>
    <w:rsid w:val="00D33DDC"/>
    <w:rsid w:val="00D37D67"/>
    <w:rsid w:val="00D44885"/>
    <w:rsid w:val="00D515E3"/>
    <w:rsid w:val="00D54D1A"/>
    <w:rsid w:val="00D63C2E"/>
    <w:rsid w:val="00D76727"/>
    <w:rsid w:val="00D812FD"/>
    <w:rsid w:val="00D91678"/>
    <w:rsid w:val="00DA0074"/>
    <w:rsid w:val="00DA287A"/>
    <w:rsid w:val="00DA4947"/>
    <w:rsid w:val="00DC3941"/>
    <w:rsid w:val="00DD46D1"/>
    <w:rsid w:val="00DD68A2"/>
    <w:rsid w:val="00DD6E4B"/>
    <w:rsid w:val="00DE4E39"/>
    <w:rsid w:val="00DF21E4"/>
    <w:rsid w:val="00DF3AAB"/>
    <w:rsid w:val="00DF5C6E"/>
    <w:rsid w:val="00DF77E6"/>
    <w:rsid w:val="00E129AF"/>
    <w:rsid w:val="00E15E49"/>
    <w:rsid w:val="00E255C4"/>
    <w:rsid w:val="00E26CE6"/>
    <w:rsid w:val="00E45694"/>
    <w:rsid w:val="00E47D08"/>
    <w:rsid w:val="00E62C12"/>
    <w:rsid w:val="00E6353D"/>
    <w:rsid w:val="00E64951"/>
    <w:rsid w:val="00E66CBF"/>
    <w:rsid w:val="00E87538"/>
    <w:rsid w:val="00E87C1C"/>
    <w:rsid w:val="00E9172F"/>
    <w:rsid w:val="00EA2B00"/>
    <w:rsid w:val="00EA325E"/>
    <w:rsid w:val="00EC0A73"/>
    <w:rsid w:val="00EC16AC"/>
    <w:rsid w:val="00EE0504"/>
    <w:rsid w:val="00EE078B"/>
    <w:rsid w:val="00EE6E72"/>
    <w:rsid w:val="00F04280"/>
    <w:rsid w:val="00F11F6A"/>
    <w:rsid w:val="00F1303E"/>
    <w:rsid w:val="00F1569E"/>
    <w:rsid w:val="00F227D6"/>
    <w:rsid w:val="00F236B6"/>
    <w:rsid w:val="00F47346"/>
    <w:rsid w:val="00F50735"/>
    <w:rsid w:val="00F51452"/>
    <w:rsid w:val="00F61A35"/>
    <w:rsid w:val="00F629E1"/>
    <w:rsid w:val="00F65979"/>
    <w:rsid w:val="00F65A68"/>
    <w:rsid w:val="00F71698"/>
    <w:rsid w:val="00F758A0"/>
    <w:rsid w:val="00F77CC1"/>
    <w:rsid w:val="00F858DE"/>
    <w:rsid w:val="00FA1C6B"/>
    <w:rsid w:val="00FD356E"/>
    <w:rsid w:val="00FE19DA"/>
    <w:rsid w:val="00FE26BB"/>
    <w:rsid w:val="00FF1B38"/>
    <w:rsid w:val="00FF3CF5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yablova_mm\Documents\&#1057;&#1055;&#1056;&#1060;\&#1054;&#1087;&#1077;&#1088;&#1072;&#1090;&#1080;&#1074;&#1085;&#1099;&#1077;%20&#1086;&#1090;&#1095;&#1077;&#1090;&#1099;%20(&#1077;&#1078;&#1077;&#1084;&#1077;&#1089;&#1103;&#1095;&#1085;&#1099;&#1077;)\2019%20&#1075;&#1086;&#1076;\&#1089;&#1077;&#1085;&#1090;&#1103;&#1073;&#1088;&#1100;%202019\&#1055;&#1072;&#1096;&#1072;\&#1075;&#1088;&#1072;&#1092;&#1080;&#1082;&#1080;%20&#1089;&#1077;&#1085;&#1090;&#1103;&#1073;&#1088;&#1100;%20&#1087;&#1086;&#1089;&#1083;&#1077;%20&#1042;&#1042;&#104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251040662558166E-2"/>
          <c:y val="0.1709323649700904"/>
          <c:w val="0.67333513847220272"/>
          <c:h val="0.688337432867102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'12.2 нерезиденты'!$B$2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'12.2 нерезиденты'!$A$3:$A$11</c:f>
              <c:strCache>
                <c:ptCount val="4"/>
                <c:pt idx="0">
                  <c:v>01.10.2017</c:v>
                </c:pt>
                <c:pt idx="1">
                  <c:v>01.10.2018</c:v>
                </c:pt>
                <c:pt idx="2">
                  <c:v> 01.01.2019</c:v>
                </c:pt>
                <c:pt idx="3">
                  <c:v>01.10.2019</c:v>
                </c:pt>
              </c:strCache>
            </c:strRef>
          </c:cat>
          <c:val>
            <c:numRef>
              <c:f>'12.2 нерезиденты'!$B$3:$B$11</c:f>
              <c:numCache>
                <c:formatCode>#,##0</c:formatCode>
                <c:ptCount val="4"/>
                <c:pt idx="0">
                  <c:v>2181</c:v>
                </c:pt>
                <c:pt idx="1">
                  <c:v>1853</c:v>
                </c:pt>
                <c:pt idx="2">
                  <c:v>1790</c:v>
                </c:pt>
                <c:pt idx="3">
                  <c:v>2617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4376832"/>
        <c:axId val="303613056"/>
      </c:barChart>
      <c:lineChart>
        <c:grouping val="standard"/>
        <c:varyColors val="0"/>
        <c:ser>
          <c:idx val="1"/>
          <c:order val="1"/>
          <c:tx>
            <c:strRef>
              <c:f>'12.2 нерезиденты'!$C$2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'12.2 нерезиденты'!$A$3:$A$10</c:f>
              <c:strCache>
                <c:ptCount val="3"/>
                <c:pt idx="0">
                  <c:v>01.10.2017</c:v>
                </c:pt>
                <c:pt idx="1">
                  <c:v>01.10.2018</c:v>
                </c:pt>
                <c:pt idx="2">
                  <c:v> 01.01.2019</c:v>
                </c:pt>
              </c:strCache>
            </c:strRef>
          </c:cat>
          <c:val>
            <c:numRef>
              <c:f>'12.2 нерезиденты'!$C$3:$C$11</c:f>
              <c:numCache>
                <c:formatCode>General</c:formatCode>
                <c:ptCount val="4"/>
                <c:pt idx="0">
                  <c:v>33.200000000000003</c:v>
                </c:pt>
                <c:pt idx="1">
                  <c:v>25.8</c:v>
                </c:pt>
                <c:pt idx="2" formatCode="0.0">
                  <c:v>24.4</c:v>
                </c:pt>
                <c:pt idx="3" formatCode="0.0">
                  <c:v>29.8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5153024"/>
        <c:axId val="303533440"/>
      </c:lineChart>
      <c:catAx>
        <c:axId val="3043768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658880506048281E-4"/>
              <c:y val="2.2274047951634035E-3"/>
            </c:manualLayout>
          </c:layout>
          <c:overlay val="0"/>
        </c:title>
        <c:numFmt formatCode="m/d/yyyy" sourceLinked="1"/>
        <c:majorTickMark val="out"/>
        <c:minorTickMark val="none"/>
        <c:tickLblPos val="nextTo"/>
        <c:crossAx val="303613056"/>
        <c:crosses val="autoZero"/>
        <c:auto val="1"/>
        <c:lblAlgn val="ctr"/>
        <c:lblOffset val="100"/>
        <c:noMultiLvlLbl val="0"/>
      </c:catAx>
      <c:valAx>
        <c:axId val="303613056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304376832"/>
        <c:crosses val="autoZero"/>
        <c:crossBetween val="between"/>
      </c:valAx>
      <c:valAx>
        <c:axId val="303533440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305153024"/>
        <c:crosses val="max"/>
        <c:crossBetween val="between"/>
      </c:valAx>
      <c:catAx>
        <c:axId val="30515302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561122169815947"/>
              <c:y val="5.1967044902084961E-3"/>
            </c:manualLayout>
          </c:layout>
          <c:overlay val="0"/>
        </c:title>
        <c:numFmt formatCode="m/d/yyyy" sourceLinked="1"/>
        <c:majorTickMark val="out"/>
        <c:minorTickMark val="none"/>
        <c:tickLblPos val="nextTo"/>
        <c:crossAx val="30353344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7998158758353275"/>
          <c:y val="0"/>
          <c:w val="0.2181843913252246"/>
          <c:h val="0.5943702970585238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Зяблова М.М.</cp:lastModifiedBy>
  <cp:revision>13</cp:revision>
  <cp:lastPrinted>2019-10-29T14:52:00Z</cp:lastPrinted>
  <dcterms:created xsi:type="dcterms:W3CDTF">2019-10-30T08:00:00Z</dcterms:created>
  <dcterms:modified xsi:type="dcterms:W3CDTF">2019-10-30T08:52:00Z</dcterms:modified>
</cp:coreProperties>
</file>