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294B82" w:rsidRPr="00010997" w:rsidTr="0079142B">
        <w:tc>
          <w:tcPr>
            <w:tcW w:w="5920" w:type="dxa"/>
          </w:tcPr>
          <w:p w:rsidR="00294B82" w:rsidRPr="00010997" w:rsidRDefault="00294B82" w:rsidP="0079142B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651" w:type="dxa"/>
          </w:tcPr>
          <w:p w:rsidR="00294B82" w:rsidRPr="00010997" w:rsidRDefault="00795B4C" w:rsidP="000E3734">
            <w:pPr>
              <w:spacing w:line="240" w:lineRule="auto"/>
              <w:ind w:left="0" w:right="0" w:firstLine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</w:t>
            </w:r>
            <w:r w:rsidR="009E1E02">
              <w:rPr>
                <w:sz w:val="24"/>
                <w:szCs w:val="24"/>
              </w:rPr>
              <w:t>9</w:t>
            </w:r>
            <w:bookmarkStart w:id="0" w:name="_GoBack"/>
            <w:bookmarkEnd w:id="0"/>
          </w:p>
          <w:p w:rsidR="00294B82" w:rsidRDefault="00B4277E" w:rsidP="000E3734">
            <w:pPr>
              <w:spacing w:line="240" w:lineRule="auto"/>
              <w:ind w:left="0" w:right="0" w:firstLine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аналитической записке</w:t>
            </w:r>
          </w:p>
          <w:p w:rsidR="00E3223B" w:rsidRPr="00010997" w:rsidRDefault="00E3223B" w:rsidP="00C24D0A">
            <w:pPr>
              <w:spacing w:line="372" w:lineRule="auto"/>
              <w:ind w:left="0" w:right="0" w:firstLine="34"/>
              <w:jc w:val="left"/>
              <w:rPr>
                <w:sz w:val="24"/>
                <w:szCs w:val="24"/>
              </w:rPr>
            </w:pPr>
          </w:p>
        </w:tc>
      </w:tr>
    </w:tbl>
    <w:p w:rsidR="00F73119" w:rsidRPr="000662AB" w:rsidRDefault="00F73119" w:rsidP="0029372D">
      <w:pPr>
        <w:spacing w:line="240" w:lineRule="auto"/>
        <w:ind w:left="0" w:firstLine="0"/>
        <w:jc w:val="right"/>
        <w:rPr>
          <w:sz w:val="24"/>
        </w:rPr>
      </w:pPr>
    </w:p>
    <w:p w:rsidR="00E3223B" w:rsidRDefault="00E3223B" w:rsidP="00E3223B">
      <w:pPr>
        <w:spacing w:line="240" w:lineRule="auto"/>
        <w:ind w:left="0" w:firstLine="0"/>
        <w:jc w:val="right"/>
        <w:rPr>
          <w:b/>
          <w:sz w:val="24"/>
        </w:rPr>
      </w:pPr>
      <w:r w:rsidRPr="000662AB">
        <w:rPr>
          <w:sz w:val="24"/>
        </w:rPr>
        <w:t xml:space="preserve">Таблица </w:t>
      </w:r>
      <w:r w:rsidR="002A628F">
        <w:rPr>
          <w:sz w:val="24"/>
        </w:rPr>
        <w:t>1</w:t>
      </w:r>
    </w:p>
    <w:p w:rsidR="00E23B39" w:rsidRDefault="00E23B39" w:rsidP="008A42A3">
      <w:pPr>
        <w:spacing w:line="240" w:lineRule="auto"/>
        <w:ind w:left="0" w:firstLine="0"/>
        <w:jc w:val="center"/>
        <w:rPr>
          <w:b/>
          <w:sz w:val="24"/>
        </w:rPr>
      </w:pPr>
      <w:r>
        <w:rPr>
          <w:b/>
          <w:sz w:val="24"/>
        </w:rPr>
        <w:t>Информация о недостатках</w:t>
      </w:r>
    </w:p>
    <w:p w:rsidR="009F2053" w:rsidRPr="007C158A" w:rsidRDefault="00E23B39" w:rsidP="008A42A3">
      <w:pPr>
        <w:spacing w:line="240" w:lineRule="auto"/>
        <w:ind w:left="0" w:firstLine="0"/>
        <w:jc w:val="center"/>
        <w:rPr>
          <w:b/>
          <w:sz w:val="24"/>
        </w:rPr>
      </w:pPr>
      <w:r>
        <w:rPr>
          <w:b/>
          <w:sz w:val="24"/>
        </w:rPr>
        <w:t>в рамках реализации</w:t>
      </w:r>
      <w:r w:rsidR="009F2053" w:rsidRPr="009F2053">
        <w:rPr>
          <w:b/>
          <w:sz w:val="24"/>
        </w:rPr>
        <w:t xml:space="preserve"> </w:t>
      </w:r>
      <w:r>
        <w:rPr>
          <w:b/>
          <w:sz w:val="24"/>
        </w:rPr>
        <w:t>национальных проектов</w:t>
      </w:r>
      <w:r w:rsidR="009F2053" w:rsidRPr="009F2053">
        <w:rPr>
          <w:b/>
          <w:sz w:val="24"/>
        </w:rPr>
        <w:t xml:space="preserve"> (программам)</w:t>
      </w:r>
      <w:r w:rsidR="007C158A">
        <w:rPr>
          <w:b/>
          <w:sz w:val="24"/>
        </w:rPr>
        <w:t xml:space="preserve"> и Комплексного плана</w:t>
      </w:r>
      <w:r w:rsidR="007C158A" w:rsidRPr="007C158A">
        <w:rPr>
          <w:b/>
          <w:sz w:val="24"/>
          <w:szCs w:val="24"/>
          <w:u w:val="single"/>
        </w:rPr>
        <w:t xml:space="preserve"> </w:t>
      </w:r>
      <w:r w:rsidR="007C158A" w:rsidRPr="007C158A">
        <w:rPr>
          <w:b/>
          <w:sz w:val="24"/>
          <w:szCs w:val="24"/>
        </w:rPr>
        <w:t>модернизации и расширения магистральной инфраструктуры</w:t>
      </w:r>
    </w:p>
    <w:p w:rsidR="009F2053" w:rsidRPr="00EF5709" w:rsidRDefault="009F2053" w:rsidP="008A42A3">
      <w:pPr>
        <w:overflowPunct/>
        <w:autoSpaceDE/>
        <w:autoSpaceDN/>
        <w:adjustRightInd/>
        <w:ind w:left="0" w:right="0"/>
        <w:jc w:val="center"/>
        <w:textAlignment w:val="auto"/>
        <w:rPr>
          <w:sz w:val="24"/>
          <w:szCs w:val="24"/>
          <w:lang w:eastAsia="en-US"/>
        </w:rPr>
      </w:pPr>
    </w:p>
    <w:tbl>
      <w:tblPr>
        <w:tblStyle w:val="ae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05"/>
        <w:gridCol w:w="2189"/>
        <w:gridCol w:w="8363"/>
      </w:tblGrid>
      <w:tr w:rsidR="00BD6E99" w:rsidRPr="00452BB8" w:rsidTr="00452BB8">
        <w:trPr>
          <w:tblHeader/>
        </w:trPr>
        <w:tc>
          <w:tcPr>
            <w:tcW w:w="505" w:type="dxa"/>
          </w:tcPr>
          <w:p w:rsidR="00BD6E99" w:rsidRPr="00452BB8" w:rsidRDefault="00BD6E99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52BB8">
              <w:rPr>
                <w:rFonts w:eastAsia="Times New Roman"/>
                <w:b/>
                <w:sz w:val="20"/>
                <w:szCs w:val="20"/>
              </w:rPr>
              <w:t>п</w:t>
            </w:r>
            <w:proofErr w:type="gramEnd"/>
            <w:r w:rsidRPr="00452BB8">
              <w:rPr>
                <w:rFonts w:eastAsia="Times New Roman"/>
                <w:b/>
                <w:sz w:val="20"/>
                <w:szCs w:val="20"/>
                <w:lang w:val="en-US"/>
              </w:rPr>
              <w:t>/</w:t>
            </w:r>
            <w:r w:rsidRPr="00452BB8">
              <w:rPr>
                <w:rFonts w:eastAsia="Times New Roman"/>
                <w:b/>
                <w:sz w:val="20"/>
                <w:szCs w:val="20"/>
              </w:rPr>
              <w:t>п</w:t>
            </w:r>
          </w:p>
        </w:tc>
        <w:tc>
          <w:tcPr>
            <w:tcW w:w="2189" w:type="dxa"/>
          </w:tcPr>
          <w:p w:rsidR="00BD6E99" w:rsidRPr="00452BB8" w:rsidRDefault="00BD6E99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t xml:space="preserve">Наименование </w:t>
            </w:r>
            <w:r w:rsidR="00E23B39" w:rsidRPr="00452BB8">
              <w:rPr>
                <w:rFonts w:eastAsia="Times New Roman"/>
                <w:b/>
                <w:sz w:val="20"/>
                <w:szCs w:val="20"/>
              </w:rPr>
              <w:t>недостатка</w:t>
            </w:r>
          </w:p>
        </w:tc>
        <w:tc>
          <w:tcPr>
            <w:tcW w:w="8363" w:type="dxa"/>
          </w:tcPr>
          <w:p w:rsidR="00BD6E99" w:rsidRPr="00452BB8" w:rsidRDefault="00BD6E99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t xml:space="preserve">Недостатки, выявленные в ходе реализации </w:t>
            </w:r>
            <w:r w:rsidR="00E23B39" w:rsidRPr="00452BB8">
              <w:rPr>
                <w:rFonts w:eastAsia="Times New Roman"/>
                <w:b/>
                <w:sz w:val="20"/>
                <w:szCs w:val="20"/>
              </w:rPr>
              <w:t>национального</w:t>
            </w:r>
            <w:r w:rsidRPr="00452BB8">
              <w:rPr>
                <w:rFonts w:eastAsia="Times New Roman"/>
                <w:b/>
                <w:sz w:val="20"/>
                <w:szCs w:val="20"/>
              </w:rPr>
              <w:t xml:space="preserve"> проекта (программы)</w:t>
            </w:r>
          </w:p>
        </w:tc>
      </w:tr>
      <w:tr w:rsidR="001112DB" w:rsidRPr="00452BB8" w:rsidTr="00452BB8">
        <w:tc>
          <w:tcPr>
            <w:tcW w:w="505" w:type="dxa"/>
          </w:tcPr>
          <w:p w:rsidR="001112DB" w:rsidRPr="00452BB8" w:rsidRDefault="001112DB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t>1.</w:t>
            </w:r>
          </w:p>
        </w:tc>
        <w:tc>
          <w:tcPr>
            <w:tcW w:w="2189" w:type="dxa"/>
          </w:tcPr>
          <w:p w:rsidR="001112DB" w:rsidRPr="00452BB8" w:rsidRDefault="00600301" w:rsidP="00452BB8">
            <w:pPr>
              <w:spacing w:line="240" w:lineRule="auto"/>
              <w:ind w:left="0" w:right="0" w:firstLine="0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Международная кооперация и экспорт</w:t>
            </w:r>
          </w:p>
        </w:tc>
        <w:tc>
          <w:tcPr>
            <w:tcW w:w="8363" w:type="dxa"/>
          </w:tcPr>
          <w:p w:rsidR="00DF44D8" w:rsidRPr="00452BB8" w:rsidRDefault="00DF44D8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В рамках </w:t>
            </w:r>
            <w:r w:rsidRPr="00452BB8">
              <w:rPr>
                <w:rFonts w:eastAsiaTheme="minorHAnsi"/>
                <w:b/>
                <w:sz w:val="20"/>
                <w:szCs w:val="20"/>
                <w:lang w:eastAsia="en-US"/>
              </w:rPr>
              <w:t>национального проекта «Международная кооперация и экспорт»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исполнение расходов на субсидирование процентных ставок по экспортным кредитам и иным инструментам финансирования, аналогичным кредиту по экономической сути, предоставляемым коммерческими банками, осуществлялось </w:t>
            </w:r>
            <w:r w:rsidRPr="00452BB8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только за счет разрешенных к использованию остатков 2018 года 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и составило 821,2 млн. рублей (87 % разрешенного к использованию остатка в сумме 943,6 млн. рублей).</w:t>
            </w:r>
            <w:proofErr w:type="gram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Исполнение расходов за счет средств 2019 года не осуществлялось, в </w:t>
            </w: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связи</w:t>
            </w:r>
            <w:proofErr w:type="gram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с чем существуют риски образования остатков средств на указанные цели в текущем финансовом году (объем неиспользованных средств на 1 октября 2019 года - 3 300,0 млн. рублей). Проектным комитетом (протокол от 9 сентября 2019 г. № 7) принято решение о перераспределении значительного объема средств национального проекта. Одобрены решения по перераспределению бюджетных ассигнований на реализацию мероприятий национального проекта в 2019 году, а также на 2020 год и на плановый период 2021 и 2022 годов по всем федеральным проектам, входящи</w:t>
            </w:r>
            <w:r w:rsidR="001A77D7" w:rsidRPr="00452BB8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в состав национального проекта «Международная кооперация и экспорт».</w:t>
            </w:r>
          </w:p>
          <w:p w:rsidR="00DF44D8" w:rsidRPr="00452BB8" w:rsidRDefault="00DF44D8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Необходимо отметить, что исполнение расходов в рамках федерального проекта «Логистика международной торговли» осуществляется только с третьего квартала 2019 года, в том числе, на текущее содержание и эксплуатацию </w:t>
            </w:r>
            <w:proofErr w:type="spell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экспортноориентированных</w:t>
            </w:r>
            <w:proofErr w:type="spell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пунктов пропуска (исполнение 4,0 млн. рублей</w:t>
            </w:r>
            <w:r w:rsidR="001A77D7" w:rsidRPr="00452BB8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или 13 % показателя сводной росписи с изменениями), а также на строительство (модернизацию) пунктов пропуска через государственную границу Российской Федерации (исполнение 54,3 млн. рублей</w:t>
            </w:r>
            <w:r w:rsidR="001A77D7" w:rsidRPr="00452BB8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или 2,3 %).</w:t>
            </w:r>
            <w:proofErr w:type="gramEnd"/>
          </w:p>
          <w:p w:rsidR="00DF44D8" w:rsidRPr="00452BB8" w:rsidRDefault="00DF44D8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По федеральному проекту «Системные меры» осуществлялись расходы </w:t>
            </w:r>
            <w:proofErr w:type="spell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Минпромторгом</w:t>
            </w:r>
            <w:proofErr w:type="spell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России на обеспечение участия Российской Федерации во Всемирной универсальной выставке «ЭКСПО-2020» в г. Дубай (ОАЭ).</w:t>
            </w:r>
          </w:p>
          <w:p w:rsidR="00DF44D8" w:rsidRPr="00452BB8" w:rsidRDefault="00DF44D8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В рамках национального проекта в полном объеме не исполнены расходы Ростуризмом (821,3 млн. рублей), предусмотренные на реализацию федерального проекта  «Экспорт услуг», и </w:t>
            </w:r>
            <w:proofErr w:type="spell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Росимуществом</w:t>
            </w:r>
            <w:proofErr w:type="spell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(250,0 млн. рублей) в рамках реализации федерального проекта «Логистика международной торговли».</w:t>
            </w:r>
          </w:p>
          <w:p w:rsidR="00DF44D8" w:rsidRPr="00452BB8" w:rsidRDefault="00DF44D8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Низкое исполнение сложилось также по Минэкономразвития России (0,8 %), Минтрансу России (2,7 %) и Минсельхозу России (8,1 %).</w:t>
            </w:r>
          </w:p>
          <w:p w:rsidR="00DF44D8" w:rsidRPr="00452BB8" w:rsidRDefault="00DF44D8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Минэкономразвития России не осуществлялись расходы на государственную поддержку кредитных организаций в целях субсидирования процентны</w:t>
            </w:r>
            <w:r w:rsidR="0008665D" w:rsidRPr="00452BB8">
              <w:rPr>
                <w:rFonts w:eastAsiaTheme="minorHAnsi"/>
                <w:sz w:val="20"/>
                <w:szCs w:val="20"/>
                <w:lang w:eastAsia="en-US"/>
              </w:rPr>
              <w:t>х ставок по экспортным кредитам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08665D" w:rsidRPr="00452BB8"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3 300,0 млн. рублей</w:t>
            </w:r>
            <w:r w:rsidR="0008665D" w:rsidRPr="00452BB8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DF44D8" w:rsidRPr="00452BB8" w:rsidRDefault="00DF44D8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Низкое исполнение расходов по Минтрансу России связано с практически </w:t>
            </w: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полным</w:t>
            </w:r>
            <w:proofErr w:type="gram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неосвоением</w:t>
            </w:r>
            <w:proofErr w:type="spell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средств, предусмотренных на строительство (модернизацию) пунктов пропуска через государственную границу Российской Федерации (по состоянию на 1 октября 2019 года использовано 54,3 млн. рублей из 2 126,3 млн. рублей). Для проведения указанного мероприятия требуется, в том числе, формирование механизма закрытия пунктов пропуска либо приостановления их деятельности. Указанные процедуры должны реализовываться без возложения на собственников транспортной инфраструктуры дополнительных обязанностей, в ином случае необходимо внесение изменений в Закон Российской Федерации от 1 апреля 1993 г. № 4730-1 «О Государственной границе Российской Федерации». В связи с указанным решениями, отраженными в протоколе проектного комитета национального проекта «Международная кооперация и экспорт» от 19 августа 2019 № 6, Минтрансу России дано поручение проработать вопрос </w:t>
            </w: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целесообразности формирования проекта нормативного акта Правительства Российской Федерации</w:t>
            </w:r>
            <w:proofErr w:type="gram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DF44D8" w:rsidRPr="00452BB8" w:rsidRDefault="00DF44D8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Неисполнение расходов по Минсельхозу России сложилось, в основном в связи с неосуществлением расходов на возмещение недополученных российскими кредитными организациями доходов по кредитам организациям и индивидуальным предпринимателям, осуществляющим производство, первичную и (или) последующую переработку 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сельскохозяйственной продукции и ее реализацию по льготной ставке, на которые предусмотрены бюджетные ассигнования в  сумме 17 017,9 млн. рублей (78,7 % средств, предусмотренных сводной росписью по Минсельхозу России).</w:t>
            </w:r>
            <w:proofErr w:type="gramEnd"/>
          </w:p>
          <w:p w:rsidR="00600301" w:rsidRPr="00452BB8" w:rsidRDefault="00600301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По состоянию на 1 октября 2019 года в подсистеме управления проектами президиумом Совета утверждены четыре запроса на изменение паспорта национального проекта. Также </w:t>
            </w: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утверждены</w:t>
            </w:r>
            <w:proofErr w:type="gram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19 запросов на изменение федеральных проектов. </w:t>
            </w: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Наличие решений о корректировке показателей и результатов, перераспределении значительных объемов финансирования, необходимости дополнительного финансирования в целях достижения результатов национального проекта «Международная кооперация и экспорт», об изменении состава участников, корректировке мероприятий свидетельствует о недостатках планирования результатов и финансового обеспечения мероприятий национального и федеральных проектов и содержит риски </w:t>
            </w:r>
            <w:proofErr w:type="spell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недостижения</w:t>
            </w:r>
            <w:proofErr w:type="spell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показателей в планируемые сроки.</w:t>
            </w:r>
            <w:proofErr w:type="gramEnd"/>
          </w:p>
          <w:p w:rsidR="00600301" w:rsidRPr="00452BB8" w:rsidRDefault="00600301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Согласно данным паспорта, размещенного в ГИИС «Электронный бюджет», в 2019 году предоставление межбюджетных трансфертов из федерального бюджета в общем объеме 2 041,8 млн. рублей предусмотрено </w:t>
            </w:r>
            <w:r w:rsidR="00376E1A" w:rsidRPr="00452BB8">
              <w:rPr>
                <w:rFonts w:eastAsiaTheme="minorHAnsi"/>
                <w:sz w:val="20"/>
                <w:szCs w:val="20"/>
                <w:lang w:eastAsia="en-US"/>
              </w:rPr>
              <w:t>лишь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в рамках реализации </w:t>
            </w:r>
            <w:r w:rsidR="00A72DC1" w:rsidRPr="00452BB8">
              <w:rPr>
                <w:rFonts w:eastAsiaTheme="minorHAnsi"/>
                <w:sz w:val="20"/>
                <w:szCs w:val="20"/>
                <w:lang w:eastAsia="en-US"/>
              </w:rPr>
              <w:t>федерального проекта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«Экспорт продукции АПК», что не согласуется с данными отчета о реализации национального проекта по состоянию на 1 октября 2019 года, в котором объем межбюджетных трансфертов предусмотрен также по </w:t>
            </w:r>
            <w:r w:rsidR="0008665D" w:rsidRPr="00452BB8">
              <w:rPr>
                <w:rFonts w:eastAsiaTheme="minorHAnsi"/>
                <w:sz w:val="20"/>
                <w:szCs w:val="20"/>
                <w:lang w:eastAsia="en-US"/>
              </w:rPr>
              <w:t>федеральному</w:t>
            </w:r>
            <w:proofErr w:type="gramEnd"/>
            <w:r w:rsidR="0008665D"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проекту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«Промышленный экспорт» (1</w:t>
            </w:r>
            <w:r w:rsidR="00D32EC4" w:rsidRPr="00452BB8"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419,3</w:t>
            </w:r>
            <w:r w:rsidR="00D32EC4" w:rsidRPr="00452BB8"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млн. рублей). По остальным федеральным проектам, входящим в состав </w:t>
            </w:r>
            <w:r w:rsidR="00375CA7" w:rsidRPr="00452BB8">
              <w:rPr>
                <w:rFonts w:eastAsiaTheme="minorHAnsi"/>
                <w:sz w:val="20"/>
                <w:szCs w:val="20"/>
                <w:lang w:eastAsia="en-US"/>
              </w:rPr>
              <w:t>национального проекта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«Международная кооперация и экспорт», межбюджетные трансферты не предусмотрены. Степень достижения целевых и дополнительных показателей </w:t>
            </w:r>
            <w:r w:rsidR="00375CA7" w:rsidRPr="00452BB8">
              <w:rPr>
                <w:rFonts w:eastAsiaTheme="minorHAnsi"/>
                <w:sz w:val="20"/>
                <w:szCs w:val="20"/>
                <w:lang w:eastAsia="en-US"/>
              </w:rPr>
              <w:t>национального проекта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«Международная кооперация и экспорт» составляет от 43 % до 62</w:t>
            </w:r>
            <w:r w:rsidR="00375CA7" w:rsidRPr="00452BB8"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%. Значения за </w:t>
            </w:r>
            <w:r w:rsidR="00375CA7" w:rsidRPr="00452BB8">
              <w:rPr>
                <w:rFonts w:eastAsiaTheme="minorHAnsi"/>
                <w:sz w:val="20"/>
                <w:szCs w:val="20"/>
                <w:lang w:val="en-US" w:eastAsia="en-US"/>
              </w:rPr>
              <w:t>III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квартал </w:t>
            </w:r>
            <w:r w:rsidR="00375CA7"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2019 года 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указаны по состоянию</w:t>
            </w:r>
            <w:r w:rsidR="0008665D"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за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сем</w:t>
            </w:r>
            <w:r w:rsidR="0008665D" w:rsidRPr="00452BB8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месяцев 2019 года. Таким образом, достижение плановых показателей на конец года планируется в основном за счет прогнозируемого значительного увеличения значений показателей в </w:t>
            </w:r>
            <w:r w:rsidR="00375CA7" w:rsidRPr="00452BB8">
              <w:rPr>
                <w:rFonts w:eastAsiaTheme="minorHAnsi"/>
                <w:sz w:val="20"/>
                <w:szCs w:val="20"/>
                <w:lang w:val="en-US" w:eastAsia="en-US"/>
              </w:rPr>
              <w:t>IV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квартале 2019 года.</w:t>
            </w:r>
          </w:p>
          <w:p w:rsidR="00600301" w:rsidRPr="00452BB8" w:rsidRDefault="00600301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По всем федеральным проектам </w:t>
            </w:r>
            <w:r w:rsidR="00A72DC1" w:rsidRPr="00452BB8">
              <w:rPr>
                <w:rFonts w:eastAsiaTheme="minorHAnsi"/>
                <w:sz w:val="20"/>
                <w:szCs w:val="20"/>
                <w:lang w:eastAsia="en-US"/>
              </w:rPr>
              <w:t>национального проекта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«Международная кооперация и экспорт» </w:t>
            </w:r>
            <w:r w:rsidR="00375CA7" w:rsidRPr="00452BB8">
              <w:rPr>
                <w:rFonts w:eastAsiaTheme="minorHAnsi"/>
                <w:sz w:val="20"/>
                <w:szCs w:val="20"/>
                <w:lang w:eastAsia="en-US"/>
              </w:rPr>
              <w:t>отмеча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ются отклонения сроков достижения результатов, а также </w:t>
            </w:r>
            <w:proofErr w:type="spell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недостижение</w:t>
            </w:r>
            <w:proofErr w:type="spell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результатов в плановые сроки.</w:t>
            </w:r>
          </w:p>
          <w:p w:rsidR="00600301" w:rsidRPr="00452BB8" w:rsidRDefault="00600301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Из 9 целей и показателей только по одному показателю «Объем экспорта транспортных услуг» отсутствуют отклонения. По 8 показателям зафиксированы отклонения.</w:t>
            </w:r>
          </w:p>
          <w:p w:rsidR="001112DB" w:rsidRPr="00452BB8" w:rsidRDefault="00600301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В паспорте </w:t>
            </w:r>
            <w:r w:rsidR="00A72DC1" w:rsidRPr="00452BB8">
              <w:rPr>
                <w:rFonts w:eastAsiaTheme="minorHAnsi"/>
                <w:sz w:val="20"/>
                <w:szCs w:val="20"/>
                <w:lang w:eastAsia="en-US"/>
              </w:rPr>
              <w:t>национального проекта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«Международная кооперация и экспорт» отдельный показатель «Объем экспорта оказываемых услуг» не предусмотрен и приведен в составе целевого показателя «Достижение объема экспорта (в стоимостном выражении) </w:t>
            </w:r>
            <w:proofErr w:type="spell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несырьевых</w:t>
            </w:r>
            <w:proofErr w:type="spell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неэнергетических товаров в размере 250 млрд</w:t>
            </w:r>
            <w:r w:rsidR="00E77A2E" w:rsidRPr="00452BB8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долларов США в год, в том числе продукции машиностроения - 50 млрд</w:t>
            </w:r>
            <w:r w:rsidR="00E77A2E" w:rsidRPr="00452BB8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долларов США в год и продукции агропр</w:t>
            </w:r>
            <w:r w:rsidR="00E77A2E" w:rsidRPr="00452BB8">
              <w:rPr>
                <w:rFonts w:eastAsiaTheme="minorHAnsi"/>
                <w:sz w:val="20"/>
                <w:szCs w:val="20"/>
                <w:lang w:eastAsia="en-US"/>
              </w:rPr>
              <w:t>омышленного комплекса - 45 млрд.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долларов США в год</w:t>
            </w:r>
            <w:proofErr w:type="gram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, а также объема экспорта оказы</w:t>
            </w:r>
            <w:r w:rsidR="00E77A2E" w:rsidRPr="00452BB8">
              <w:rPr>
                <w:rFonts w:eastAsiaTheme="minorHAnsi"/>
                <w:sz w:val="20"/>
                <w:szCs w:val="20"/>
                <w:lang w:eastAsia="en-US"/>
              </w:rPr>
              <w:t>ваемых услуг в размере 100 млрд.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долларов США в год»</w:t>
            </w:r>
          </w:p>
        </w:tc>
      </w:tr>
      <w:tr w:rsidR="00783072" w:rsidRPr="00452BB8" w:rsidTr="00452BB8">
        <w:tc>
          <w:tcPr>
            <w:tcW w:w="505" w:type="dxa"/>
          </w:tcPr>
          <w:p w:rsidR="00783072" w:rsidRPr="00452BB8" w:rsidRDefault="001112DB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lastRenderedPageBreak/>
              <w:t>2</w:t>
            </w:r>
            <w:r w:rsidR="00783072" w:rsidRPr="00452BB8">
              <w:rPr>
                <w:rFonts w:eastAsia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189" w:type="dxa"/>
          </w:tcPr>
          <w:p w:rsidR="00783072" w:rsidRPr="00452BB8" w:rsidRDefault="00600301" w:rsidP="00452BB8">
            <w:pPr>
              <w:spacing w:line="240" w:lineRule="auto"/>
              <w:ind w:left="0" w:right="0" w:firstLine="0"/>
              <w:rPr>
                <w:sz w:val="20"/>
                <w:szCs w:val="20"/>
              </w:rPr>
            </w:pPr>
            <w:r w:rsidRPr="00452BB8">
              <w:rPr>
                <w:sz w:val="20"/>
                <w:szCs w:val="20"/>
              </w:rPr>
              <w:t>Культура</w:t>
            </w:r>
          </w:p>
        </w:tc>
        <w:tc>
          <w:tcPr>
            <w:tcW w:w="8363" w:type="dxa"/>
            <w:shd w:val="clear" w:color="auto" w:fill="auto"/>
          </w:tcPr>
          <w:p w:rsidR="00EA7C2A" w:rsidRPr="00452BB8" w:rsidRDefault="00EA7C2A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В рамках реализации </w:t>
            </w:r>
            <w:r w:rsidRPr="00452BB8">
              <w:rPr>
                <w:b/>
                <w:sz w:val="20"/>
                <w:szCs w:val="20"/>
                <w:lang w:eastAsia="en-US"/>
              </w:rPr>
              <w:t xml:space="preserve">национального проекта «Культура» </w:t>
            </w:r>
            <w:r w:rsidRPr="00452BB8">
              <w:rPr>
                <w:sz w:val="20"/>
                <w:szCs w:val="20"/>
                <w:lang w:eastAsia="en-US"/>
              </w:rPr>
              <w:t xml:space="preserve">низкий уровень исполнения сложился по федеральному проекту «Цифровая культура» </w:t>
            </w:r>
            <w:r w:rsidR="00E77A2E" w:rsidRPr="00452BB8">
              <w:rPr>
                <w:sz w:val="20"/>
                <w:szCs w:val="20"/>
                <w:lang w:eastAsia="en-US"/>
              </w:rPr>
              <w:t xml:space="preserve">- </w:t>
            </w:r>
            <w:r w:rsidRPr="00452BB8">
              <w:rPr>
                <w:sz w:val="20"/>
                <w:szCs w:val="20"/>
                <w:lang w:eastAsia="en-US"/>
              </w:rPr>
              <w:t>47,4 % показателя сводной росписи с изменениями. В отчетном периоде на уровне 5 % исполнены расходы на закупку товаров, работ (услуг), что связано с длительностью проведения конкурсных процедур. По основному мероприятию федерального проекта «Создание и распространение контента в сети «Интернет», направленного на укрепление гражданской идентичности и духовно-нравственных ценностей среди молодежи»</w:t>
            </w:r>
            <w:r w:rsidR="00E77A2E" w:rsidRPr="00452BB8">
              <w:rPr>
                <w:sz w:val="20"/>
                <w:szCs w:val="20"/>
                <w:lang w:eastAsia="en-US"/>
              </w:rPr>
              <w:t>,</w:t>
            </w:r>
            <w:r w:rsidRPr="00452BB8">
              <w:rPr>
                <w:sz w:val="20"/>
                <w:szCs w:val="20"/>
                <w:lang w:eastAsia="en-US"/>
              </w:rPr>
              <w:t xml:space="preserve"> исполнен</w:t>
            </w:r>
            <w:r w:rsidR="00E77A2E" w:rsidRPr="00452BB8">
              <w:rPr>
                <w:sz w:val="20"/>
                <w:szCs w:val="20"/>
                <w:lang w:eastAsia="en-US"/>
              </w:rPr>
              <w:t>ие расходов составило</w:t>
            </w:r>
            <w:r w:rsidRPr="00452BB8">
              <w:rPr>
                <w:sz w:val="20"/>
                <w:szCs w:val="20"/>
                <w:lang w:eastAsia="en-US"/>
              </w:rPr>
              <w:t xml:space="preserve"> 47,6 %.  </w:t>
            </w:r>
          </w:p>
          <w:p w:rsidR="00EA7C2A" w:rsidRPr="00452BB8" w:rsidRDefault="00EA7C2A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sz w:val="20"/>
                <w:szCs w:val="20"/>
                <w:lang w:eastAsia="en-US"/>
              </w:rPr>
              <w:t xml:space="preserve">По федеральному проекту «Культурная среда» исполнение составило 63 %. Не в полном объеме перечислены в бюджеты субъектов Российской Федерации субсидии на государственную поддержку </w:t>
            </w:r>
            <w:r w:rsidR="00E77A2E" w:rsidRPr="00452BB8">
              <w:rPr>
                <w:sz w:val="20"/>
                <w:szCs w:val="20"/>
                <w:lang w:eastAsia="en-US"/>
              </w:rPr>
              <w:t>отрасли культуры (55,6 %),</w:t>
            </w:r>
            <w:r w:rsidRPr="00452BB8">
              <w:rPr>
                <w:sz w:val="20"/>
                <w:szCs w:val="20"/>
                <w:lang w:eastAsia="en-US"/>
              </w:rPr>
              <w:t xml:space="preserve"> реализацию мероприятий по устойчивому развит</w:t>
            </w:r>
            <w:r w:rsidR="00E77A2E" w:rsidRPr="00452BB8">
              <w:rPr>
                <w:sz w:val="20"/>
                <w:szCs w:val="20"/>
                <w:lang w:eastAsia="en-US"/>
              </w:rPr>
              <w:t>ию сельских территорий (54,1 %),</w:t>
            </w:r>
            <w:r w:rsidRPr="00452BB8">
              <w:rPr>
                <w:sz w:val="20"/>
                <w:szCs w:val="20"/>
                <w:lang w:eastAsia="en-US"/>
              </w:rPr>
              <w:t xml:space="preserve"> модернизацию театров юного зрителя и театров кукол (35,6 %), а также расходы на закупку музыкальных инструментов для оснащения детских школ искусств в рамках совместной программы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Минпромторга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России и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Минкультуры России (55,2 %). </w:t>
            </w:r>
          </w:p>
          <w:p w:rsidR="00EA7C2A" w:rsidRPr="00452BB8" w:rsidRDefault="00EA7C2A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Отмечаются следующие основные причины неисполнения расходов Минкультуры России: поэтапная оплата работ в соответствии с условиями заключения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госконтрактов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>; длительность проведения конкурсных процедур.</w:t>
            </w:r>
          </w:p>
          <w:p w:rsidR="00600301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По </w:t>
            </w:r>
            <w:r w:rsidR="00EA7C2A" w:rsidRPr="00452BB8">
              <w:rPr>
                <w:sz w:val="20"/>
                <w:szCs w:val="20"/>
                <w:lang w:eastAsia="en-US"/>
              </w:rPr>
              <w:t>национальному</w:t>
            </w:r>
            <w:r w:rsidR="00375CA7" w:rsidRPr="00452BB8">
              <w:rPr>
                <w:sz w:val="20"/>
                <w:szCs w:val="20"/>
                <w:lang w:eastAsia="en-US"/>
              </w:rPr>
              <w:t xml:space="preserve"> проекту </w:t>
            </w:r>
            <w:r w:rsidRPr="00452BB8">
              <w:rPr>
                <w:sz w:val="20"/>
                <w:szCs w:val="20"/>
                <w:lang w:eastAsia="en-US"/>
              </w:rPr>
              <w:t>плановые сроки реализации мероприятий (</w:t>
            </w:r>
            <w:r w:rsidR="00375CA7" w:rsidRPr="00452BB8">
              <w:rPr>
                <w:sz w:val="20"/>
                <w:szCs w:val="20"/>
                <w:lang w:eastAsia="en-US"/>
              </w:rPr>
              <w:t xml:space="preserve">контрольных точек) определены с 1 по 31 декабря </w:t>
            </w:r>
            <w:r w:rsidRPr="00452BB8">
              <w:rPr>
                <w:sz w:val="20"/>
                <w:szCs w:val="20"/>
                <w:lang w:eastAsia="en-US"/>
              </w:rPr>
              <w:t>2019 г</w:t>
            </w:r>
            <w:r w:rsidR="00375CA7" w:rsidRPr="00452BB8">
              <w:rPr>
                <w:sz w:val="20"/>
                <w:szCs w:val="20"/>
                <w:lang w:eastAsia="en-US"/>
              </w:rPr>
              <w:t>ода.</w:t>
            </w:r>
            <w:r w:rsidRPr="00452BB8">
              <w:rPr>
                <w:sz w:val="20"/>
                <w:szCs w:val="20"/>
                <w:lang w:eastAsia="en-US"/>
              </w:rPr>
              <w:t xml:space="preserve"> </w:t>
            </w:r>
          </w:p>
          <w:p w:rsidR="00600301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Согласно отчету, предста</w:t>
            </w:r>
            <w:r w:rsidR="00375CA7" w:rsidRPr="00452BB8">
              <w:rPr>
                <w:sz w:val="20"/>
                <w:szCs w:val="20"/>
                <w:lang w:eastAsia="en-US"/>
              </w:rPr>
              <w:t>вленному Минкультуры России на 1 октября 2019 года</w:t>
            </w:r>
            <w:r w:rsidRPr="00452BB8">
              <w:rPr>
                <w:sz w:val="20"/>
                <w:szCs w:val="20"/>
                <w:lang w:eastAsia="en-US"/>
              </w:rPr>
              <w:t xml:space="preserve">, в отчетном периоде значение показателя «Доля граждан Российской Федерации, удовлетворенных качеством предоставления услуг в сфере культуры» составило 48,8 % (плановое значение отсутствует, фактически достигнутые значения – результаты социологического опроса ФСО России, характеризующие информированность и узнаваемость </w:t>
            </w:r>
            <w:r w:rsidRPr="00452BB8">
              <w:rPr>
                <w:sz w:val="20"/>
                <w:szCs w:val="20"/>
                <w:lang w:eastAsia="en-US"/>
              </w:rPr>
              <w:lastRenderedPageBreak/>
              <w:t>г</w:t>
            </w:r>
            <w:r w:rsidR="00E77A2E" w:rsidRPr="00452BB8">
              <w:rPr>
                <w:sz w:val="20"/>
                <w:szCs w:val="20"/>
                <w:lang w:eastAsia="en-US"/>
              </w:rPr>
              <w:t>раждан о национальных проектах).</w:t>
            </w:r>
          </w:p>
          <w:p w:rsidR="00600301" w:rsidRPr="00452BB8" w:rsidRDefault="00E77A2E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П</w:t>
            </w:r>
            <w:r w:rsidR="00600301" w:rsidRPr="00452BB8">
              <w:rPr>
                <w:sz w:val="20"/>
                <w:szCs w:val="20"/>
                <w:lang w:eastAsia="en-US"/>
              </w:rPr>
              <w:t>о показателю «Количество созданных (реконструированных) и капитально отремонтированных объектов организации культуры (нарастающим итогом), (ед.) по данным мониторинга Минкультуры России за 9 месяцев 2019 г</w:t>
            </w:r>
            <w:r w:rsidR="00375CA7" w:rsidRPr="00452BB8">
              <w:rPr>
                <w:sz w:val="20"/>
                <w:szCs w:val="20"/>
                <w:lang w:eastAsia="en-US"/>
              </w:rPr>
              <w:t>ода</w:t>
            </w:r>
            <w:r w:rsidR="00600301" w:rsidRPr="00452BB8">
              <w:rPr>
                <w:sz w:val="20"/>
                <w:szCs w:val="20"/>
                <w:lang w:eastAsia="en-US"/>
              </w:rPr>
              <w:t xml:space="preserve"> плановое значение показателя перевыполнено (127,1 %), при плановом значении 723</w:t>
            </w:r>
            <w:r w:rsidR="00375CA7" w:rsidRPr="00452BB8">
              <w:rPr>
                <w:sz w:val="20"/>
                <w:szCs w:val="20"/>
                <w:lang w:eastAsia="en-US"/>
              </w:rPr>
              <w:t> </w:t>
            </w:r>
            <w:r w:rsidR="00600301" w:rsidRPr="00452BB8">
              <w:rPr>
                <w:sz w:val="20"/>
                <w:szCs w:val="20"/>
                <w:lang w:eastAsia="en-US"/>
              </w:rPr>
              <w:t>ед., фактически сложившийся результат</w:t>
            </w:r>
            <w:r w:rsidR="00EA7C2A" w:rsidRPr="00452BB8">
              <w:rPr>
                <w:sz w:val="20"/>
                <w:szCs w:val="20"/>
                <w:lang w:eastAsia="en-US"/>
              </w:rPr>
              <w:t> </w:t>
            </w:r>
            <w:r w:rsidRPr="00452BB8">
              <w:rPr>
                <w:sz w:val="20"/>
                <w:szCs w:val="20"/>
                <w:lang w:eastAsia="en-US"/>
              </w:rPr>
              <w:t>– 919.</w:t>
            </w:r>
          </w:p>
          <w:p w:rsidR="00600301" w:rsidRPr="00452BB8" w:rsidRDefault="00E77A2E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П</w:t>
            </w:r>
            <w:r w:rsidR="00600301" w:rsidRPr="00452BB8">
              <w:rPr>
                <w:sz w:val="20"/>
                <w:szCs w:val="20"/>
                <w:lang w:eastAsia="en-US"/>
              </w:rPr>
              <w:t xml:space="preserve">о </w:t>
            </w:r>
            <w:r w:rsidRPr="00452BB8">
              <w:rPr>
                <w:sz w:val="20"/>
                <w:szCs w:val="20"/>
                <w:lang w:eastAsia="en-US"/>
              </w:rPr>
              <w:t>показателю «К</w:t>
            </w:r>
            <w:r w:rsidR="00600301" w:rsidRPr="00452BB8">
              <w:rPr>
                <w:sz w:val="20"/>
                <w:szCs w:val="20"/>
                <w:lang w:eastAsia="en-US"/>
              </w:rPr>
              <w:t>оличеств</w:t>
            </w:r>
            <w:r w:rsidRPr="00452BB8">
              <w:rPr>
                <w:sz w:val="20"/>
                <w:szCs w:val="20"/>
                <w:lang w:eastAsia="en-US"/>
              </w:rPr>
              <w:t>о</w:t>
            </w:r>
            <w:r w:rsidR="00600301" w:rsidRPr="00452BB8">
              <w:rPr>
                <w:sz w:val="20"/>
                <w:szCs w:val="20"/>
                <w:lang w:eastAsia="en-US"/>
              </w:rPr>
              <w:t xml:space="preserve"> организаций культуры, получивших современное оборудование (ед.) (нарастающим итогом)</w:t>
            </w:r>
            <w:r w:rsidRPr="00452BB8">
              <w:rPr>
                <w:sz w:val="20"/>
                <w:szCs w:val="20"/>
                <w:lang w:eastAsia="en-US"/>
              </w:rPr>
              <w:t>»</w:t>
            </w:r>
            <w:r w:rsidR="00600301" w:rsidRPr="00452BB8">
              <w:rPr>
                <w:sz w:val="20"/>
                <w:szCs w:val="20"/>
                <w:lang w:eastAsia="en-US"/>
              </w:rPr>
              <w:t xml:space="preserve"> уровень выполнения составил 50,9 % (при плановом значении 2399 единиц, фактически достигнутое значение – 1221).</w:t>
            </w:r>
          </w:p>
          <w:p w:rsidR="00600301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Согласно разделу отчета «Сведения о достижении результатов, контрольных точек и мероприятий» практически по всем мероприятиям (контрольным точкам) достижение результатов на отчетную дату отсутствует, статус исполнения по всем мероприятиям определен «в работе».  </w:t>
            </w:r>
          </w:p>
          <w:p w:rsidR="00600301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Необходимо отметить, что по мероприятию (контрольной точке) «Оснащены оборудованием кинозалы» заключение соглашений Минкультуры России с юридическими (физическими) лицами осуществлено с </w:t>
            </w:r>
            <w:r w:rsidR="00375CA7" w:rsidRPr="00452BB8">
              <w:rPr>
                <w:sz w:val="20"/>
                <w:szCs w:val="20"/>
                <w:lang w:eastAsia="en-US"/>
              </w:rPr>
              <w:t>превышением сроков</w:t>
            </w:r>
            <w:r w:rsidRPr="00452BB8">
              <w:rPr>
                <w:sz w:val="20"/>
                <w:szCs w:val="20"/>
                <w:lang w:eastAsia="en-US"/>
              </w:rPr>
              <w:t xml:space="preserve"> на 34 дня. </w:t>
            </w:r>
          </w:p>
          <w:p w:rsidR="00600301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В рамках мероприятия «Построены (реконструированы) и (или) капитально отремонтированы культурно-досуговые учреждения в сельской местности» представлен земельный участок и положительные заключения государственных экспертиз на строительство (реконструкцию), капитальный ремонт объектов.</w:t>
            </w:r>
          </w:p>
          <w:p w:rsidR="00600301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sz w:val="20"/>
                <w:szCs w:val="20"/>
                <w:lang w:eastAsia="en-US"/>
              </w:rPr>
              <w:t>Согласно информации, представленной Минкультуры России</w:t>
            </w:r>
            <w:r w:rsidR="00E77A2E" w:rsidRPr="00452BB8">
              <w:rPr>
                <w:sz w:val="20"/>
                <w:szCs w:val="20"/>
                <w:lang w:eastAsia="en-US"/>
              </w:rPr>
              <w:t>,</w:t>
            </w:r>
            <w:r w:rsidRPr="00452BB8">
              <w:rPr>
                <w:sz w:val="20"/>
                <w:szCs w:val="20"/>
                <w:lang w:eastAsia="en-US"/>
              </w:rPr>
              <w:t xml:space="preserve"> по </w:t>
            </w:r>
            <w:r w:rsidR="00A72DC1" w:rsidRPr="00452BB8">
              <w:rPr>
                <w:sz w:val="20"/>
                <w:szCs w:val="20"/>
                <w:lang w:eastAsia="en-US"/>
              </w:rPr>
              <w:t>федеральному проекту</w:t>
            </w:r>
            <w:r w:rsidRPr="00452BB8">
              <w:rPr>
                <w:sz w:val="20"/>
                <w:szCs w:val="20"/>
                <w:lang w:eastAsia="en-US"/>
              </w:rPr>
              <w:t> «Творческие люди» в отчетном периоде исполнено мероприятие «Создание национального молодежного симфонического оркестра» (плановый срок реализации - 1 июня 2019 г</w:t>
            </w:r>
            <w:r w:rsidR="00375CA7" w:rsidRPr="00452BB8">
              <w:rPr>
                <w:sz w:val="20"/>
                <w:szCs w:val="20"/>
                <w:lang w:eastAsia="en-US"/>
              </w:rPr>
              <w:t>ода</w:t>
            </w:r>
            <w:r w:rsidRPr="00452BB8">
              <w:rPr>
                <w:sz w:val="20"/>
                <w:szCs w:val="20"/>
                <w:lang w:eastAsia="en-US"/>
              </w:rPr>
              <w:t>) в рамках которого сформирован кадровый резерв из состава национального молодежного симфонического оркестра.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Приказы размещены в ГИС Электронный бюджет (Подсистема управления национальными проектами, Реестр отчетов о ходе реализации проектов).   </w:t>
            </w:r>
          </w:p>
          <w:p w:rsidR="00600301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Мероприятие «Создание и функционирование Центров непрерывного образования и повышения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квалификации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творческих и управленческих кадров в сфере культуры» (п</w:t>
            </w:r>
            <w:r w:rsidR="00375CA7" w:rsidRPr="00452BB8">
              <w:rPr>
                <w:sz w:val="20"/>
                <w:szCs w:val="20"/>
                <w:lang w:eastAsia="en-US"/>
              </w:rPr>
              <w:t xml:space="preserve">лановый срок исполнения – 20 марта </w:t>
            </w:r>
            <w:r w:rsidRPr="00452BB8">
              <w:rPr>
                <w:sz w:val="20"/>
                <w:szCs w:val="20"/>
                <w:lang w:eastAsia="en-US"/>
              </w:rPr>
              <w:t>2019 г</w:t>
            </w:r>
            <w:r w:rsidR="00375CA7" w:rsidRPr="00452BB8">
              <w:rPr>
                <w:sz w:val="20"/>
                <w:szCs w:val="20"/>
                <w:lang w:eastAsia="en-US"/>
              </w:rPr>
              <w:t>ода) выполнено частично.</w:t>
            </w:r>
            <w:r w:rsidRPr="00452BB8">
              <w:rPr>
                <w:sz w:val="20"/>
                <w:szCs w:val="20"/>
                <w:lang w:eastAsia="en-US"/>
              </w:rPr>
              <w:t xml:space="preserve"> </w:t>
            </w:r>
            <w:r w:rsidR="00375CA7" w:rsidRPr="00452BB8">
              <w:rPr>
                <w:sz w:val="20"/>
                <w:szCs w:val="20"/>
                <w:lang w:eastAsia="en-US"/>
              </w:rPr>
              <w:t>С</w:t>
            </w:r>
            <w:r w:rsidRPr="00452BB8">
              <w:rPr>
                <w:sz w:val="20"/>
                <w:szCs w:val="20"/>
                <w:lang w:eastAsia="en-US"/>
              </w:rPr>
              <w:t xml:space="preserve">огласно представленному отчету «Концепция создания и функционирования Центров непрерывного образования и повышения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квалификации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творческих и управленческих кадров в сф</w:t>
            </w:r>
            <w:r w:rsidR="00375CA7" w:rsidRPr="00452BB8">
              <w:rPr>
                <w:sz w:val="20"/>
                <w:szCs w:val="20"/>
                <w:lang w:eastAsia="en-US"/>
              </w:rPr>
              <w:t xml:space="preserve">ере культуры» разработана 15 марта </w:t>
            </w:r>
            <w:r w:rsidRPr="00452BB8">
              <w:rPr>
                <w:sz w:val="20"/>
                <w:szCs w:val="20"/>
                <w:lang w:eastAsia="en-US"/>
              </w:rPr>
              <w:t xml:space="preserve">2019 </w:t>
            </w:r>
            <w:r w:rsidR="00375CA7" w:rsidRPr="00452BB8">
              <w:rPr>
                <w:sz w:val="20"/>
                <w:szCs w:val="20"/>
                <w:lang w:eastAsia="en-US"/>
              </w:rPr>
              <w:t>года</w:t>
            </w:r>
            <w:r w:rsidRPr="00452BB8">
              <w:rPr>
                <w:sz w:val="20"/>
                <w:szCs w:val="20"/>
                <w:lang w:eastAsia="en-US"/>
              </w:rPr>
              <w:t xml:space="preserve"> и направлена только на согласование, на отчетную дату ук</w:t>
            </w:r>
            <w:r w:rsidR="00375CA7" w:rsidRPr="00452BB8">
              <w:rPr>
                <w:sz w:val="20"/>
                <w:szCs w:val="20"/>
                <w:lang w:eastAsia="en-US"/>
              </w:rPr>
              <w:t>азанная Концепция не утверждена</w:t>
            </w:r>
            <w:r w:rsidRPr="00452BB8">
              <w:rPr>
                <w:sz w:val="20"/>
                <w:szCs w:val="20"/>
                <w:lang w:eastAsia="en-US"/>
              </w:rPr>
              <w:t xml:space="preserve">. </w:t>
            </w:r>
          </w:p>
          <w:p w:rsidR="007324A6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color w:val="FF0000"/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По остальным 10 мероприятьям, срок реализации по которым предусмотрен паспортом </w:t>
            </w:r>
            <w:r w:rsidR="00375CA7" w:rsidRPr="00452BB8">
              <w:rPr>
                <w:sz w:val="20"/>
                <w:szCs w:val="20"/>
                <w:lang w:eastAsia="en-US"/>
              </w:rPr>
              <w:t xml:space="preserve">федерального проекта «Творческие люди» </w:t>
            </w:r>
            <w:r w:rsidRPr="00452BB8">
              <w:rPr>
                <w:sz w:val="20"/>
                <w:szCs w:val="20"/>
                <w:lang w:eastAsia="en-US"/>
              </w:rPr>
              <w:t>– 1 декабря 2019 г</w:t>
            </w:r>
            <w:r w:rsidR="00375CA7" w:rsidRPr="00452BB8">
              <w:rPr>
                <w:sz w:val="20"/>
                <w:szCs w:val="20"/>
                <w:lang w:eastAsia="en-US"/>
              </w:rPr>
              <w:t>ода</w:t>
            </w:r>
            <w:r w:rsidRPr="00452BB8">
              <w:rPr>
                <w:sz w:val="20"/>
                <w:szCs w:val="20"/>
                <w:lang w:eastAsia="en-US"/>
              </w:rPr>
              <w:t>, проводятся орган</w:t>
            </w:r>
            <w:r w:rsidR="00375CA7" w:rsidRPr="00452BB8">
              <w:rPr>
                <w:sz w:val="20"/>
                <w:szCs w:val="20"/>
                <w:lang w:eastAsia="en-US"/>
              </w:rPr>
              <w:t>изационные мероприятия (работы)</w:t>
            </w:r>
          </w:p>
        </w:tc>
      </w:tr>
      <w:tr w:rsidR="00EB523D" w:rsidRPr="00452BB8" w:rsidTr="00452BB8">
        <w:tc>
          <w:tcPr>
            <w:tcW w:w="505" w:type="dxa"/>
          </w:tcPr>
          <w:p w:rsidR="00EB523D" w:rsidRPr="00452BB8" w:rsidRDefault="00601D3C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lastRenderedPageBreak/>
              <w:t>3</w:t>
            </w:r>
            <w:r w:rsidR="00D0372A" w:rsidRPr="00452BB8">
              <w:rPr>
                <w:rFonts w:eastAsia="Times New Roman"/>
                <w:b/>
                <w:sz w:val="20"/>
                <w:szCs w:val="20"/>
              </w:rPr>
              <w:t>.</w:t>
            </w:r>
          </w:p>
        </w:tc>
        <w:tc>
          <w:tcPr>
            <w:tcW w:w="2189" w:type="dxa"/>
          </w:tcPr>
          <w:p w:rsidR="00EB523D" w:rsidRPr="00452BB8" w:rsidRDefault="00600301" w:rsidP="00452BB8">
            <w:pPr>
              <w:spacing w:line="240" w:lineRule="auto"/>
              <w:ind w:left="0" w:right="0" w:firstLine="0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Демография</w:t>
            </w:r>
          </w:p>
        </w:tc>
        <w:tc>
          <w:tcPr>
            <w:tcW w:w="8363" w:type="dxa"/>
          </w:tcPr>
          <w:p w:rsidR="00842BAB" w:rsidRPr="00452BB8" w:rsidRDefault="00842BAB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317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В рамках </w:t>
            </w:r>
            <w:r w:rsidRPr="00452BB8">
              <w:rPr>
                <w:b/>
                <w:sz w:val="20"/>
                <w:szCs w:val="20"/>
                <w:lang w:eastAsia="en-US"/>
              </w:rPr>
              <w:t>национального проекта «Демография»</w:t>
            </w:r>
            <w:r w:rsidRPr="00452BB8">
              <w:rPr>
                <w:sz w:val="20"/>
                <w:szCs w:val="20"/>
                <w:lang w:eastAsia="en-US"/>
              </w:rPr>
              <w:t xml:space="preserve"> по состоянию на 1 октября 2019 года наименьший объем исполнения за счет средств федерального бюджета сложился по федеральным проектам «Содействие занятости женщин» – 25,2 %, «Спорт – норма жизни» - 41,2 %  и «Старшее поколение» - 44,5 %.</w:t>
            </w:r>
          </w:p>
          <w:p w:rsidR="00842BAB" w:rsidRPr="00452BB8" w:rsidRDefault="00842BAB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317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Низкий уровень кассового исполнения </w:t>
            </w:r>
            <w:r w:rsidR="00B474A0" w:rsidRPr="00452BB8">
              <w:rPr>
                <w:sz w:val="20"/>
                <w:szCs w:val="20"/>
                <w:lang w:eastAsia="en-US"/>
              </w:rPr>
              <w:t xml:space="preserve">расходов </w:t>
            </w:r>
            <w:r w:rsidRPr="00452BB8">
              <w:rPr>
                <w:sz w:val="20"/>
                <w:szCs w:val="20"/>
                <w:lang w:eastAsia="en-US"/>
              </w:rPr>
              <w:t xml:space="preserve">по федеральному проекту «Содействие занятости женщин» связан с низкой строительной готовностью детских садов, отсутствием или подготовкой некачественной проектной документации, поздним заключением контрактов на строительство детских садов. </w:t>
            </w:r>
          </w:p>
          <w:p w:rsidR="00842BAB" w:rsidRPr="00452BB8" w:rsidRDefault="00842BAB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317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По федеральным проектам «Спорт – норма жизни» и «Старшее поколение» низкий уровень кассового исполнения обусловлен оплатой работ на основании принятых государственным заказчиком актов выполненных работ по государственным контрактам; перечислением межбюджетных трансфертов в пределах сумм, необходимых для оплаты денежных обязательств по расходам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получателей средств бюджета субъекта Российской Федерации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. </w:t>
            </w:r>
          </w:p>
          <w:p w:rsidR="00842BAB" w:rsidRPr="00452BB8" w:rsidRDefault="00842BAB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317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Так, на низком уровне сложилось кассовое исполнение мероприятия федерального проекта «Старшее поколение» по переобучению граждан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предпенсионного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возраста, организованное органами службы занятости населения (26,7 %) и Союзом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Ворлдскиллс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Россия (10,7 %). Низкое кассовое исполнение обусловлено экономией, сложившейся по результатам конкурсных процедур по предоставлению образовательных услуг, оплатой договоров и соглашений в полном объеме только после завершения обучения, а также техническими сбоями сайта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Вордскиллс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, через который подаются заявки на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обучение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и проводится первичное тестирование уровня профессиональных знаний лиц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предпенсионного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возраста. </w:t>
            </w:r>
          </w:p>
          <w:p w:rsidR="00842BAB" w:rsidRPr="00452BB8" w:rsidRDefault="00E77A2E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317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sz w:val="20"/>
                <w:szCs w:val="20"/>
                <w:lang w:eastAsia="en-US"/>
              </w:rPr>
              <w:t>При этом не</w:t>
            </w:r>
            <w:r w:rsidR="00842BAB" w:rsidRPr="00452BB8">
              <w:rPr>
                <w:sz w:val="20"/>
                <w:szCs w:val="20"/>
                <w:lang w:eastAsia="en-US"/>
              </w:rPr>
              <w:t xml:space="preserve">полное освоение бюджетных средств не повлияло на исполнение планового значения показателя, установленного на  2019 год – направлено на обучение 75 тыс. человек </w:t>
            </w:r>
            <w:r w:rsidR="00842BAB" w:rsidRPr="00452BB8">
              <w:rPr>
                <w:sz w:val="20"/>
                <w:szCs w:val="20"/>
                <w:lang w:eastAsia="en-US"/>
              </w:rPr>
              <w:lastRenderedPageBreak/>
              <w:t xml:space="preserve">(на 1 октября 2019 года службами занятости заключены договоры на организацию обучения 80 138 человек, или 163,3 % запланированной численности, через сайт </w:t>
            </w:r>
            <w:proofErr w:type="spellStart"/>
            <w:r w:rsidR="00842BAB" w:rsidRPr="00452BB8">
              <w:rPr>
                <w:sz w:val="20"/>
                <w:szCs w:val="20"/>
                <w:lang w:eastAsia="en-US"/>
              </w:rPr>
              <w:t>Ворлдскиллс</w:t>
            </w:r>
            <w:proofErr w:type="spellEnd"/>
            <w:r w:rsidR="00842BAB" w:rsidRPr="00452BB8">
              <w:rPr>
                <w:sz w:val="20"/>
                <w:szCs w:val="20"/>
                <w:lang w:eastAsia="en-US"/>
              </w:rPr>
              <w:t xml:space="preserve"> принято 24 278 заявок на обучение, или 97,1 %).</w:t>
            </w:r>
            <w:proofErr w:type="gramEnd"/>
          </w:p>
          <w:p w:rsidR="00842BAB" w:rsidRPr="00452BB8" w:rsidRDefault="00842BAB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317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sz w:val="20"/>
                <w:szCs w:val="20"/>
                <w:lang w:eastAsia="en-US"/>
              </w:rPr>
              <w:t xml:space="preserve">В рамках федерального проекта «Спорт-норма жизни» по состоянию на 1 октября 2019 года не осуществлялись кассовые расходы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Минспортом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России на строительство детского спортивно-образовательного цента круглогодичного профиля в Калининградской области (155,0 млн. рублей) в связи с поздним принятием акта Правительства Российской Федерации</w:t>
            </w:r>
            <w:r w:rsidRPr="00452BB8">
              <w:rPr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452BB8">
              <w:rPr>
                <w:sz w:val="20"/>
                <w:szCs w:val="20"/>
                <w:lang w:eastAsia="en-US"/>
              </w:rPr>
              <w:t xml:space="preserve"> и длительностью проведения конкурсных процедур</w:t>
            </w:r>
            <w:r w:rsidRPr="00452BB8">
              <w:rPr>
                <w:sz w:val="20"/>
                <w:szCs w:val="20"/>
                <w:vertAlign w:val="superscript"/>
                <w:lang w:eastAsia="en-US"/>
              </w:rPr>
              <w:footnoteReference w:id="2"/>
            </w:r>
            <w:r w:rsidRPr="00452BB8">
              <w:rPr>
                <w:sz w:val="20"/>
                <w:szCs w:val="20"/>
                <w:lang w:eastAsia="en-US"/>
              </w:rPr>
              <w:t xml:space="preserve">. Только в сентябре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Минкавказом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России начато финансирование создания многофункциональных спортивных площадок и физкультурно-оздоровительных комплексов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на территории курорта Кисловодска (исполнение </w:t>
            </w:r>
            <w:r w:rsidR="00E77A2E" w:rsidRPr="00452BB8">
              <w:rPr>
                <w:sz w:val="20"/>
                <w:szCs w:val="20"/>
                <w:lang w:eastAsia="en-US"/>
              </w:rPr>
              <w:t xml:space="preserve">расходов на предоставление </w:t>
            </w:r>
            <w:r w:rsidRPr="00452BB8">
              <w:rPr>
                <w:sz w:val="20"/>
                <w:szCs w:val="20"/>
                <w:lang w:eastAsia="en-US"/>
              </w:rPr>
              <w:t>субсидии бюджету Ставропольского края составило 17,4 %)</w:t>
            </w:r>
            <w:r w:rsidR="00E77A2E" w:rsidRPr="00452BB8">
              <w:rPr>
                <w:sz w:val="20"/>
                <w:szCs w:val="20"/>
                <w:lang w:eastAsia="en-US"/>
              </w:rPr>
              <w:t>, что</w:t>
            </w:r>
            <w:r w:rsidRPr="00452BB8">
              <w:rPr>
                <w:sz w:val="20"/>
                <w:szCs w:val="20"/>
                <w:lang w:eastAsia="en-US"/>
              </w:rPr>
              <w:t xml:space="preserve"> связ</w:t>
            </w:r>
            <w:r w:rsidR="00E77A2E" w:rsidRPr="00452BB8">
              <w:rPr>
                <w:sz w:val="20"/>
                <w:szCs w:val="20"/>
                <w:lang w:eastAsia="en-US"/>
              </w:rPr>
              <w:t>ано</w:t>
            </w:r>
            <w:r w:rsidRPr="00452BB8">
              <w:rPr>
                <w:sz w:val="20"/>
                <w:szCs w:val="20"/>
                <w:lang w:eastAsia="en-US"/>
              </w:rPr>
              <w:t xml:space="preserve"> с длительностью проведения в регионе конкурсных процедур</w:t>
            </w:r>
            <w:r w:rsidRPr="00452BB8">
              <w:rPr>
                <w:sz w:val="20"/>
                <w:szCs w:val="20"/>
                <w:vertAlign w:val="superscript"/>
                <w:lang w:eastAsia="en-US"/>
              </w:rPr>
              <w:footnoteReference w:id="3"/>
            </w:r>
            <w:r w:rsidRPr="00452BB8">
              <w:rPr>
                <w:sz w:val="20"/>
                <w:szCs w:val="20"/>
                <w:lang w:eastAsia="en-US"/>
              </w:rPr>
              <w:t xml:space="preserve"> и поздним заключением контрактов на строительно-монтажные работы (август 2019 года). Следует отметить, что установленный срок ввода в эксплуатацию/поставки и монтажа оборудования – ноябрь 2019 года (на 2020 год ассигнования на указанные цели предусмотрены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Минкавказу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России в размере 350,0 млн. рублей). </w:t>
            </w:r>
          </w:p>
          <w:p w:rsidR="00600301" w:rsidRPr="00452BB8" w:rsidRDefault="00341566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У</w:t>
            </w:r>
            <w:r w:rsidR="00842BAB" w:rsidRPr="00452BB8">
              <w:rPr>
                <w:sz w:val="20"/>
                <w:szCs w:val="20"/>
                <w:lang w:eastAsia="en-US"/>
              </w:rPr>
              <w:t xml:space="preserve">становлены факты некорректного </w:t>
            </w:r>
            <w:r w:rsidRPr="00452BB8">
              <w:rPr>
                <w:sz w:val="20"/>
                <w:szCs w:val="20"/>
                <w:lang w:eastAsia="en-US"/>
              </w:rPr>
              <w:t xml:space="preserve">составления </w:t>
            </w:r>
            <w:r w:rsidR="00600301" w:rsidRPr="00452BB8">
              <w:rPr>
                <w:sz w:val="20"/>
                <w:szCs w:val="20"/>
                <w:lang w:eastAsia="en-US"/>
              </w:rPr>
              <w:t xml:space="preserve">отчетов о ходе реализации </w:t>
            </w:r>
            <w:r w:rsidRPr="00452BB8">
              <w:rPr>
                <w:sz w:val="20"/>
                <w:szCs w:val="20"/>
                <w:lang w:eastAsia="en-US"/>
              </w:rPr>
              <w:t>федеральн</w:t>
            </w:r>
            <w:r w:rsidR="00E77A2E" w:rsidRPr="00452BB8">
              <w:rPr>
                <w:sz w:val="20"/>
                <w:szCs w:val="20"/>
                <w:lang w:eastAsia="en-US"/>
              </w:rPr>
              <w:t>ых</w:t>
            </w:r>
            <w:r w:rsidRPr="00452BB8">
              <w:rPr>
                <w:sz w:val="20"/>
                <w:szCs w:val="20"/>
                <w:lang w:eastAsia="en-US"/>
              </w:rPr>
              <w:t xml:space="preserve"> проект</w:t>
            </w:r>
            <w:r w:rsidR="00E77A2E" w:rsidRPr="00452BB8">
              <w:rPr>
                <w:sz w:val="20"/>
                <w:szCs w:val="20"/>
                <w:lang w:eastAsia="en-US"/>
              </w:rPr>
              <w:t>ов</w:t>
            </w:r>
            <w:r w:rsidR="00600301" w:rsidRPr="00452BB8">
              <w:rPr>
                <w:sz w:val="20"/>
                <w:szCs w:val="20"/>
                <w:lang w:eastAsia="en-US"/>
              </w:rPr>
              <w:t xml:space="preserve"> «Старшее поколение» и «Укрепление общественного здоровья» в части объективности отображения контрольной информации (цветовых индикаторов) о ходе их реализации.</w:t>
            </w:r>
          </w:p>
          <w:p w:rsidR="00600301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sz w:val="20"/>
                <w:szCs w:val="20"/>
                <w:lang w:eastAsia="en-US"/>
              </w:rPr>
              <w:t xml:space="preserve">Анализ отчетов о ходе реализации всех </w:t>
            </w:r>
            <w:r w:rsidR="003475B2" w:rsidRPr="00452BB8">
              <w:rPr>
                <w:sz w:val="20"/>
                <w:szCs w:val="20"/>
                <w:lang w:eastAsia="en-US"/>
              </w:rPr>
              <w:t>федеральных проектов</w:t>
            </w:r>
            <w:r w:rsidRPr="00452BB8">
              <w:rPr>
                <w:sz w:val="20"/>
                <w:szCs w:val="20"/>
                <w:lang w:eastAsia="en-US"/>
              </w:rPr>
              <w:t xml:space="preserve">, входящих в </w:t>
            </w:r>
            <w:r w:rsidR="003475B2" w:rsidRPr="00452BB8">
              <w:rPr>
                <w:sz w:val="20"/>
                <w:szCs w:val="20"/>
                <w:lang w:eastAsia="en-US"/>
              </w:rPr>
              <w:t xml:space="preserve">национальный проект </w:t>
            </w:r>
            <w:r w:rsidRPr="00452BB8">
              <w:rPr>
                <w:sz w:val="20"/>
                <w:szCs w:val="20"/>
                <w:lang w:eastAsia="en-US"/>
              </w:rPr>
              <w:t>«Демография», показал, что за 9 месяцев 2019 года из 298 мероприятий, контрольных точек и результатов, срок исполнения по которым наступил, 30 (10,1 %) исполнены с нарушением установленного срока либо не в полном объеме</w:t>
            </w:r>
            <w:r w:rsidRPr="00452BB8">
              <w:rPr>
                <w:sz w:val="20"/>
                <w:szCs w:val="20"/>
                <w:vertAlign w:val="superscript"/>
                <w:lang w:eastAsia="en-US"/>
              </w:rPr>
              <w:footnoteReference w:id="4"/>
            </w:r>
            <w:r w:rsidRPr="00452BB8">
              <w:rPr>
                <w:sz w:val="20"/>
                <w:szCs w:val="20"/>
                <w:vertAlign w:val="superscript"/>
                <w:lang w:eastAsia="en-US"/>
              </w:rPr>
              <w:t>,</w:t>
            </w:r>
            <w:r w:rsidRPr="00452BB8">
              <w:rPr>
                <w:sz w:val="20"/>
                <w:szCs w:val="20"/>
                <w:lang w:eastAsia="en-US"/>
              </w:rPr>
              <w:t xml:space="preserve"> что не оказало существенного влияния на достижение результатов нац</w:t>
            </w:r>
            <w:r w:rsidR="003475B2" w:rsidRPr="00452BB8">
              <w:rPr>
                <w:sz w:val="20"/>
                <w:szCs w:val="20"/>
                <w:lang w:eastAsia="en-US"/>
              </w:rPr>
              <w:t>ионального проекта</w:t>
            </w:r>
            <w:r w:rsidRPr="00452BB8">
              <w:rPr>
                <w:sz w:val="20"/>
                <w:szCs w:val="20"/>
                <w:lang w:eastAsia="en-US"/>
              </w:rPr>
              <w:t xml:space="preserve">. </w:t>
            </w:r>
            <w:proofErr w:type="gramEnd"/>
          </w:p>
          <w:p w:rsidR="00600301" w:rsidRPr="00452BB8" w:rsidRDefault="003475B2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О</w:t>
            </w:r>
            <w:r w:rsidR="00600301" w:rsidRPr="00452BB8">
              <w:rPr>
                <w:sz w:val="20"/>
                <w:szCs w:val="20"/>
                <w:lang w:eastAsia="en-US"/>
              </w:rPr>
              <w:t>тдельны</w:t>
            </w:r>
            <w:r w:rsidRPr="00452BB8">
              <w:rPr>
                <w:sz w:val="20"/>
                <w:szCs w:val="20"/>
                <w:lang w:eastAsia="en-US"/>
              </w:rPr>
              <w:t>е</w:t>
            </w:r>
            <w:r w:rsidR="00600301" w:rsidRPr="00452BB8">
              <w:rPr>
                <w:sz w:val="20"/>
                <w:szCs w:val="20"/>
                <w:lang w:eastAsia="en-US"/>
              </w:rPr>
              <w:t xml:space="preserve"> мероприяти</w:t>
            </w:r>
            <w:r w:rsidRPr="00452BB8">
              <w:rPr>
                <w:sz w:val="20"/>
                <w:szCs w:val="20"/>
                <w:lang w:eastAsia="en-US"/>
              </w:rPr>
              <w:t>я необоснованно признаны</w:t>
            </w:r>
            <w:r w:rsidR="00600301" w:rsidRPr="00452BB8">
              <w:rPr>
                <w:sz w:val="20"/>
                <w:szCs w:val="20"/>
                <w:lang w:eastAsia="en-US"/>
              </w:rPr>
              <w:t xml:space="preserve"> исполненными.</w:t>
            </w:r>
          </w:p>
          <w:p w:rsidR="00600301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По мероприятию 1.1.8.2 плана реализации </w:t>
            </w:r>
            <w:r w:rsidR="0023684C" w:rsidRPr="00452BB8">
              <w:rPr>
                <w:sz w:val="20"/>
                <w:szCs w:val="20"/>
                <w:lang w:eastAsia="en-US"/>
              </w:rPr>
              <w:t>федерального проекта</w:t>
            </w:r>
            <w:r w:rsidRPr="00452BB8">
              <w:rPr>
                <w:sz w:val="20"/>
                <w:szCs w:val="20"/>
                <w:lang w:eastAsia="en-US"/>
              </w:rPr>
              <w:t xml:space="preserve"> «Содействие занятости женщин» </w:t>
            </w:r>
            <w:r w:rsidR="0023684C" w:rsidRPr="00452BB8">
              <w:rPr>
                <w:sz w:val="20"/>
                <w:szCs w:val="20"/>
                <w:lang w:eastAsia="en-US"/>
              </w:rPr>
              <w:t>предусматривалось</w:t>
            </w:r>
            <w:r w:rsidRPr="00452BB8">
              <w:rPr>
                <w:sz w:val="20"/>
                <w:szCs w:val="20"/>
                <w:lang w:eastAsia="en-US"/>
              </w:rPr>
              <w:t xml:space="preserve"> проведен</w:t>
            </w:r>
            <w:r w:rsidR="0023684C" w:rsidRPr="00452BB8">
              <w:rPr>
                <w:sz w:val="20"/>
                <w:szCs w:val="20"/>
                <w:lang w:eastAsia="en-US"/>
              </w:rPr>
              <w:t>ие</w:t>
            </w:r>
            <w:r w:rsidRPr="00452BB8">
              <w:rPr>
                <w:sz w:val="20"/>
                <w:szCs w:val="20"/>
                <w:lang w:eastAsia="en-US"/>
              </w:rPr>
              <w:t xml:space="preserve"> обмен</w:t>
            </w:r>
            <w:r w:rsidR="0023684C" w:rsidRPr="00452BB8">
              <w:rPr>
                <w:sz w:val="20"/>
                <w:szCs w:val="20"/>
                <w:lang w:eastAsia="en-US"/>
              </w:rPr>
              <w:t>а</w:t>
            </w:r>
            <w:r w:rsidRPr="00452BB8">
              <w:rPr>
                <w:sz w:val="20"/>
                <w:szCs w:val="20"/>
                <w:lang w:eastAsia="en-US"/>
              </w:rPr>
              <w:t xml:space="preserve"> опытом и распространение лучших практик по содействию занятости женщин, находящихся в отпуске по уходу за ребенком. Из пяти практик регионов, представленных Минтрудом России в качестве лучших за 2018 год</w:t>
            </w:r>
            <w:r w:rsidRPr="00452BB8">
              <w:rPr>
                <w:sz w:val="20"/>
                <w:szCs w:val="20"/>
                <w:vertAlign w:val="superscript"/>
                <w:lang w:eastAsia="en-US"/>
              </w:rPr>
              <w:footnoteReference w:id="5"/>
            </w:r>
            <w:r w:rsidRPr="00452BB8">
              <w:rPr>
                <w:sz w:val="20"/>
                <w:szCs w:val="20"/>
                <w:lang w:eastAsia="en-US"/>
              </w:rPr>
              <w:t>, только в Республике Бурятия в рамках регионального проекта создано швейное производство, позволяющее женщинам работать по гибкому и индивидуальному графику. Лучш</w:t>
            </w:r>
            <w:r w:rsidR="0023684C" w:rsidRPr="00452BB8">
              <w:rPr>
                <w:sz w:val="20"/>
                <w:szCs w:val="20"/>
                <w:lang w:eastAsia="en-US"/>
              </w:rPr>
              <w:t>ие</w:t>
            </w:r>
            <w:r w:rsidRPr="00452BB8">
              <w:rPr>
                <w:sz w:val="20"/>
                <w:szCs w:val="20"/>
                <w:lang w:eastAsia="en-US"/>
              </w:rPr>
              <w:t xml:space="preserve"> практик</w:t>
            </w:r>
            <w:r w:rsidR="0023684C" w:rsidRPr="00452BB8">
              <w:rPr>
                <w:sz w:val="20"/>
                <w:szCs w:val="20"/>
                <w:lang w:eastAsia="en-US"/>
              </w:rPr>
              <w:t>и</w:t>
            </w:r>
            <w:r w:rsidRPr="00452BB8">
              <w:rPr>
                <w:sz w:val="20"/>
                <w:szCs w:val="20"/>
                <w:lang w:eastAsia="en-US"/>
              </w:rPr>
              <w:t xml:space="preserve"> </w:t>
            </w:r>
            <w:r w:rsidR="0023684C" w:rsidRPr="00452BB8">
              <w:rPr>
                <w:sz w:val="20"/>
                <w:szCs w:val="20"/>
                <w:lang w:eastAsia="en-US"/>
              </w:rPr>
              <w:t xml:space="preserve">социальных проектов </w:t>
            </w:r>
            <w:r w:rsidRPr="00452BB8">
              <w:rPr>
                <w:sz w:val="20"/>
                <w:szCs w:val="20"/>
                <w:lang w:eastAsia="en-US"/>
              </w:rPr>
              <w:t>остальных регионов нацелены лишь на увеличение численности обучившихся, а не на организацию рабочих мест и трудоустройство женщин после переобучения.</w:t>
            </w:r>
          </w:p>
          <w:p w:rsidR="00600301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Показатели результативности, установленные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Минспортом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России в соглашениях о предоставлении субсидии, не позволяют оценить вклад использования субсидии в реализацию задач федерального проекта.</w:t>
            </w:r>
          </w:p>
          <w:p w:rsidR="00600301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sz w:val="20"/>
                <w:szCs w:val="20"/>
                <w:lang w:eastAsia="en-US"/>
              </w:rPr>
              <w:t>Так, в заключенном министерством с Общероссийской общественной благотворительной организацией помощи инвалидам с умственной отсталостью «Специальная олимпиада России» соглашении о предоставлении субсидии из федерального бюджета на организацию подготовки и участия инвалидов с умственной отсталостью в физкультурных мероприятиях предусмотрен один показатель результативности «Количество проведенных Всероссийских мероприятий Специальной Олимпиады России в рамках Единого календарного плана межрегиональных, всероссийских и международных физкультурных мероприятий и спортивных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мероприятий на 2019 год».</w:t>
            </w:r>
          </w:p>
          <w:p w:rsidR="00EB523D" w:rsidRPr="00452BB8" w:rsidRDefault="00600301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lastRenderedPageBreak/>
              <w:t xml:space="preserve">Предоставление субсидии на указанные цели осуществляется в рамках мероприятия </w:t>
            </w:r>
            <w:r w:rsidR="00AC0BFD" w:rsidRPr="00452BB8">
              <w:rPr>
                <w:sz w:val="20"/>
                <w:szCs w:val="20"/>
                <w:lang w:eastAsia="en-US"/>
              </w:rPr>
              <w:t>федерального проекта</w:t>
            </w:r>
            <w:r w:rsidRPr="00452BB8">
              <w:rPr>
                <w:sz w:val="20"/>
                <w:szCs w:val="20"/>
                <w:lang w:eastAsia="en-US"/>
              </w:rPr>
              <w:t xml:space="preserve"> «Спорт-норма жизни», результатом которого является вовлеченность в систематические занятия физической культурой и спортом в 2019 году не менее 3 млн. человек. При этом установленный в соглашении показатель не позволяет оценить вклад использования субсидии благотворительной организацией </w:t>
            </w:r>
            <w:r w:rsidR="00282054" w:rsidRPr="00452BB8">
              <w:rPr>
                <w:sz w:val="20"/>
                <w:szCs w:val="20"/>
                <w:lang w:eastAsia="en-US"/>
              </w:rPr>
              <w:t>в реализацию указанной задачи</w:t>
            </w:r>
          </w:p>
        </w:tc>
      </w:tr>
      <w:tr w:rsidR="008121CF" w:rsidRPr="00452BB8" w:rsidTr="00452BB8">
        <w:trPr>
          <w:trHeight w:val="945"/>
        </w:trPr>
        <w:tc>
          <w:tcPr>
            <w:tcW w:w="505" w:type="dxa"/>
          </w:tcPr>
          <w:p w:rsidR="008121CF" w:rsidRPr="00452BB8" w:rsidRDefault="00601D3C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lastRenderedPageBreak/>
              <w:t>4</w:t>
            </w:r>
            <w:r w:rsidR="008121CF" w:rsidRPr="00452BB8">
              <w:rPr>
                <w:rFonts w:eastAsia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189" w:type="dxa"/>
          </w:tcPr>
          <w:p w:rsidR="008121CF" w:rsidRPr="00452BB8" w:rsidRDefault="00282054" w:rsidP="00452BB8">
            <w:pPr>
              <w:spacing w:line="240" w:lineRule="auto"/>
              <w:ind w:left="0" w:right="0" w:firstLine="0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Экология</w:t>
            </w:r>
          </w:p>
        </w:tc>
        <w:tc>
          <w:tcPr>
            <w:tcW w:w="8363" w:type="dxa"/>
          </w:tcPr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В рамках </w:t>
            </w:r>
            <w:r w:rsidRPr="00452BB8">
              <w:rPr>
                <w:b/>
                <w:sz w:val="20"/>
                <w:szCs w:val="20"/>
                <w:lang w:eastAsia="en-US"/>
              </w:rPr>
              <w:t xml:space="preserve">национального проекта «Экология» </w:t>
            </w:r>
            <w:r w:rsidRPr="00452BB8">
              <w:rPr>
                <w:sz w:val="20"/>
                <w:szCs w:val="20"/>
                <w:lang w:eastAsia="en-US"/>
              </w:rPr>
              <w:t>уровень исполнения расходов по федеральным проектам составил от 6,4 % до 79,3 % показателя сводной росписи с изменениями. При этом низкий уровень исполнения за счет средств федерального бюджета сложился по федеральным проектам «Оздоровление Волги» – 6,4 %, «Чистая вода» – 8,5 %, «Чистый воздух» – 11,1 %, «Сохранение озера Байкал» - 19,3 %, «Чистая страна» - 36,8 %.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По состоянию на 1 октября 2019 года исполнение расходов по федеральному проекту</w:t>
            </w:r>
            <w:r w:rsidRPr="00452BB8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452BB8">
              <w:rPr>
                <w:sz w:val="20"/>
                <w:szCs w:val="20"/>
                <w:lang w:eastAsia="en-US"/>
              </w:rPr>
              <w:t xml:space="preserve">«Чистая вода» составило 424,3 млн. рублей, или 8,5 % показателя сводной росписи с изменениями. При этом 97,1 % расходов федерального бюджета составили межбюджетные трансферты бюджетам субъектов Российской Федерации, предусмотренные Минстрою России для строительства и реконструкции (модернизации) объектов питьевого водоснабжения. 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Минстроем России соглашения с 82 субъектами Российской Федерации заключены в установленный срок (до 15 февраля 2019 года) без детализации перечня объектов, что не позволило обеспечить своевременное финансирование строительства объектов. Дополнительные соглашения, предусматривающие детализацию объектов, заключены Минстроем России лишь в III квартале 2019 года.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По состоянию на 1 октября 2019 года исполнение расходов федерального проекта «Чистый воздух» составило 1 526,0 млн. рублей, или 11,1 % показателя сводной росписи с изменениями. В структуре расходов указанного федерального проекта основную долю (79,9 %) составляют зарезервированные по Минфину России бюджетные ассигнования в сумме 10 986,6 млн. рублей, по которым по состоянию на 1 октября 2019 года отсутствовали решения об их перераспределении. 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Более 11,2 % расходов федерального проекта «Чистый воздух» (1 544,2 млн. рублей) составляют субсидии бюджетным учреждениям на иные цели, предусмотренные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Росприроднадзору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Роспотребнадзору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>, Минприроды России и Росгидромету.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Установлено, что </w:t>
            </w:r>
            <w:r w:rsidRPr="00452BB8">
              <w:rPr>
                <w:bCs/>
                <w:sz w:val="20"/>
                <w:szCs w:val="20"/>
                <w:lang w:eastAsia="en-US"/>
              </w:rPr>
              <w:t xml:space="preserve">Правилами предоставления из федерального бюджета субсидий на иные цели федеральным государственным бюджетным учреждениям, в отношении которых </w:t>
            </w:r>
            <w:proofErr w:type="spellStart"/>
            <w:r w:rsidRPr="00452BB8">
              <w:rPr>
                <w:bCs/>
                <w:sz w:val="20"/>
                <w:szCs w:val="20"/>
                <w:lang w:eastAsia="en-US"/>
              </w:rPr>
              <w:t>Росприроднадзор</w:t>
            </w:r>
            <w:proofErr w:type="spellEnd"/>
            <w:r w:rsidRPr="00452BB8">
              <w:rPr>
                <w:bCs/>
                <w:sz w:val="20"/>
                <w:szCs w:val="20"/>
                <w:lang w:eastAsia="en-US"/>
              </w:rPr>
              <w:t xml:space="preserve"> осуществляет функции и полномочия учредителя</w:t>
            </w:r>
            <w:r w:rsidRPr="00452BB8">
              <w:rPr>
                <w:bCs/>
                <w:sz w:val="20"/>
                <w:szCs w:val="20"/>
                <w:vertAlign w:val="superscript"/>
                <w:lang w:eastAsia="en-US"/>
              </w:rPr>
              <w:footnoteReference w:id="6"/>
            </w:r>
            <w:r w:rsidRPr="00452BB8">
              <w:rPr>
                <w:bCs/>
                <w:sz w:val="20"/>
                <w:szCs w:val="20"/>
                <w:lang w:eastAsia="en-US"/>
              </w:rPr>
              <w:t xml:space="preserve">, не предусмотрены условия по предоставлению целевой субсидии на </w:t>
            </w:r>
            <w:r w:rsidRPr="00452BB8">
              <w:rPr>
                <w:sz w:val="20"/>
                <w:szCs w:val="20"/>
                <w:lang w:eastAsia="en-US"/>
              </w:rPr>
              <w:t>реализацию мероприятий федеральных проектов «Чистый воздух»</w:t>
            </w:r>
            <w:r w:rsidRPr="00452BB8">
              <w:rPr>
                <w:bCs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452BB8">
              <w:rPr>
                <w:bCs/>
                <w:sz w:val="20"/>
                <w:szCs w:val="20"/>
                <w:lang w:eastAsia="en-US"/>
              </w:rPr>
              <w:t>Росприроднадзором</w:t>
            </w:r>
            <w:proofErr w:type="spellEnd"/>
            <w:r w:rsidRPr="00452BB8">
              <w:rPr>
                <w:bCs/>
                <w:sz w:val="20"/>
                <w:szCs w:val="20"/>
                <w:lang w:eastAsia="en-US"/>
              </w:rPr>
              <w:t xml:space="preserve"> средства в сумме 327,8 млн. рублей доведены подведомственным учреждениям, </w:t>
            </w:r>
            <w:r w:rsidRPr="00452BB8">
              <w:rPr>
                <w:sz w:val="20"/>
                <w:szCs w:val="20"/>
                <w:lang w:eastAsia="en-US"/>
              </w:rPr>
              <w:t>по состоянию на 1 октября 2019 года</w:t>
            </w:r>
            <w:r w:rsidRPr="00452BB8">
              <w:rPr>
                <w:bCs/>
                <w:sz w:val="20"/>
                <w:szCs w:val="20"/>
                <w:lang w:eastAsia="en-US"/>
              </w:rPr>
              <w:t xml:space="preserve"> использование не осуществлялось, что свидетельствует о наличии рисков образования на конец года остатков на счетах бюджетных учреждений </w:t>
            </w:r>
            <w:proofErr w:type="spellStart"/>
            <w:r w:rsidRPr="00452BB8">
              <w:rPr>
                <w:bCs/>
                <w:sz w:val="20"/>
                <w:szCs w:val="20"/>
                <w:lang w:eastAsia="en-US"/>
              </w:rPr>
              <w:t>Росприроднадзора</w:t>
            </w:r>
            <w:proofErr w:type="spellEnd"/>
            <w:r w:rsidRPr="00452BB8">
              <w:rPr>
                <w:bCs/>
                <w:sz w:val="20"/>
                <w:szCs w:val="20"/>
                <w:lang w:eastAsia="en-US"/>
              </w:rPr>
              <w:t>.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Исполнение расходов по федеральному проекту «Сохранение озера Байкал» составило 758,9 млн. рублей, или 19,3 % показателя сводной росписи с изменениями. Отмечается несвоевременное расходование средств, что в том числе связано с несвоевременным принятием правового акта Иркутской области об утверждении перечня мероприятий, направленных на снижение общей площади территорий, повергшихся высокому и экстремально высокому загрязнению и оказывающих воздействие на озеро Байкал. Субсидии из федерального бюджета в сумме 1 412,6 млн. рублей, предоставленные бюджету Иркутской области на реализацию указанных мероприятий по состоянию на 1 октября 2019 года не использованы.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b/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В структуре расходов федерального бюджета, предусмотренных на реализацию федерального проекта «Чистая страна», основную долю расходов (99,1 %) составляют субсидии из федерального бюджета бюджетам субъектов Российской Федерации на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расходных обязательств субъекта Российской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Федерации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на реализацию предусмотренных государственными программами субъекта Российской Федерации мероприятий, направленных на ликвидацию объектов накопленного вреда окружающей среде. Кассовое исполнение расходов по федеральному проекту «Чистая страна» составило 2 309,3 млн. рублей, или 36,8 % показателя сводной росписи с изменениями. При этом предоставление субсидий осуществлялось с нарушением условий соглашений, в частности без </w:t>
            </w:r>
            <w:r w:rsidRPr="00452BB8">
              <w:rPr>
                <w:sz w:val="20"/>
                <w:szCs w:val="20"/>
                <w:lang w:eastAsia="en-US"/>
              </w:rPr>
              <w:lastRenderedPageBreak/>
              <w:t xml:space="preserve">соблюдения Планов кассовых выплат в 2019 году по мероприятиям, в целях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софинансирования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которых предоставляется субсидия. Уровень их выполнение по состоянию на 1 октября 2019 года обеспечен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Московской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и Смоленской областями – на 46,7 % и 44,5 %, республиками Северная Осетия-Алания и Ингушетия, а также Карачаево-Черкесской Республика - соответственно на 19,5 %, 38 % и 71,1 %. 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452BB8">
              <w:rPr>
                <w:sz w:val="20"/>
                <w:szCs w:val="20"/>
                <w:lang w:eastAsia="en-US"/>
              </w:rPr>
              <w:t>Росприроднадзором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не обеспечено исполнение расходов в объеме 25,0 млн. рублей, предусмотренных на создание и функционирование федеральной государственной информационной системы общественного контроля в области охраны окружающей среды и природопользования, направленной на выявление и ликвидацию несанкционированных свалок (далее – ФГИС «Наша природа»), что связано с</w:t>
            </w:r>
            <w:r w:rsidRPr="00452BB8">
              <w:rPr>
                <w:bCs/>
                <w:sz w:val="20"/>
                <w:szCs w:val="20"/>
                <w:lang w:eastAsia="en-US"/>
              </w:rPr>
              <w:t xml:space="preserve"> отсутствием локального акта по передаче соответствующих полномочий Минприроды России подведомственным учреждениям </w:t>
            </w:r>
            <w:proofErr w:type="spellStart"/>
            <w:r w:rsidRPr="00452BB8">
              <w:rPr>
                <w:bCs/>
                <w:sz w:val="20"/>
                <w:szCs w:val="20"/>
                <w:lang w:eastAsia="en-US"/>
              </w:rPr>
              <w:t>Росприроднадзора</w:t>
            </w:r>
            <w:proofErr w:type="spellEnd"/>
            <w:r w:rsidRPr="00452BB8">
              <w:rPr>
                <w:bCs/>
                <w:sz w:val="20"/>
                <w:szCs w:val="20"/>
                <w:lang w:eastAsia="en-US"/>
              </w:rPr>
              <w:t xml:space="preserve"> по функционированию </w:t>
            </w:r>
            <w:r w:rsidRPr="00452BB8">
              <w:rPr>
                <w:sz w:val="20"/>
                <w:szCs w:val="20"/>
                <w:lang w:eastAsia="en-US"/>
              </w:rPr>
              <w:t>ФГИС «Наша природа» (в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соответствии с п</w:t>
            </w:r>
            <w:r w:rsidRPr="00452BB8">
              <w:rPr>
                <w:bCs/>
                <w:sz w:val="20"/>
                <w:szCs w:val="20"/>
                <w:lang w:eastAsia="en-US"/>
              </w:rPr>
              <w:t xml:space="preserve">остановлением Правительства Российской Федерации от 8 сентября 2017 г. № 1082 </w:t>
            </w:r>
            <w:r w:rsidRPr="00452BB8">
              <w:rPr>
                <w:sz w:val="20"/>
                <w:szCs w:val="20"/>
                <w:lang w:eastAsia="en-US"/>
              </w:rPr>
              <w:t>«О федеральной государственной информационной системе общественного контроля в области охраны окружающей среды и природопользования»</w:t>
            </w:r>
            <w:r w:rsidRPr="00452BB8">
              <w:rPr>
                <w:bCs/>
                <w:sz w:val="20"/>
                <w:szCs w:val="20"/>
                <w:lang w:eastAsia="en-US"/>
              </w:rPr>
              <w:t xml:space="preserve"> ответственным за финансирование работ по созданию, развитию и эксплуатации </w:t>
            </w:r>
            <w:r w:rsidRPr="00452BB8">
              <w:rPr>
                <w:sz w:val="20"/>
                <w:szCs w:val="20"/>
                <w:lang w:eastAsia="en-US"/>
              </w:rPr>
              <w:t>ФГИС «Наша природа» определено</w:t>
            </w:r>
            <w:r w:rsidRPr="00452BB8">
              <w:rPr>
                <w:bCs/>
                <w:sz w:val="20"/>
                <w:szCs w:val="20"/>
                <w:lang w:eastAsia="en-US"/>
              </w:rPr>
              <w:t xml:space="preserve"> Минприроды России). </w:t>
            </w:r>
            <w:proofErr w:type="gramEnd"/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bCs/>
                <w:sz w:val="20"/>
                <w:szCs w:val="20"/>
                <w:lang w:eastAsia="en-US"/>
              </w:rPr>
              <w:t>С учетом изложенного,</w:t>
            </w:r>
            <w:r w:rsidRPr="00452BB8">
              <w:rPr>
                <w:sz w:val="20"/>
                <w:szCs w:val="20"/>
                <w:lang w:eastAsia="en-US"/>
              </w:rPr>
              <w:t xml:space="preserve"> существуют риски реализации в 2019 году федерального проекта «Чистая страна» в полном объеме.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Освоение бюджетных ассигнований, выделенных Минстрою России на мероприятие «Сокращение доли загрязнения сточных вод» не осуществлялось, что свидетельствует о наличии рисков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недостижения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установленных показателей федерального проекта.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Уровень исполнени</w:t>
            </w:r>
            <w:r w:rsidR="00E77A2E" w:rsidRPr="00452BB8">
              <w:rPr>
                <w:sz w:val="20"/>
                <w:szCs w:val="20"/>
                <w:lang w:eastAsia="en-US"/>
              </w:rPr>
              <w:t>я</w:t>
            </w:r>
            <w:r w:rsidRPr="00452BB8">
              <w:rPr>
                <w:sz w:val="20"/>
                <w:szCs w:val="20"/>
                <w:lang w:eastAsia="en-US"/>
              </w:rPr>
              <w:t xml:space="preserve"> расходов федерального бюджета, предусмотренных на реализацию </w:t>
            </w:r>
            <w:r w:rsidRPr="00452BB8">
              <w:rPr>
                <w:bCs/>
                <w:sz w:val="20"/>
                <w:szCs w:val="20"/>
                <w:lang w:eastAsia="en-US"/>
              </w:rPr>
              <w:t xml:space="preserve">федерального проекта «Сохранение лесов» составил 57 %. Основную долю расходов федерального проекта (65,5 %) составляют субвенции бюджетам субъектов Российской Федерации на оснащение специализированных </w:t>
            </w:r>
            <w:proofErr w:type="gramStart"/>
            <w:r w:rsidRPr="00452BB8">
              <w:rPr>
                <w:bCs/>
                <w:sz w:val="20"/>
                <w:szCs w:val="20"/>
                <w:lang w:eastAsia="en-US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452BB8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52BB8">
              <w:rPr>
                <w:bCs/>
                <w:sz w:val="20"/>
                <w:szCs w:val="20"/>
                <w:lang w:eastAsia="en-US"/>
              </w:rPr>
              <w:t>лесопожарной</w:t>
            </w:r>
            <w:proofErr w:type="spellEnd"/>
            <w:r w:rsidRPr="00452BB8">
              <w:rPr>
                <w:bCs/>
                <w:sz w:val="20"/>
                <w:szCs w:val="20"/>
                <w:lang w:eastAsia="en-US"/>
              </w:rPr>
              <w:t xml:space="preserve"> техникой и оборудованием для проведения комплекса мероприятий по охране лесов от пожаров. 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452BB8">
              <w:rPr>
                <w:bCs/>
                <w:sz w:val="20"/>
                <w:szCs w:val="20"/>
                <w:lang w:eastAsia="en-US"/>
              </w:rPr>
              <w:t xml:space="preserve">По состоянию на 1 октября 2019 года 22 субъектами Российской Федерации исполнение расходов не превысило 50 %, из которых Ярославской и Псковской областями, Пермским краем и Республикой Тыва расходы на специализированную технику не превысили 10 %. 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452BB8">
              <w:rPr>
                <w:bCs/>
                <w:sz w:val="20"/>
                <w:szCs w:val="20"/>
                <w:lang w:eastAsia="en-US"/>
              </w:rPr>
              <w:t>При этом Калужской и Кировской областями, а также Республикой Северная Осетия Алания расходы не осуществлялись, что свидетельствует о наличии рисков образования остатков межбюджетных трансфертов на счетах субъектов Российской Федерации.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Паспортами 7 из 11 федеральных проектов, включенных в национальный проект «Экология», предусмотрена реализация мероприятий за счет предоставления межбюджетных трансфертов из федерального бюджета бюджетам субъектов Российской Федерации</w:t>
            </w:r>
            <w:r w:rsidRPr="00452BB8">
              <w:rPr>
                <w:sz w:val="20"/>
                <w:szCs w:val="20"/>
                <w:vertAlign w:val="superscript"/>
                <w:lang w:eastAsia="en-US"/>
              </w:rPr>
              <w:footnoteReference w:id="7"/>
            </w:r>
            <w:r w:rsidRPr="00452BB8">
              <w:rPr>
                <w:sz w:val="20"/>
                <w:szCs w:val="20"/>
                <w:lang w:eastAsia="en-US"/>
              </w:rPr>
              <w:t xml:space="preserve">. 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Всего по состоянию на 1 октября 2019 года в рамках национального проекта «Экология» с субъектами Российской Федерации заключено 124 соглашения. Не обеспечено заключение соглашения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Росжелдором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с Красноярским краем, предусматривающего предоставление иных межбюджетных трансфертов в рамках федерального проекта «Чистый воздух» на корректировку проектно-сметной документации по строительству метрополитена в г. Красноярск, в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связи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с чем существуют риски образования остатков межбюджетных трансфертов в сумме 1 000,0 млн. рублей.</w:t>
            </w:r>
          </w:p>
          <w:p w:rsidR="001824B3" w:rsidRPr="00452BB8" w:rsidRDefault="001824B3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Кроме того, заключение соглашений в рамках реализации федерального проекта «Оздоровление Волги» обеспечено Минстроем России в установленный срок (до 15 февраля 2019 года) без детализации перечня объектов. Дополнительные соглашения, предусматривающие детализацию объектов, с отдельными субъектами Российской Федерации заключены в III и IV кварталах 2019 года (с Самарской областью 27 сентября, Волгоградской областью – 26 сентября, Ярославской областью – 10 октября 2019 года). По состоянию на 1 октября 2019 года консолидированная субсидия, предоставленная Минстроем России в </w:t>
            </w:r>
            <w:r w:rsidRPr="00452BB8">
              <w:rPr>
                <w:sz w:val="20"/>
                <w:szCs w:val="20"/>
                <w:lang w:eastAsia="en-US"/>
              </w:rPr>
              <w:lastRenderedPageBreak/>
              <w:t>сумме 12 957,2 млн. рублей в целях сокращени</w:t>
            </w:r>
            <w:r w:rsidR="0003368A" w:rsidRPr="00452BB8">
              <w:rPr>
                <w:sz w:val="20"/>
                <w:szCs w:val="20"/>
                <w:lang w:eastAsia="en-US"/>
              </w:rPr>
              <w:t>я</w:t>
            </w:r>
            <w:r w:rsidRPr="00452BB8">
              <w:rPr>
                <w:sz w:val="20"/>
                <w:szCs w:val="20"/>
                <w:lang w:eastAsia="en-US"/>
              </w:rPr>
              <w:t xml:space="preserve"> доли загрязненных сточных вод, субъектами Российской Федерации не использована в полном объеме.</w:t>
            </w:r>
          </w:p>
          <w:p w:rsidR="002E0568" w:rsidRPr="00452BB8" w:rsidRDefault="002E0568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color w:val="000000"/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Отчет о ходе реализации </w:t>
            </w:r>
            <w:r w:rsidR="00AC0BFD" w:rsidRPr="00452BB8">
              <w:rPr>
                <w:sz w:val="20"/>
                <w:szCs w:val="20"/>
                <w:lang w:eastAsia="en-US"/>
              </w:rPr>
              <w:t>национального проекта</w:t>
            </w:r>
            <w:r w:rsidRPr="00452BB8">
              <w:rPr>
                <w:sz w:val="20"/>
                <w:szCs w:val="20"/>
                <w:lang w:eastAsia="en-US"/>
              </w:rPr>
              <w:t xml:space="preserve"> «Экология» сформирован в отсутствии отчет</w:t>
            </w:r>
            <w:r w:rsidRPr="00452BB8">
              <w:rPr>
                <w:color w:val="000000"/>
                <w:sz w:val="20"/>
                <w:szCs w:val="20"/>
                <w:lang w:eastAsia="en-US"/>
              </w:rPr>
              <w:t>ов</w:t>
            </w:r>
            <w:r w:rsidRPr="00452BB8">
              <w:rPr>
                <w:sz w:val="20"/>
                <w:szCs w:val="20"/>
                <w:lang w:eastAsia="en-US"/>
              </w:rPr>
              <w:t xml:space="preserve"> о ходе реализации федеральных проектов «Чистая страна»</w:t>
            </w:r>
            <w:r w:rsidRPr="00452BB8">
              <w:rPr>
                <w:color w:val="000000"/>
                <w:sz w:val="20"/>
                <w:szCs w:val="20"/>
                <w:lang w:eastAsia="en-US"/>
              </w:rPr>
              <w:t xml:space="preserve"> (в связи с его доработкой) и </w:t>
            </w:r>
            <w:r w:rsidRPr="00452BB8">
              <w:rPr>
                <w:sz w:val="20"/>
                <w:szCs w:val="20"/>
                <w:lang w:eastAsia="en-US"/>
              </w:rPr>
              <w:t>«Комплексная система обращения с ТКО»</w:t>
            </w:r>
            <w:r w:rsidRPr="00452BB8">
              <w:rPr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452BB8">
              <w:rPr>
                <w:sz w:val="20"/>
                <w:szCs w:val="20"/>
                <w:lang w:eastAsia="en-US"/>
              </w:rPr>
              <w:t>по причине его не</w:t>
            </w:r>
            <w:r w:rsidRPr="00452BB8">
              <w:rPr>
                <w:color w:val="000000"/>
                <w:sz w:val="20"/>
                <w:szCs w:val="20"/>
                <w:lang w:eastAsia="en-US"/>
              </w:rPr>
              <w:t xml:space="preserve"> представления руководителем федерального проекта в Минприроды России).</w:t>
            </w:r>
          </w:p>
          <w:p w:rsidR="002E0568" w:rsidRPr="00452BB8" w:rsidRDefault="002E0568" w:rsidP="00452BB8">
            <w:pPr>
              <w:spacing w:line="240" w:lineRule="auto"/>
              <w:ind w:left="0" w:right="0" w:firstLine="284"/>
              <w:rPr>
                <w:rFonts w:eastAsia="Times New Roman"/>
                <w:spacing w:val="-4"/>
                <w:sz w:val="20"/>
                <w:szCs w:val="20"/>
                <w:lang w:eastAsia="x-none"/>
              </w:rPr>
            </w:pPr>
            <w:r w:rsidRPr="00452BB8">
              <w:rPr>
                <w:rFonts w:eastAsia="Times New Roman"/>
                <w:color w:val="000000"/>
                <w:sz w:val="20"/>
                <w:szCs w:val="20"/>
              </w:rPr>
              <w:t xml:space="preserve">Руководителями федеральных проектов, включенных в </w:t>
            </w:r>
            <w:r w:rsidR="00AC0BFD" w:rsidRPr="00452BB8">
              <w:rPr>
                <w:rFonts w:eastAsia="Times New Roman"/>
                <w:color w:val="000000"/>
                <w:sz w:val="20"/>
                <w:szCs w:val="20"/>
              </w:rPr>
              <w:t>национальный проект</w:t>
            </w:r>
            <w:r w:rsidRPr="00452BB8">
              <w:rPr>
                <w:rFonts w:eastAsia="Times New Roman"/>
                <w:color w:val="000000"/>
                <w:sz w:val="20"/>
                <w:szCs w:val="20"/>
              </w:rPr>
              <w:t xml:space="preserve"> «Экология», не обеспечено своевременное представление всеми участниками федеральных и  региональных проектов информации о реализации федеральных и региональных проектов в информационной системе проектной деятельности, что противоречит пункту 53 Положения об организации проектной деятельности в Правительстве Российской Федерации</w:t>
            </w:r>
            <w:r w:rsidRPr="00452BB8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footnoteReference w:id="8"/>
            </w:r>
            <w:r w:rsidRPr="00452BB8">
              <w:rPr>
                <w:rFonts w:eastAsia="Times New Roman"/>
                <w:color w:val="000000"/>
                <w:sz w:val="20"/>
                <w:szCs w:val="20"/>
              </w:rPr>
              <w:t>.</w:t>
            </w:r>
            <w:r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 xml:space="preserve"> </w:t>
            </w:r>
          </w:p>
          <w:p w:rsidR="002E0568" w:rsidRPr="00452BB8" w:rsidRDefault="002E0568" w:rsidP="00452BB8">
            <w:pPr>
              <w:spacing w:line="240" w:lineRule="auto"/>
              <w:ind w:left="0" w:right="0" w:firstLine="284"/>
              <w:rPr>
                <w:rFonts w:eastAsia="Times New Roman"/>
                <w:spacing w:val="-4"/>
                <w:sz w:val="20"/>
                <w:szCs w:val="20"/>
                <w:lang w:eastAsia="x-none"/>
              </w:rPr>
            </w:pPr>
            <w:r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 xml:space="preserve">По состоянию на 17 октября 2019 года в информационной системе проектной деятельности ежеквартальные отчеты о ходе реализации </w:t>
            </w:r>
            <w:r w:rsidR="00AC0BFD"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>национального проекта</w:t>
            </w:r>
            <w:r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 xml:space="preserve"> «Экология» и включенных в него федеральных проектов не размещены. </w:t>
            </w:r>
            <w:proofErr w:type="gramStart"/>
            <w:r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>Отчеты о ходе реализации региональных проектов, финансируемых в рамках федерального проекта «Чистая вода» размещены 9 из 82 субъектов Российской Федерации, отчеты о реализации региональных проектов, финансируемых в рамках федерального проекта «Оздоровление Волги», размещены 3 из 15 субъектов Российской Федерации.</w:t>
            </w:r>
            <w:proofErr w:type="gramEnd"/>
          </w:p>
          <w:p w:rsidR="002E0568" w:rsidRPr="00452BB8" w:rsidRDefault="0003368A" w:rsidP="00452BB8">
            <w:pPr>
              <w:spacing w:line="240" w:lineRule="auto"/>
              <w:ind w:left="0" w:right="0" w:firstLine="284"/>
              <w:rPr>
                <w:rFonts w:eastAsia="Times New Roman"/>
                <w:spacing w:val="-4"/>
                <w:sz w:val="20"/>
                <w:szCs w:val="20"/>
                <w:lang w:eastAsia="x-none"/>
              </w:rPr>
            </w:pPr>
            <w:r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>В связи с</w:t>
            </w:r>
            <w:r w:rsidR="002E0568"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 xml:space="preserve"> наличие</w:t>
            </w:r>
            <w:r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>м</w:t>
            </w:r>
            <w:r w:rsidR="002E0568"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 xml:space="preserve"> технологических проблем при работе в информационной системе проектной деятельности, отмечен</w:t>
            </w:r>
            <w:r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>ных</w:t>
            </w:r>
            <w:r w:rsidR="002E0568"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 xml:space="preserve"> в протоколе заседания президиума Совета при Президенте Российской Федерации по стратегическому развитию и национальным проектам от 2 июля 2019 г. № 8</w:t>
            </w:r>
            <w:r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>, даны соответствующие поручения по их устранению</w:t>
            </w:r>
            <w:r w:rsidR="002E0568" w:rsidRPr="00452BB8">
              <w:rPr>
                <w:rFonts w:eastAsia="Times New Roman"/>
                <w:spacing w:val="-4"/>
                <w:sz w:val="20"/>
                <w:szCs w:val="20"/>
                <w:lang w:eastAsia="x-none"/>
              </w:rPr>
              <w:t>.</w:t>
            </w:r>
          </w:p>
          <w:p w:rsidR="002E0568" w:rsidRPr="00452BB8" w:rsidRDefault="00872E1D" w:rsidP="00452BB8">
            <w:pPr>
              <w:overflowPunct/>
              <w:spacing w:line="240" w:lineRule="auto"/>
              <w:ind w:left="0" w:right="0" w:firstLine="284"/>
              <w:textAlignment w:val="auto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color w:val="000000"/>
                <w:sz w:val="20"/>
                <w:szCs w:val="20"/>
                <w:lang w:eastAsia="en-US"/>
              </w:rPr>
              <w:t>В о</w:t>
            </w:r>
            <w:r w:rsidR="002E0568" w:rsidRPr="00452BB8">
              <w:rPr>
                <w:color w:val="000000"/>
                <w:sz w:val="20"/>
                <w:szCs w:val="20"/>
                <w:lang w:eastAsia="en-US"/>
              </w:rPr>
              <w:t>тчет</w:t>
            </w:r>
            <w:r w:rsidRPr="00452BB8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2E0568" w:rsidRPr="00452BB8">
              <w:rPr>
                <w:color w:val="000000"/>
                <w:sz w:val="20"/>
                <w:szCs w:val="20"/>
                <w:lang w:eastAsia="en-US"/>
              </w:rPr>
              <w:t xml:space="preserve"> о ходе реализации регионального проекта на 1 октября 2019 г</w:t>
            </w:r>
            <w:r w:rsidRPr="00452BB8">
              <w:rPr>
                <w:color w:val="000000"/>
                <w:sz w:val="20"/>
                <w:szCs w:val="20"/>
                <w:lang w:eastAsia="en-US"/>
              </w:rPr>
              <w:t>ода</w:t>
            </w:r>
            <w:r w:rsidR="002E0568" w:rsidRPr="00452BB8">
              <w:rPr>
                <w:color w:val="000000"/>
                <w:sz w:val="20"/>
                <w:szCs w:val="20"/>
                <w:lang w:eastAsia="en-US"/>
              </w:rPr>
              <w:t xml:space="preserve"> «Сохранение и восстановление водных объектов Новосибирской области» </w:t>
            </w:r>
            <w:r w:rsidR="0003368A" w:rsidRPr="00452BB8">
              <w:rPr>
                <w:color w:val="000000"/>
                <w:sz w:val="20"/>
                <w:szCs w:val="20"/>
                <w:lang w:eastAsia="en-US"/>
              </w:rPr>
              <w:t xml:space="preserve">отмечаются риски </w:t>
            </w:r>
            <w:proofErr w:type="spellStart"/>
            <w:r w:rsidR="0003368A" w:rsidRPr="00452BB8">
              <w:rPr>
                <w:color w:val="000000"/>
                <w:sz w:val="20"/>
                <w:szCs w:val="20"/>
                <w:lang w:eastAsia="en-US"/>
              </w:rPr>
              <w:t>нед</w:t>
            </w:r>
            <w:r w:rsidR="002E0568" w:rsidRPr="00452BB8">
              <w:rPr>
                <w:color w:val="000000"/>
                <w:sz w:val="20"/>
                <w:szCs w:val="20"/>
                <w:lang w:eastAsia="en-US"/>
              </w:rPr>
              <w:t>остижения</w:t>
            </w:r>
            <w:proofErr w:type="spellEnd"/>
            <w:r w:rsidR="002E0568" w:rsidRPr="00452BB8">
              <w:rPr>
                <w:color w:val="000000"/>
                <w:sz w:val="20"/>
                <w:szCs w:val="20"/>
                <w:lang w:eastAsia="en-US"/>
              </w:rPr>
              <w:t xml:space="preserve"> показателей «Количество населения, улучшившего экономические условия проживания вблизи водных объектов» (0,025 млн. человек), «Протяженность расчищенных участков русел рек» (1,9 км) </w:t>
            </w:r>
            <w:r w:rsidR="0003368A" w:rsidRPr="00452BB8">
              <w:rPr>
                <w:color w:val="000000"/>
                <w:sz w:val="20"/>
                <w:szCs w:val="20"/>
                <w:lang w:eastAsia="en-US"/>
              </w:rPr>
              <w:t>в связи с</w:t>
            </w:r>
            <w:r w:rsidR="002E0568" w:rsidRPr="00452BB8">
              <w:rPr>
                <w:color w:val="000000"/>
                <w:sz w:val="20"/>
                <w:szCs w:val="20"/>
                <w:lang w:eastAsia="en-US"/>
              </w:rPr>
              <w:t xml:space="preserve"> неисполнени</w:t>
            </w:r>
            <w:r w:rsidR="0003368A" w:rsidRPr="00452BB8">
              <w:rPr>
                <w:color w:val="000000"/>
                <w:sz w:val="20"/>
                <w:szCs w:val="20"/>
                <w:lang w:eastAsia="en-US"/>
              </w:rPr>
              <w:t>ем</w:t>
            </w:r>
            <w:r w:rsidR="002E0568" w:rsidRPr="00452BB8">
              <w:rPr>
                <w:color w:val="000000"/>
                <w:sz w:val="20"/>
                <w:szCs w:val="20"/>
                <w:lang w:eastAsia="en-US"/>
              </w:rPr>
              <w:t xml:space="preserve"> подрядчиком условий государственных контрактов.</w:t>
            </w:r>
            <w:proofErr w:type="gramEnd"/>
            <w:r w:rsidR="002E0568" w:rsidRPr="00452BB8">
              <w:rPr>
                <w:color w:val="000000"/>
                <w:sz w:val="20"/>
                <w:szCs w:val="20"/>
                <w:lang w:eastAsia="en-US"/>
              </w:rPr>
              <w:t xml:space="preserve"> При этом в ежеквартальном отчете о ходе реализации федерального проекта «Сохранение уникальных водных объектов» отражено отсутствие рисков в связи с достижением всех результатов в установленные сроки. </w:t>
            </w:r>
          </w:p>
          <w:p w:rsidR="002E0568" w:rsidRPr="00452BB8" w:rsidRDefault="002E0568" w:rsidP="00452BB8">
            <w:pPr>
              <w:tabs>
                <w:tab w:val="left" w:pos="709"/>
              </w:tabs>
              <w:spacing w:line="240" w:lineRule="auto"/>
              <w:ind w:left="0" w:right="0" w:firstLine="284"/>
              <w:rPr>
                <w:rFonts w:eastAsia="Times New Roman"/>
                <w:sz w:val="20"/>
                <w:szCs w:val="20"/>
              </w:rPr>
            </w:pPr>
            <w:r w:rsidRPr="00452BB8">
              <w:rPr>
                <w:rFonts w:eastAsia="Times New Roman"/>
                <w:sz w:val="20"/>
                <w:szCs w:val="20"/>
              </w:rPr>
              <w:t>Наличие критических отклонений установлено по федеральному проекту «Сохранение озера Байкал» при выполнении показателей, достижении задач и результатов, а также при исполнении бюджета.</w:t>
            </w:r>
          </w:p>
          <w:p w:rsidR="002E0568" w:rsidRPr="00452BB8" w:rsidRDefault="002E0568" w:rsidP="00452BB8">
            <w:pPr>
              <w:tabs>
                <w:tab w:val="left" w:pos="709"/>
              </w:tabs>
              <w:spacing w:line="240" w:lineRule="auto"/>
              <w:ind w:left="0" w:right="0" w:firstLine="284"/>
              <w:rPr>
                <w:rFonts w:eastAsia="Times New Roman"/>
                <w:sz w:val="20"/>
                <w:szCs w:val="20"/>
              </w:rPr>
            </w:pPr>
            <w:proofErr w:type="gramStart"/>
            <w:r w:rsidRPr="00452BB8">
              <w:rPr>
                <w:rFonts w:eastAsia="Times New Roman"/>
                <w:sz w:val="20"/>
                <w:szCs w:val="20"/>
              </w:rPr>
              <w:t>Ключевые риски реализации нац</w:t>
            </w:r>
            <w:r w:rsidR="00872E1D" w:rsidRPr="00452BB8">
              <w:rPr>
                <w:rFonts w:eastAsia="Times New Roman"/>
                <w:sz w:val="20"/>
                <w:szCs w:val="20"/>
              </w:rPr>
              <w:t xml:space="preserve">ионального </w:t>
            </w:r>
            <w:r w:rsidRPr="00452BB8">
              <w:rPr>
                <w:rFonts w:eastAsia="Times New Roman"/>
                <w:sz w:val="20"/>
                <w:szCs w:val="20"/>
              </w:rPr>
              <w:t>проекта определены при исполнении бюджета по федеральным проектам «Чистый воздух», «Сохранение био</w:t>
            </w:r>
            <w:r w:rsidR="00627FDA" w:rsidRPr="00452BB8">
              <w:rPr>
                <w:rFonts w:eastAsia="Times New Roman"/>
                <w:sz w:val="20"/>
                <w:szCs w:val="20"/>
              </w:rPr>
              <w:t xml:space="preserve">логического </w:t>
            </w:r>
            <w:r w:rsidRPr="00452BB8">
              <w:rPr>
                <w:rFonts w:eastAsia="Times New Roman"/>
                <w:sz w:val="20"/>
                <w:szCs w:val="20"/>
              </w:rPr>
              <w:t xml:space="preserve">разнообразия и развитие экологического туризма», при выполнении показателей – по </w:t>
            </w:r>
            <w:r w:rsidR="00F72763" w:rsidRPr="00452BB8">
              <w:rPr>
                <w:rFonts w:eastAsia="Times New Roman"/>
                <w:sz w:val="20"/>
                <w:szCs w:val="20"/>
              </w:rPr>
              <w:t>федеральным проектам</w:t>
            </w:r>
            <w:r w:rsidRPr="00452BB8">
              <w:rPr>
                <w:rFonts w:eastAsia="Times New Roman"/>
                <w:sz w:val="20"/>
                <w:szCs w:val="20"/>
              </w:rPr>
              <w:t xml:space="preserve"> «Чистый воздух», </w:t>
            </w:r>
            <w:r w:rsidR="00627FDA" w:rsidRPr="00452BB8">
              <w:rPr>
                <w:rFonts w:eastAsia="Times New Roman"/>
                <w:sz w:val="20"/>
                <w:szCs w:val="20"/>
              </w:rPr>
              <w:t>«Сохранение биологического разнообразия и развитие экологического туризма»</w:t>
            </w:r>
            <w:r w:rsidRPr="00452BB8">
              <w:rPr>
                <w:rFonts w:eastAsia="Times New Roman"/>
                <w:sz w:val="20"/>
                <w:szCs w:val="20"/>
              </w:rPr>
              <w:t xml:space="preserve">, «Внедрение НДТ», а также при достижении результатов – по </w:t>
            </w:r>
            <w:r w:rsidR="00F72763" w:rsidRPr="00452BB8">
              <w:rPr>
                <w:rFonts w:eastAsia="Times New Roman"/>
                <w:sz w:val="20"/>
                <w:szCs w:val="20"/>
              </w:rPr>
              <w:t>федеральным проектам</w:t>
            </w:r>
            <w:r w:rsidRPr="00452BB8">
              <w:rPr>
                <w:rFonts w:eastAsia="Times New Roman"/>
                <w:sz w:val="20"/>
                <w:szCs w:val="20"/>
              </w:rPr>
              <w:t xml:space="preserve"> «Чистый воздух», «Инфраструктура для обращения с отходами I и II классов опасности», «Оздоровление Волги</w:t>
            </w:r>
            <w:proofErr w:type="gramEnd"/>
            <w:r w:rsidRPr="00452BB8">
              <w:rPr>
                <w:rFonts w:eastAsia="Times New Roman"/>
                <w:sz w:val="20"/>
                <w:szCs w:val="20"/>
              </w:rPr>
              <w:t xml:space="preserve">», </w:t>
            </w:r>
            <w:r w:rsidR="00627FDA" w:rsidRPr="00452BB8">
              <w:rPr>
                <w:rFonts w:eastAsia="Times New Roman"/>
                <w:sz w:val="20"/>
                <w:szCs w:val="20"/>
              </w:rPr>
              <w:t>«Сохранение биологического разнообразия и развитие экологического туризма»</w:t>
            </w:r>
            <w:r w:rsidRPr="00452BB8">
              <w:rPr>
                <w:rFonts w:eastAsia="Times New Roman"/>
                <w:sz w:val="20"/>
                <w:szCs w:val="20"/>
              </w:rPr>
              <w:t>, «Сохранение лесов», «Внедрение НДТ».</w:t>
            </w:r>
          </w:p>
          <w:p w:rsidR="002E0568" w:rsidRPr="00452BB8" w:rsidRDefault="002E0568" w:rsidP="00452BB8">
            <w:pPr>
              <w:spacing w:line="240" w:lineRule="auto"/>
              <w:ind w:left="0" w:right="0" w:firstLine="284"/>
              <w:rPr>
                <w:rFonts w:eastAsia="Times New Roman"/>
                <w:sz w:val="20"/>
                <w:szCs w:val="20"/>
              </w:rPr>
            </w:pPr>
            <w:r w:rsidRPr="00452BB8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r w:rsidRPr="00452BB8">
              <w:rPr>
                <w:rFonts w:eastAsia="Times New Roman"/>
                <w:sz w:val="20"/>
                <w:szCs w:val="20"/>
              </w:rPr>
              <w:t xml:space="preserve">отчете о ходе реализации </w:t>
            </w:r>
            <w:r w:rsidR="00F72763" w:rsidRPr="00452BB8">
              <w:rPr>
                <w:rFonts w:eastAsia="Times New Roman"/>
                <w:sz w:val="20"/>
                <w:szCs w:val="20"/>
              </w:rPr>
              <w:t>национального проекта</w:t>
            </w:r>
            <w:r w:rsidRPr="00452BB8">
              <w:rPr>
                <w:rFonts w:eastAsia="Times New Roman"/>
                <w:sz w:val="20"/>
                <w:szCs w:val="20"/>
              </w:rPr>
              <w:t xml:space="preserve"> «Экология» не отражено наличие риска по федеральному проекту </w:t>
            </w:r>
            <w:r w:rsidR="00627FDA" w:rsidRPr="00452BB8">
              <w:rPr>
                <w:rFonts w:eastAsia="Times New Roman"/>
                <w:sz w:val="20"/>
                <w:szCs w:val="20"/>
              </w:rPr>
              <w:t>«Сохранение биологического разнообразия и развитие экологического туризма»</w:t>
            </w:r>
            <w:r w:rsidRPr="00452BB8">
              <w:rPr>
                <w:rFonts w:eastAsia="Times New Roman"/>
                <w:sz w:val="20"/>
                <w:szCs w:val="20"/>
              </w:rPr>
              <w:t xml:space="preserve"> при выполнении мероприятия по улучшению транспортной доступности в национальных парках в связи с несвоевременным проведением отбора национальных парков, в которых будут реализованы мероприятия по улучшению транспортной доступности. </w:t>
            </w:r>
          </w:p>
          <w:p w:rsidR="002E0568" w:rsidRPr="00452BB8" w:rsidRDefault="002E0568" w:rsidP="00452BB8">
            <w:pPr>
              <w:shd w:val="clear" w:color="auto" w:fill="FFFFFF"/>
              <w:spacing w:line="240" w:lineRule="auto"/>
              <w:ind w:left="0" w:right="0" w:firstLine="284"/>
              <w:rPr>
                <w:rFonts w:eastAsia="Times New Roman"/>
                <w:color w:val="1C1C1C"/>
                <w:sz w:val="20"/>
                <w:szCs w:val="20"/>
              </w:rPr>
            </w:pPr>
            <w:r w:rsidRPr="00452BB8">
              <w:rPr>
                <w:rFonts w:eastAsia="Times New Roman"/>
                <w:color w:val="1C1C1C"/>
                <w:sz w:val="20"/>
                <w:szCs w:val="20"/>
              </w:rPr>
              <w:t xml:space="preserve">В отчете о ходе реализации </w:t>
            </w:r>
            <w:r w:rsidR="00226074" w:rsidRPr="00452BB8">
              <w:rPr>
                <w:rFonts w:eastAsia="Times New Roman"/>
                <w:color w:val="1C1C1C"/>
                <w:sz w:val="20"/>
                <w:szCs w:val="20"/>
              </w:rPr>
              <w:t>национального проекта</w:t>
            </w:r>
            <w:r w:rsidRPr="00452BB8">
              <w:rPr>
                <w:rFonts w:eastAsia="Times New Roman"/>
                <w:color w:val="1C1C1C"/>
                <w:sz w:val="20"/>
                <w:szCs w:val="20"/>
              </w:rPr>
              <w:t xml:space="preserve"> «Экология» отражена информация о фактических значениях 21 показателя федеральных проектов, из них по 11 установлены плановые значения на 2019 год. </w:t>
            </w:r>
          </w:p>
          <w:p w:rsidR="002E0568" w:rsidRPr="00452BB8" w:rsidRDefault="002E0568" w:rsidP="00452BB8">
            <w:pPr>
              <w:shd w:val="clear" w:color="auto" w:fill="FFFFFF"/>
              <w:spacing w:line="240" w:lineRule="auto"/>
              <w:ind w:left="0" w:right="0" w:firstLine="284"/>
              <w:rPr>
                <w:rFonts w:eastAsia="Times New Roman"/>
                <w:color w:val="1C1C1C"/>
                <w:sz w:val="20"/>
                <w:szCs w:val="20"/>
              </w:rPr>
            </w:pPr>
            <w:r w:rsidRPr="00452BB8">
              <w:rPr>
                <w:rFonts w:eastAsia="Times New Roman"/>
                <w:color w:val="1C1C1C"/>
                <w:sz w:val="20"/>
                <w:szCs w:val="20"/>
              </w:rPr>
              <w:t xml:space="preserve">По 4 из 11 показателей </w:t>
            </w:r>
            <w:r w:rsidR="00226074" w:rsidRPr="00452BB8">
              <w:rPr>
                <w:rFonts w:eastAsia="Times New Roman"/>
                <w:color w:val="1C1C1C"/>
                <w:sz w:val="20"/>
                <w:szCs w:val="20"/>
              </w:rPr>
              <w:t xml:space="preserve">их </w:t>
            </w:r>
            <w:r w:rsidRPr="00452BB8">
              <w:rPr>
                <w:rFonts w:eastAsia="Times New Roman"/>
                <w:color w:val="1C1C1C"/>
                <w:sz w:val="20"/>
                <w:szCs w:val="20"/>
              </w:rPr>
              <w:t>достижение предусмотрено в IV квартале текущего года, по 7 – соответствует</w:t>
            </w:r>
            <w:r w:rsidR="00226074" w:rsidRPr="00452BB8">
              <w:rPr>
                <w:rFonts w:eastAsia="Times New Roman"/>
                <w:color w:val="1C1C1C"/>
                <w:sz w:val="20"/>
                <w:szCs w:val="20"/>
              </w:rPr>
              <w:t xml:space="preserve"> уровню</w:t>
            </w:r>
            <w:r w:rsidRPr="00452BB8">
              <w:rPr>
                <w:rFonts w:eastAsia="Times New Roman"/>
                <w:color w:val="1C1C1C"/>
                <w:sz w:val="20"/>
                <w:szCs w:val="20"/>
              </w:rPr>
              <w:t xml:space="preserve"> от 43 % </w:t>
            </w:r>
            <w:proofErr w:type="gramStart"/>
            <w:r w:rsidRPr="00452BB8">
              <w:rPr>
                <w:rFonts w:eastAsia="Times New Roman"/>
                <w:color w:val="1C1C1C"/>
                <w:sz w:val="20"/>
                <w:szCs w:val="20"/>
              </w:rPr>
              <w:t>до</w:t>
            </w:r>
            <w:proofErr w:type="gramEnd"/>
            <w:r w:rsidRPr="00452BB8">
              <w:rPr>
                <w:rFonts w:eastAsia="Times New Roman"/>
                <w:color w:val="1C1C1C"/>
                <w:sz w:val="20"/>
                <w:szCs w:val="20"/>
              </w:rPr>
              <w:t xml:space="preserve"> 98</w:t>
            </w:r>
            <w:r w:rsidR="00226074" w:rsidRPr="00452BB8">
              <w:rPr>
                <w:rFonts w:eastAsia="Times New Roman"/>
                <w:color w:val="1C1C1C"/>
                <w:sz w:val="20"/>
                <w:szCs w:val="20"/>
              </w:rPr>
              <w:t> </w:t>
            </w:r>
            <w:r w:rsidRPr="00452BB8">
              <w:rPr>
                <w:rFonts w:eastAsia="Times New Roman"/>
                <w:color w:val="1C1C1C"/>
                <w:sz w:val="20"/>
                <w:szCs w:val="20"/>
              </w:rPr>
              <w:t>%.</w:t>
            </w:r>
          </w:p>
          <w:p w:rsidR="002E0568" w:rsidRPr="00452BB8" w:rsidRDefault="002E0568" w:rsidP="00452BB8">
            <w:pPr>
              <w:shd w:val="clear" w:color="auto" w:fill="FFFFFF"/>
              <w:spacing w:line="240" w:lineRule="auto"/>
              <w:ind w:left="0" w:right="0" w:firstLine="284"/>
              <w:rPr>
                <w:rFonts w:eastAsia="Times New Roman"/>
                <w:color w:val="1C1C1C"/>
                <w:sz w:val="20"/>
                <w:szCs w:val="20"/>
              </w:rPr>
            </w:pPr>
            <w:proofErr w:type="gramStart"/>
            <w:r w:rsidRPr="00452BB8">
              <w:rPr>
                <w:rFonts w:eastAsia="Times New Roman"/>
                <w:color w:val="1C1C1C"/>
                <w:sz w:val="20"/>
                <w:szCs w:val="20"/>
              </w:rPr>
              <w:t>По 2 показателям (15,4 %) установлены риски их невыполнения, в том числе по показателям «Количество особо охраняемых природных территорий федерального значения» (план 223 шт</w:t>
            </w:r>
            <w:r w:rsidR="004E0C97" w:rsidRPr="00452BB8">
              <w:rPr>
                <w:rFonts w:eastAsia="Times New Roman"/>
                <w:color w:val="1C1C1C"/>
                <w:sz w:val="20"/>
                <w:szCs w:val="20"/>
              </w:rPr>
              <w:t>.</w:t>
            </w:r>
            <w:r w:rsidRPr="00452BB8">
              <w:rPr>
                <w:rFonts w:eastAsia="Times New Roman"/>
                <w:color w:val="1C1C1C"/>
                <w:sz w:val="20"/>
                <w:szCs w:val="20"/>
              </w:rPr>
              <w:t xml:space="preserve"> факт – 218</w:t>
            </w:r>
            <w:r w:rsidR="004E0C97" w:rsidRPr="00452BB8">
              <w:rPr>
                <w:rFonts w:eastAsia="Times New Roman"/>
                <w:color w:val="1C1C1C"/>
                <w:sz w:val="20"/>
                <w:szCs w:val="20"/>
              </w:rPr>
              <w:t xml:space="preserve"> шт.</w:t>
            </w:r>
            <w:r w:rsidRPr="00452BB8">
              <w:rPr>
                <w:rFonts w:eastAsia="Times New Roman"/>
                <w:color w:val="1C1C1C"/>
                <w:sz w:val="20"/>
                <w:szCs w:val="20"/>
              </w:rPr>
              <w:t xml:space="preserve">) и «Увеличение площади особо охраняемых природных территорий» (план 3 млн. га, факт – 1,3 млн. га), что </w:t>
            </w:r>
            <w:r w:rsidR="00B22C11" w:rsidRPr="00452BB8">
              <w:rPr>
                <w:rFonts w:eastAsia="Times New Roman"/>
                <w:color w:val="1C1C1C"/>
                <w:sz w:val="20"/>
                <w:szCs w:val="20"/>
              </w:rPr>
              <w:t>связано с</w:t>
            </w:r>
            <w:r w:rsidRPr="00452BB8">
              <w:rPr>
                <w:rFonts w:eastAsia="Times New Roman"/>
                <w:color w:val="1C1C1C"/>
                <w:sz w:val="20"/>
                <w:szCs w:val="20"/>
              </w:rPr>
              <w:t xml:space="preserve"> отсутствием согласованного проекта акта Правительства Российской Федерации о создании национальных парков, а также в связи с</w:t>
            </w:r>
            <w:proofErr w:type="gramEnd"/>
            <w:r w:rsidRPr="00452BB8">
              <w:rPr>
                <w:rFonts w:eastAsia="Times New Roman"/>
                <w:color w:val="1C1C1C"/>
                <w:sz w:val="20"/>
                <w:szCs w:val="20"/>
              </w:rPr>
              <w:t xml:space="preserve"> несвоевременностью создания ФГБУ, которые будут осуществлять управление </w:t>
            </w:r>
            <w:r w:rsidRPr="00452BB8">
              <w:rPr>
                <w:rFonts w:eastAsia="Times New Roman"/>
                <w:color w:val="1C1C1C"/>
                <w:sz w:val="20"/>
                <w:szCs w:val="20"/>
              </w:rPr>
              <w:lastRenderedPageBreak/>
              <w:t>созданными в рамках федерального проекта «Сохранение биологического разнообразия и развитие экологического туризма» ООПТ.</w:t>
            </w:r>
          </w:p>
          <w:p w:rsidR="002E0568" w:rsidRPr="00452BB8" w:rsidRDefault="002E0568" w:rsidP="00452BB8">
            <w:pPr>
              <w:shd w:val="clear" w:color="auto" w:fill="FFFFFF"/>
              <w:spacing w:line="240" w:lineRule="auto"/>
              <w:ind w:left="0" w:right="0" w:firstLine="284"/>
              <w:rPr>
                <w:rFonts w:eastAsia="Times New Roman"/>
                <w:color w:val="1C1C1C"/>
                <w:sz w:val="20"/>
                <w:szCs w:val="20"/>
              </w:rPr>
            </w:pPr>
            <w:r w:rsidRPr="00452BB8">
              <w:rPr>
                <w:rFonts w:eastAsia="Times New Roman"/>
                <w:color w:val="1C1C1C"/>
                <w:sz w:val="20"/>
                <w:szCs w:val="20"/>
              </w:rPr>
              <w:t>Из 107 контрольных точек со сроком выполнения до 1 октября 2019 года с соблюдением срока выполнено 89, или 83,2 %, с нарушением срока - 15, или 14,0 %, не выполнено - 3, или 2,8 %.</w:t>
            </w:r>
          </w:p>
          <w:p w:rsidR="00F77B20" w:rsidRPr="00452BB8" w:rsidRDefault="002E0568" w:rsidP="00452BB8">
            <w:pPr>
              <w:shd w:val="clear" w:color="auto" w:fill="FFFFFF"/>
              <w:spacing w:line="240" w:lineRule="auto"/>
              <w:ind w:left="0" w:right="0" w:firstLine="284"/>
              <w:rPr>
                <w:sz w:val="20"/>
                <w:szCs w:val="20"/>
                <w:lang w:eastAsia="en-US"/>
              </w:rPr>
            </w:pPr>
            <w:r w:rsidRPr="00452BB8">
              <w:rPr>
                <w:rFonts w:eastAsia="Times New Roman"/>
                <w:color w:val="1C1C1C"/>
                <w:sz w:val="20"/>
                <w:szCs w:val="20"/>
              </w:rPr>
              <w:t>В основном с нарушением сроков выполнены контрольные точки по согласованию и прин</w:t>
            </w:r>
            <w:r w:rsidR="00AC1FCF" w:rsidRPr="00452BB8">
              <w:rPr>
                <w:rFonts w:eastAsia="Times New Roman"/>
                <w:color w:val="1C1C1C"/>
                <w:sz w:val="20"/>
                <w:szCs w:val="20"/>
              </w:rPr>
              <w:t>ятию нормативных правовых актов</w:t>
            </w:r>
          </w:p>
        </w:tc>
      </w:tr>
      <w:tr w:rsidR="002E0568" w:rsidRPr="00452BB8" w:rsidTr="00452BB8">
        <w:trPr>
          <w:trHeight w:val="945"/>
        </w:trPr>
        <w:tc>
          <w:tcPr>
            <w:tcW w:w="505" w:type="dxa"/>
          </w:tcPr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2189" w:type="dxa"/>
          </w:tcPr>
          <w:p w:rsidR="002E0568" w:rsidRPr="00452BB8" w:rsidRDefault="002E0568" w:rsidP="00452BB8">
            <w:pPr>
              <w:spacing w:line="240" w:lineRule="auto"/>
              <w:ind w:left="0" w:right="0" w:firstLine="0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Цифровая экономика Российской Федерации</w:t>
            </w:r>
          </w:p>
        </w:tc>
        <w:tc>
          <w:tcPr>
            <w:tcW w:w="8363" w:type="dxa"/>
          </w:tcPr>
          <w:p w:rsidR="00282D7A" w:rsidRPr="00452BB8" w:rsidRDefault="00282D7A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В рамках </w:t>
            </w:r>
            <w:r w:rsidRPr="00452BB8">
              <w:rPr>
                <w:b/>
                <w:sz w:val="20"/>
                <w:szCs w:val="20"/>
                <w:lang w:eastAsia="en-US"/>
              </w:rPr>
              <w:t>национальной программы «Цифровая экономика»</w:t>
            </w:r>
            <w:r w:rsidRPr="00452BB8">
              <w:rPr>
                <w:sz w:val="20"/>
                <w:szCs w:val="20"/>
                <w:lang w:eastAsia="en-US"/>
              </w:rPr>
              <w:t xml:space="preserve"> кассовое исполнение не осуществлялось по расходам на предоставление субсидии на создание Дирекции национальной программы «Цифровая экономика Российской Федерации» в связи с длительной подготовкой проекта соглашения о предоставлении субсидии; на предоставление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субсидии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на создание отраслевого центра Государственной системы обнаружения, предупреждения и ликвидации последствий компьютерных атак (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ГосСОПКА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) и включение его в систему автоматизированного обмена информацией об актуальных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киберугрозах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в связи с отсутствием заключенного соглашения о предоставлении субсидии юридическому (физическому) лицу; на научно-исследовательские и опытно-конструкторские работы в связи с поздним утверждением технических заданий и подготовкой конкурсных процедур.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В соответствии с приказами об утверждении методик расчета показателей, формы сбора исходной информации представляются с годовой периодичностью и не могут быть использованы для мониторинга в течение года.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В связи с этим, в рамках ежеквартальных отчетов о ходе реализации национальной программы в соответствии с формой 2 «Сведения о значениях целей и показателей» по каждому дополнительному показателю </w:t>
            </w:r>
            <w:r w:rsidR="00AC1FCF" w:rsidRPr="00452BB8">
              <w:rPr>
                <w:sz w:val="20"/>
                <w:szCs w:val="20"/>
                <w:lang w:eastAsia="en-US"/>
              </w:rPr>
              <w:t>отмечается</w:t>
            </w:r>
            <w:r w:rsidRPr="00452BB8">
              <w:rPr>
                <w:sz w:val="20"/>
                <w:szCs w:val="20"/>
                <w:lang w:eastAsia="en-US"/>
              </w:rPr>
              <w:t xml:space="preserve"> невозможност</w:t>
            </w:r>
            <w:r w:rsidR="00AC1FCF" w:rsidRPr="00452BB8">
              <w:rPr>
                <w:sz w:val="20"/>
                <w:szCs w:val="20"/>
                <w:lang w:eastAsia="en-US"/>
              </w:rPr>
              <w:t>ь рас</w:t>
            </w:r>
            <w:r w:rsidRPr="00452BB8">
              <w:rPr>
                <w:sz w:val="20"/>
                <w:szCs w:val="20"/>
                <w:lang w:eastAsia="en-US"/>
              </w:rPr>
              <w:t>ч</w:t>
            </w:r>
            <w:r w:rsidR="00AC1FCF" w:rsidRPr="00452BB8">
              <w:rPr>
                <w:sz w:val="20"/>
                <w:szCs w:val="20"/>
                <w:lang w:eastAsia="en-US"/>
              </w:rPr>
              <w:t>ета</w:t>
            </w:r>
            <w:r w:rsidRPr="00452BB8">
              <w:rPr>
                <w:sz w:val="20"/>
                <w:szCs w:val="20"/>
                <w:lang w:eastAsia="en-US"/>
              </w:rPr>
              <w:t xml:space="preserve"> значения ежеквартально.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При этом предоставление официальной статистической информации по большинству показателей начинается только с 2020 года.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contextualSpacing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По </w:t>
            </w:r>
            <w:r w:rsidR="00AC1FCF" w:rsidRPr="00452BB8">
              <w:rPr>
                <w:sz w:val="20"/>
                <w:szCs w:val="20"/>
                <w:lang w:eastAsia="en-US"/>
              </w:rPr>
              <w:t>федеральному проекту</w:t>
            </w:r>
            <w:r w:rsidRPr="00452BB8">
              <w:rPr>
                <w:sz w:val="20"/>
                <w:szCs w:val="20"/>
                <w:lang w:eastAsia="en-US"/>
              </w:rPr>
              <w:t xml:space="preserve"> «Цифровые технологии» </w:t>
            </w:r>
            <w:r w:rsidRPr="00452BB8">
              <w:rPr>
                <w:rFonts w:eastAsia="Times New Roman"/>
                <w:sz w:val="20"/>
                <w:szCs w:val="20"/>
              </w:rPr>
              <w:t xml:space="preserve">из 29 </w:t>
            </w:r>
            <w:proofErr w:type="gramStart"/>
            <w:r w:rsidRPr="00452BB8">
              <w:rPr>
                <w:rFonts w:eastAsia="Times New Roman"/>
                <w:sz w:val="20"/>
                <w:szCs w:val="20"/>
              </w:rPr>
              <w:t xml:space="preserve">результатов, </w:t>
            </w:r>
            <w:r w:rsidRPr="00452BB8">
              <w:rPr>
                <w:sz w:val="20"/>
                <w:szCs w:val="20"/>
                <w:lang w:eastAsia="en-US"/>
              </w:rPr>
              <w:t>представленных в отчете не дости</w:t>
            </w:r>
            <w:r w:rsidR="00AC1FCF" w:rsidRPr="00452BB8">
              <w:rPr>
                <w:sz w:val="20"/>
                <w:szCs w:val="20"/>
                <w:lang w:eastAsia="en-US"/>
              </w:rPr>
              <w:t>гнуто</w:t>
            </w:r>
            <w:proofErr w:type="gramEnd"/>
            <w:r w:rsidR="00AC1FCF" w:rsidRPr="00452BB8">
              <w:rPr>
                <w:sz w:val="20"/>
                <w:szCs w:val="20"/>
                <w:lang w:eastAsia="en-US"/>
              </w:rPr>
              <w:t xml:space="preserve"> в срок 9 результатов (31 </w:t>
            </w:r>
            <w:r w:rsidRPr="00452BB8">
              <w:rPr>
                <w:sz w:val="20"/>
                <w:szCs w:val="20"/>
                <w:lang w:eastAsia="en-US"/>
              </w:rPr>
              <w:t>%), достигнуто 4 результата (13,8</w:t>
            </w:r>
            <w:r w:rsidR="00AC1FCF" w:rsidRPr="00452BB8">
              <w:rPr>
                <w:sz w:val="20"/>
                <w:szCs w:val="20"/>
                <w:lang w:eastAsia="en-US"/>
              </w:rPr>
              <w:t> </w:t>
            </w:r>
            <w:r w:rsidRPr="00452BB8">
              <w:rPr>
                <w:sz w:val="20"/>
                <w:szCs w:val="20"/>
                <w:lang w:eastAsia="en-US"/>
              </w:rPr>
              <w:t>%), срок не наступил по 16 результатам (55,2 %).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contextualSpacing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По </w:t>
            </w:r>
            <w:r w:rsidR="00AC1FCF" w:rsidRPr="00452BB8">
              <w:rPr>
                <w:sz w:val="20"/>
                <w:szCs w:val="20"/>
                <w:lang w:eastAsia="en-US"/>
              </w:rPr>
              <w:t>федеральному проекту</w:t>
            </w:r>
            <w:r w:rsidRPr="00452BB8">
              <w:rPr>
                <w:sz w:val="20"/>
                <w:szCs w:val="20"/>
                <w:lang w:eastAsia="en-US"/>
              </w:rPr>
              <w:t xml:space="preserve"> «Цифровое государственное управление» </w:t>
            </w:r>
            <w:r w:rsidRPr="00452BB8">
              <w:rPr>
                <w:rFonts w:eastAsia="Times New Roman"/>
                <w:sz w:val="20"/>
                <w:szCs w:val="20"/>
              </w:rPr>
              <w:t xml:space="preserve">из 51 </w:t>
            </w:r>
            <w:proofErr w:type="gramStart"/>
            <w:r w:rsidRPr="00452BB8">
              <w:rPr>
                <w:rFonts w:eastAsia="Times New Roman"/>
                <w:sz w:val="20"/>
                <w:szCs w:val="20"/>
              </w:rPr>
              <w:t xml:space="preserve">результата, </w:t>
            </w:r>
            <w:r w:rsidRPr="00452BB8">
              <w:rPr>
                <w:sz w:val="20"/>
                <w:szCs w:val="20"/>
                <w:lang w:eastAsia="en-US"/>
              </w:rPr>
              <w:t>представленн</w:t>
            </w:r>
            <w:r w:rsidR="00AC1FCF" w:rsidRPr="00452BB8">
              <w:rPr>
                <w:sz w:val="20"/>
                <w:szCs w:val="20"/>
                <w:lang w:eastAsia="en-US"/>
              </w:rPr>
              <w:t>ого</w:t>
            </w:r>
            <w:r w:rsidRPr="00452BB8">
              <w:rPr>
                <w:sz w:val="20"/>
                <w:szCs w:val="20"/>
                <w:lang w:eastAsia="en-US"/>
              </w:rPr>
              <w:t xml:space="preserve"> в отчете</w:t>
            </w:r>
            <w:r w:rsidR="00AC1FCF" w:rsidRPr="00452BB8">
              <w:rPr>
                <w:sz w:val="20"/>
                <w:szCs w:val="20"/>
                <w:lang w:eastAsia="en-US"/>
              </w:rPr>
              <w:t xml:space="preserve"> достигнуто</w:t>
            </w:r>
            <w:proofErr w:type="gramEnd"/>
            <w:r w:rsidR="00AC1FCF" w:rsidRPr="00452BB8">
              <w:rPr>
                <w:sz w:val="20"/>
                <w:szCs w:val="20"/>
                <w:lang w:eastAsia="en-US"/>
              </w:rPr>
              <w:t xml:space="preserve"> 2 результата (3,9 </w:t>
            </w:r>
            <w:r w:rsidRPr="00452BB8">
              <w:rPr>
                <w:sz w:val="20"/>
                <w:szCs w:val="20"/>
                <w:lang w:eastAsia="en-US"/>
              </w:rPr>
              <w:t>%), срок не наступил по 49 результатам (96,1 %).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Следует отметить, что </w:t>
            </w:r>
            <w:r w:rsidR="00AC1FCF" w:rsidRPr="00452BB8">
              <w:rPr>
                <w:sz w:val="20"/>
                <w:szCs w:val="20"/>
                <w:lang w:eastAsia="en-US"/>
              </w:rPr>
              <w:t xml:space="preserve">в </w:t>
            </w:r>
            <w:r w:rsidRPr="00452BB8">
              <w:rPr>
                <w:sz w:val="20"/>
                <w:szCs w:val="20"/>
                <w:lang w:eastAsia="en-US"/>
              </w:rPr>
              <w:t>нов</w:t>
            </w:r>
            <w:r w:rsidR="00AC1FCF" w:rsidRPr="00452BB8">
              <w:rPr>
                <w:sz w:val="20"/>
                <w:szCs w:val="20"/>
                <w:lang w:eastAsia="en-US"/>
              </w:rPr>
              <w:t>ую</w:t>
            </w:r>
            <w:r w:rsidRPr="00452BB8">
              <w:rPr>
                <w:sz w:val="20"/>
                <w:szCs w:val="20"/>
                <w:lang w:eastAsia="en-US"/>
              </w:rPr>
              <w:t xml:space="preserve"> редакци</w:t>
            </w:r>
            <w:r w:rsidR="00AC1FCF" w:rsidRPr="00452BB8">
              <w:rPr>
                <w:sz w:val="20"/>
                <w:szCs w:val="20"/>
                <w:lang w:eastAsia="en-US"/>
              </w:rPr>
              <w:t>ю</w:t>
            </w:r>
            <w:r w:rsidRPr="00452BB8">
              <w:rPr>
                <w:sz w:val="20"/>
                <w:szCs w:val="20"/>
                <w:lang w:eastAsia="en-US"/>
              </w:rPr>
              <w:t xml:space="preserve"> паспорта национальной программы (</w:t>
            </w:r>
            <w:proofErr w:type="gramStart"/>
            <w:r w:rsidR="00AC1FCF" w:rsidRPr="00452BB8">
              <w:rPr>
                <w:sz w:val="20"/>
                <w:szCs w:val="20"/>
                <w:lang w:eastAsia="en-US"/>
              </w:rPr>
              <w:t>утверждена</w:t>
            </w:r>
            <w:proofErr w:type="gramEnd"/>
            <w:r w:rsidR="00AC1FCF" w:rsidRPr="00452BB8">
              <w:rPr>
                <w:sz w:val="20"/>
                <w:szCs w:val="20"/>
                <w:lang w:eastAsia="en-US"/>
              </w:rPr>
              <w:t xml:space="preserve"> </w:t>
            </w:r>
            <w:r w:rsidRPr="00452BB8">
              <w:rPr>
                <w:sz w:val="20"/>
                <w:szCs w:val="20"/>
                <w:lang w:eastAsia="en-US"/>
              </w:rPr>
              <w:t>4 июня 2019 г</w:t>
            </w:r>
            <w:r w:rsidR="00AC1FCF" w:rsidRPr="00452BB8">
              <w:rPr>
                <w:sz w:val="20"/>
                <w:szCs w:val="20"/>
                <w:lang w:eastAsia="en-US"/>
              </w:rPr>
              <w:t>ода)</w:t>
            </w:r>
            <w:r w:rsidRPr="00452BB8">
              <w:rPr>
                <w:sz w:val="20"/>
                <w:szCs w:val="20"/>
                <w:lang w:eastAsia="en-US"/>
              </w:rPr>
              <w:t xml:space="preserve"> внесено 3 изменения и подготовлено</w:t>
            </w:r>
            <w:r w:rsidR="00805EC8" w:rsidRPr="00452BB8">
              <w:rPr>
                <w:sz w:val="20"/>
                <w:szCs w:val="20"/>
                <w:lang w:eastAsia="en-US"/>
              </w:rPr>
              <w:t xml:space="preserve"> более 40 запросов на изменения</w:t>
            </w:r>
          </w:p>
        </w:tc>
      </w:tr>
      <w:tr w:rsidR="002E0568" w:rsidRPr="00452BB8" w:rsidTr="00452BB8">
        <w:trPr>
          <w:trHeight w:val="945"/>
        </w:trPr>
        <w:tc>
          <w:tcPr>
            <w:tcW w:w="505" w:type="dxa"/>
          </w:tcPr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t>6.</w:t>
            </w:r>
          </w:p>
        </w:tc>
        <w:tc>
          <w:tcPr>
            <w:tcW w:w="2189" w:type="dxa"/>
          </w:tcPr>
          <w:p w:rsidR="002E0568" w:rsidRPr="00452BB8" w:rsidRDefault="002E0568" w:rsidP="00452BB8">
            <w:pPr>
              <w:spacing w:line="240" w:lineRule="auto"/>
              <w:ind w:left="0" w:right="0" w:firstLine="0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Малое и среднее предпринимательство и поддержка индивидуальной предпринимательской инициативы</w:t>
            </w:r>
            <w:r w:rsidR="00152190" w:rsidRPr="00452BB8">
              <w:rPr>
                <w:sz w:val="20"/>
                <w:szCs w:val="20"/>
                <w:lang w:eastAsia="en-US"/>
              </w:rPr>
              <w:t xml:space="preserve"> (далее – национальный проект МСП)</w:t>
            </w:r>
          </w:p>
        </w:tc>
        <w:tc>
          <w:tcPr>
            <w:tcW w:w="8363" w:type="dxa"/>
          </w:tcPr>
          <w:p w:rsidR="00B97D5A" w:rsidRPr="00452BB8" w:rsidRDefault="00B97D5A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В рамках </w:t>
            </w:r>
            <w:r w:rsidRPr="00452BB8">
              <w:rPr>
                <w:b/>
                <w:sz w:val="20"/>
                <w:szCs w:val="20"/>
                <w:lang w:eastAsia="en-US"/>
              </w:rPr>
              <w:t>национального проекта «Малое и среднее предпринимательство и поддержка индивидуальной предпринимательской инициативы»</w:t>
            </w:r>
            <w:r w:rsidRPr="00452BB8">
              <w:rPr>
                <w:sz w:val="20"/>
                <w:szCs w:val="20"/>
                <w:lang w:eastAsia="en-US"/>
              </w:rPr>
              <w:t xml:space="preserve"> расходы осуществлялись по 4 федеральным проектам, бюджетные ассигнования исполнены в сумме 33 765,9 млн. рублей, или 55,7 % показателя сводной росписи с изменениями. В 2019 году финансовое обеспечение реализации федерального проекта «Условия для бизнеса» не предусмотрено.</w:t>
            </w:r>
          </w:p>
          <w:p w:rsidR="00B97D5A" w:rsidRPr="00452BB8" w:rsidRDefault="00B97D5A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По состоянию на 1 октября 2019 года исполнение расходов на предоставление межбюджетных трансфертов в рамках реализации национального проекта составило 23 370,0 млн. рублей, или 56,7 % показателя сводной росписи с изменениями (40 904,0 млн. рублей).</w:t>
            </w:r>
          </w:p>
          <w:p w:rsidR="00B97D5A" w:rsidRPr="00452BB8" w:rsidRDefault="00B97D5A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Следует отметить, что по состоянию на 1 октября 2019 года в рамках национального проекта МСП не осуществлялось исполнение бюджетных ассигнований по 7 направлениям расходов, на реализацию которых в 2019 году сводной росписью с изменениями предусмотрено 3 228,9 млн. рублей.</w:t>
            </w:r>
          </w:p>
          <w:p w:rsidR="00B97D5A" w:rsidRPr="00452BB8" w:rsidRDefault="00B97D5A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sz w:val="20"/>
                <w:szCs w:val="20"/>
                <w:lang w:eastAsia="en-US"/>
              </w:rPr>
              <w:t xml:space="preserve">По 8 направлениям расходов исполнение составляет менее 50 % показателя сводной росписи с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измененями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>, что обусловлено длительной процедурой по формированию заявления на выдачу казначейского обеспечения обязательств, необходимостью утверждения паспортов региональных проектов, нормативных правовых актов субъектов Российской Федерации, устанавливающих порядок и условия предоставления средств, требования, предъявляемые к получателям средств, перечень документов, необходимых для получения указанных средств, и сроки их рассмотрения, внесениями изменений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в распределение межбюджетных трансфертов и необходимостью заключения дополнительных соглашений с субъектами Российской Федерации.</w:t>
            </w:r>
          </w:p>
          <w:p w:rsidR="00B97D5A" w:rsidRPr="00452BB8" w:rsidRDefault="00B97D5A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Причины низкого кассового исполнения также обусловлены длительностью процедуры проведения отбора победителей для предоставления грантов «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Агростартап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». В связи с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изложенным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существуют риски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неосвоения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выделенных бюджетных ассигнований в полном объеме и, соответственно,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недостижения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плановых значений основного и дополнительных показателей федерального проекта.</w:t>
            </w:r>
          </w:p>
          <w:p w:rsidR="00152190" w:rsidRPr="00452BB8" w:rsidRDefault="00152190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lastRenderedPageBreak/>
              <w:t>Следует отметить, что паспорта национального и федерального проектов, размещенные в</w:t>
            </w:r>
            <w:r w:rsidR="002E0568" w:rsidRPr="00452BB8">
              <w:rPr>
                <w:sz w:val="20"/>
                <w:szCs w:val="20"/>
                <w:lang w:eastAsia="en-US"/>
              </w:rPr>
              <w:t xml:space="preserve"> подсистем</w:t>
            </w:r>
            <w:r w:rsidRPr="00452BB8">
              <w:rPr>
                <w:sz w:val="20"/>
                <w:szCs w:val="20"/>
                <w:lang w:eastAsia="en-US"/>
              </w:rPr>
              <w:t>е</w:t>
            </w:r>
            <w:r w:rsidR="002E0568" w:rsidRPr="00452BB8">
              <w:rPr>
                <w:sz w:val="20"/>
                <w:szCs w:val="20"/>
                <w:lang w:eastAsia="en-US"/>
              </w:rPr>
              <w:t xml:space="preserve"> управления национальными проектами содержат некорректные данные. 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Так, в разделе «Методика расчета целей, целевых и дополнительных показателей» паспорта национального проекта МСП ответственным за сбор данных по показателю «доля малого и среднего предпринимательства в ВВП, %» является Министерство здравоохранения Чеченской Республики, а не Росстат.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Паспорта федеральных проектов «Акселерация» и «Популяризация предпринимательства» не соответствуют паспорту национально проекта в части финансового обеспечения.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В отчете о ходе реализации национального проекта на 1 октября 2019 года представлена информация о реализации 16 результатов федеральных проектов, из которых 9 результатов достигнуты, 7 результатов в установленные сроки достигнуты не были.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В 2019 году необходимо принят</w:t>
            </w:r>
            <w:r w:rsidR="00152190" w:rsidRPr="00452BB8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дополнительные меры по достижению плановых значений целевых показателей национального проекта МСП.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Информация по целевым показателям национального проекта МСП «Доля МСП в ВВП» и «Численность занятых в сфере МСП, включая индивидуальных предпринимателей» в рамках статистического наблюдения формируется с годовой периодичностью и существенным временным лагом</w:t>
            </w:r>
            <w:r w:rsidR="00152190" w:rsidRPr="00452BB8">
              <w:rPr>
                <w:rFonts w:eastAsiaTheme="minorHAnsi"/>
                <w:sz w:val="20"/>
                <w:szCs w:val="20"/>
                <w:lang w:eastAsia="en-US"/>
              </w:rPr>
              <w:t>, что не позволяет проводить их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мониторинг в течение года. При этом какие-либо показатели, методики расчетов или </w:t>
            </w: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методические подходы</w:t>
            </w:r>
            <w:proofErr w:type="gram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к оценке динамики достижения целевых показателей национального проекта МСП и развития сектора МСП отсутствуют.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По состоянию на 10 октября 2019 года согласно данным единого реестра субъектов МСП значение показателя «Численность занятых в сфере МСП, включая индивидуальных предпринимателей» относительно базового значения в 19,2 млн. человек снизилось на 2,3 % (0,442 млн. человек) до 18,8 млн. человек. Счетной палатой отмечалось, что предлагаемые к реализации в рамках национального проекта МСП мероприятия (результаты), 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осуществлялись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, в том числе, в рамках госпрограммы «Экономическое развитие и инновационная экономика» и приоритетного проекта «Малый бизнес и поддержка индивидуальной предпринимательской инициативы» и не оказали существенного влияния на рост численности занятых в сфере МСП.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С 2019 года в соответствии с методикой расчета показателя «Численность занятых в сфере МСП, включая индивидуальных предпринимателей», утвержденной приказом Минэкономразвития России от 23 апреля 2019 г. № 239, показатель учитыва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т количество налогоплательщиков налога на профессиональный доход (</w:t>
            </w:r>
            <w:proofErr w:type="spell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граждан). По сведениям ФНС России на 1 октября 2019 года с начала эксперимента в качестве налогоплательщиков налога на профессиональный доход зарегистрировались 219,5 тыс. человек, что не оказало существенного влияния на численность занятых в сфере МСП. При этом 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указанное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значение достигнуто лишь в 4 регионах, где проводился эксперимент. В июне 2019 года Минфином России в Правительство Российской Федерации направлены предложения по расширению перечня субъектов Российской Федерации - участников эксперимента по установлению специального налогового режима «Налог на профессиональный доход».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Анализ целевого показателя «Доля МСП в ВВП» показал, что базовое значение указанного показателя, принятое в паспорте н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ационального проекта МСП, (22,3 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% в 2017 году) на 0,4 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процентного пункта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выше, чем опубликованное 25 января 2019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года на официальном са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йте Росстата за 2017 год – 21,9 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%. Учитывая, что по данным Росстата значение данного показателя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в 2016 году составило 21,6 %, то 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сть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рост – 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на 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0,3</w:t>
            </w:r>
            <w:proofErr w:type="gram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процентных</w:t>
            </w:r>
            <w:proofErr w:type="gramEnd"/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пункта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, существует вероятность </w:t>
            </w:r>
            <w:proofErr w:type="spell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недостижения</w:t>
            </w:r>
            <w:proofErr w:type="spell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планового значения целевого показат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еля по итогам 2019 года  – 22,9 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%.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Необходимо принять дополнительные меры по достижению следующих результатов национального проекта МСП: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«Установлены на федеральном уровне базовые правила и принципы организации нестационарной и мобильной торговли, осуществляемой субъектами малого и среднего предпринимательства» – в связи с переносом сроков принятия проекта федерального закона № 601732-7 «О внесении изменений в Федеральный закон «Об основах государственного регулирования торговой деятельности в Российской Федерации» и статью 28 Федерального закона «Об общих принципах организации местного самоуправления в Российской Федерации» (в части</w:t>
            </w:r>
            <w:proofErr w:type="gram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совершенствования правового регулирования организации нестационарной и развозной торговли), (рассмотрение Государственной Думой Российской Федерации планируется в осеннюю сессию; установленный паспортом срок – 10 апреля 2019 года);</w:t>
            </w:r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«Осуществлено кредитование субъектов МСП под залог прав на интеллектуальную 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собственность в размере 31 млрд. рублей в 2019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 w:rsidRPr="00452BB8">
              <w:rPr>
                <w:rFonts w:eastAsiaTheme="minorHAnsi"/>
                <w:sz w:val="20"/>
                <w:szCs w:val="20"/>
                <w:lang w:eastAsia="en-US"/>
              </w:rPr>
              <w:t>2024 годах» - постановлением Правительства Российской Федерации от 25 сентября 2019 г. № 1247 уточнены условия субсидирования субъектов МСП  на возмещение расходов, связанных с получением кредитов под залог прав на интеллектуальную собственность, утвержденные постановлением Правительства Российской Федерации от 30 апреля 2019 г. № 533;</w:t>
            </w:r>
            <w:proofErr w:type="gramEnd"/>
          </w:p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>«Обеспечен консолидированный объем финансовой поддержки, оказанной субъектам МСП в рамках НГС, и кредитов, выданных в рамках программы предоставления субсидий кредитным организациям на возмещение недополученных ими доходов по кредитам, выданным субъектам МСП на реализацию проектов в приоритетных отраслях по льготной ставке, в размере 10 трлн. рублей в 2019 - 2024 годах» - из запланированного на 2019 год 1 трлн. рублей кредитов субъектам МСП</w:t>
            </w:r>
            <w:proofErr w:type="gramEnd"/>
            <w:r w:rsidRPr="00452BB8">
              <w:rPr>
                <w:rFonts w:eastAsiaTheme="minorHAnsi"/>
                <w:sz w:val="20"/>
                <w:szCs w:val="20"/>
                <w:lang w:eastAsia="en-US"/>
              </w:rPr>
              <w:t xml:space="preserve"> по состоянию на 1 сентября  2019 года ими получено 132,6 млрд. рублей, или 13,26</w:t>
            </w:r>
            <w:r w:rsidR="001F4F53" w:rsidRPr="00452BB8">
              <w:rPr>
                <w:rFonts w:eastAsiaTheme="minorHAnsi"/>
                <w:sz w:val="20"/>
                <w:szCs w:val="20"/>
                <w:lang w:eastAsia="en-US"/>
              </w:rPr>
              <w:t> %</w:t>
            </w:r>
          </w:p>
        </w:tc>
      </w:tr>
      <w:tr w:rsidR="002E0568" w:rsidRPr="00452BB8" w:rsidTr="00452BB8">
        <w:trPr>
          <w:trHeight w:val="945"/>
        </w:trPr>
        <w:tc>
          <w:tcPr>
            <w:tcW w:w="505" w:type="dxa"/>
          </w:tcPr>
          <w:p w:rsidR="002E0568" w:rsidRPr="00452BB8" w:rsidRDefault="002E0568" w:rsidP="00452BB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lastRenderedPageBreak/>
              <w:t xml:space="preserve">7. </w:t>
            </w:r>
          </w:p>
        </w:tc>
        <w:tc>
          <w:tcPr>
            <w:tcW w:w="2189" w:type="dxa"/>
          </w:tcPr>
          <w:p w:rsidR="002E0568" w:rsidRPr="00452BB8" w:rsidRDefault="004F5AD5" w:rsidP="00452BB8">
            <w:pPr>
              <w:spacing w:line="240" w:lineRule="auto"/>
              <w:ind w:left="0" w:right="0" w:firstLine="0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 Производительность труда и поддержка занятости</w:t>
            </w:r>
          </w:p>
        </w:tc>
        <w:tc>
          <w:tcPr>
            <w:tcW w:w="8363" w:type="dxa"/>
          </w:tcPr>
          <w:p w:rsidR="00ED7240" w:rsidRPr="00452BB8" w:rsidRDefault="00ED7240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В рамках </w:t>
            </w:r>
            <w:r w:rsidRPr="00452BB8">
              <w:rPr>
                <w:b/>
                <w:sz w:val="20"/>
                <w:szCs w:val="20"/>
                <w:lang w:eastAsia="en-US"/>
              </w:rPr>
              <w:t>национального проекта</w:t>
            </w:r>
            <w:r w:rsidRPr="00452BB8">
              <w:rPr>
                <w:sz w:val="20"/>
                <w:szCs w:val="20"/>
                <w:lang w:eastAsia="en-US"/>
              </w:rPr>
              <w:t xml:space="preserve"> </w:t>
            </w:r>
            <w:r w:rsidRPr="00452BB8">
              <w:rPr>
                <w:b/>
                <w:sz w:val="20"/>
                <w:szCs w:val="20"/>
                <w:lang w:eastAsia="en-US"/>
              </w:rPr>
              <w:t>«Производительность труда и поддержка занятости»</w:t>
            </w:r>
            <w:r w:rsidRPr="00452BB8">
              <w:rPr>
                <w:sz w:val="20"/>
                <w:szCs w:val="20"/>
                <w:lang w:eastAsia="en-US"/>
              </w:rPr>
              <w:t xml:space="preserve"> кассовое исполнение осуществляется неравномерно и составило на 1 октября 2019 года 38,8 %. В 2018 году аналогичная ситуация отмечалась по приоритетному проекту и программе по производительности труда, продолжением которых по сути является национальный проект.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Кассовое исполнение в 2018 году по ним составило лишь 48 %. Низкий уровень исполнения расходов федерального бюджета связан в основном с поздним утверждением правил и заключением соглашений о предоставлении межбюджетных трансфертов и субсидий юридическим лицам, распределением иных межбюджетных трансфертов из федерального бюджета бюджетам субъектов Российской Федерации на достижение результатов национального проекта (в апреле 2019 года), проведением конкурсных процедур в целях заключения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государственных контрактов (с мая 2019 года). </w:t>
            </w:r>
          </w:p>
          <w:p w:rsidR="00ED7240" w:rsidRPr="00452BB8" w:rsidRDefault="00ED7240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sz w:val="20"/>
                <w:szCs w:val="20"/>
                <w:lang w:eastAsia="en-US"/>
              </w:rPr>
              <w:t xml:space="preserve">Так, в рамках федерального проекта «Системные меры» правила предоставления субсидии в целях оказания образовательных и информационно-консультационных услуг, направленных на развитие экспортного потенциала предприятий – участников региональных программ «Повышение производительности труда и поддержка занятости», утверждены только </w:t>
            </w:r>
            <w:r w:rsidRPr="00452BB8">
              <w:rPr>
                <w:sz w:val="20"/>
                <w:szCs w:val="20"/>
                <w:lang w:eastAsia="en-US"/>
              </w:rPr>
              <w:br/>
              <w:t xml:space="preserve">26 апреля 2019 года (постановлением Правительства Российской Федерации </w:t>
            </w:r>
            <w:r w:rsidRPr="00452BB8">
              <w:rPr>
                <w:sz w:val="20"/>
                <w:szCs w:val="20"/>
                <w:lang w:eastAsia="en-US"/>
              </w:rPr>
              <w:br/>
              <w:t>от 26 апреля 2019 г. № 513)</w:t>
            </w:r>
            <w:r w:rsidRPr="00452BB8">
              <w:rPr>
                <w:sz w:val="20"/>
                <w:szCs w:val="20"/>
                <w:vertAlign w:val="superscript"/>
                <w:lang w:eastAsia="en-US"/>
              </w:rPr>
              <w:footnoteReference w:id="9"/>
            </w:r>
            <w:r w:rsidRPr="00452BB8">
              <w:rPr>
                <w:sz w:val="20"/>
                <w:szCs w:val="20"/>
                <w:lang w:eastAsia="en-US"/>
              </w:rPr>
              <w:t>. Соглашение о предоставлении субсидии между Минэкономразвития России и РЭЦ заключено 26 июня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2019 года. </w:t>
            </w:r>
          </w:p>
          <w:p w:rsidR="00ED7240" w:rsidRPr="00452BB8" w:rsidRDefault="00ED7240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452BB8">
              <w:rPr>
                <w:sz w:val="20"/>
                <w:szCs w:val="20"/>
                <w:lang w:eastAsia="en-US"/>
              </w:rPr>
              <w:t xml:space="preserve">Извещения о проведении открытых конкурсов в электронной форме для закупки научно-исследовательских работ «Формирование непрерывной программы по выявлению и снятию административных барьеров и подготовка перечня административных барьеров, препятствующих росту производительности труда» и «Оценка затрат предприятий на преодоление административных барьеров в базовых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несырьевых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отраслях экономики и оценка возможности снятия или минимизации таких барьеров для предприятий»  размещены 28 мая 2019 года.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Контракты на общую сумму 65,8 млн. рублей</w:t>
            </w:r>
            <w:r w:rsidRPr="00452BB8">
              <w:rPr>
                <w:sz w:val="20"/>
                <w:szCs w:val="20"/>
                <w:vertAlign w:val="superscript"/>
                <w:lang w:eastAsia="en-US"/>
              </w:rPr>
              <w:footnoteReference w:id="10"/>
            </w:r>
            <w:r w:rsidRPr="00452BB8">
              <w:rPr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Pr="00452BB8">
              <w:rPr>
                <w:sz w:val="20"/>
                <w:szCs w:val="20"/>
                <w:lang w:eastAsia="en-US"/>
              </w:rPr>
              <w:t xml:space="preserve">заключены 11 июля 2019 года. Срок сдачи результатов запланирован на 31 октября 2019 года. </w:t>
            </w:r>
          </w:p>
          <w:p w:rsidR="00ED7240" w:rsidRPr="00452BB8" w:rsidRDefault="00ED7240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По состоянию на 1 октября 2019 года конкурсные процедуры на оставшуюся сумму лимитов бюджетных обязательств (134,2 млн. рублей) не объявлены. </w:t>
            </w:r>
          </w:p>
          <w:p w:rsidR="00ED7240" w:rsidRPr="00452BB8" w:rsidRDefault="00ED7240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В рамках федерального проекта «Адресная поддержка» в 2019 году 36 субъектам Российской Федерации, участвующим в реализации национального проекта, предусмотрена поддержка из федерального бюджета в виде иных межбюджетных трансфертов на общую сумму 1 965,8 млн. рублей. </w:t>
            </w:r>
          </w:p>
          <w:p w:rsidR="00ED7240" w:rsidRPr="00452BB8" w:rsidRDefault="00ED7240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Правила предоставления и распределения иных межбюджетных трансфертов из федерального бюджета бюджетам субъектов Российской Федерации на достижение результатов национального проекта «Производительность труда» утверждены постановлением Правительства Российской Федерации только 26 апреля 2019 года.</w:t>
            </w:r>
          </w:p>
          <w:p w:rsidR="00ED7240" w:rsidRPr="00452BB8" w:rsidRDefault="00ED7240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Соглашения о предоставлении межбюджетных трансфертов между Минэкономразвития России и субъектами Российской Федерации в рамках федерального проекта «Адресная поддержка» заключены в третьей декаде июня 2019 года. </w:t>
            </w:r>
          </w:p>
          <w:p w:rsidR="002E0568" w:rsidRPr="00452BB8" w:rsidRDefault="00896716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Счетная палата </w:t>
            </w:r>
            <w:r w:rsidR="004E0C97" w:rsidRPr="00452BB8">
              <w:rPr>
                <w:sz w:val="20"/>
                <w:szCs w:val="20"/>
                <w:lang w:eastAsia="en-US"/>
              </w:rPr>
              <w:t>обращает внимание на</w:t>
            </w:r>
            <w:r w:rsidRPr="00452BB8">
              <w:rPr>
                <w:sz w:val="20"/>
                <w:szCs w:val="20"/>
                <w:lang w:eastAsia="en-US"/>
              </w:rPr>
              <w:t xml:space="preserve"> необходимост</w:t>
            </w:r>
            <w:r w:rsidR="004E0C97" w:rsidRPr="00452BB8">
              <w:rPr>
                <w:sz w:val="20"/>
                <w:szCs w:val="20"/>
                <w:lang w:eastAsia="en-US"/>
              </w:rPr>
              <w:t>ь</w:t>
            </w:r>
            <w:r w:rsidRPr="00452BB8">
              <w:rPr>
                <w:sz w:val="20"/>
                <w:szCs w:val="20"/>
                <w:lang w:eastAsia="en-US"/>
              </w:rPr>
              <w:t xml:space="preserve"> принятия дополнительных мер по достижению  показателя национального проекта по количеству средних и крупных предприятий базовых 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несырьевых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 xml:space="preserve"> отраслей экономики, воспользовавшихся мерами поддержки в рамках национального проекта.</w:t>
            </w:r>
            <w:r w:rsidRPr="00452BB8">
              <w:rPr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452BB8">
              <w:rPr>
                <w:sz w:val="20"/>
                <w:szCs w:val="20"/>
                <w:lang w:eastAsia="en-US"/>
              </w:rPr>
              <w:t>На 1</w:t>
            </w:r>
            <w:r w:rsidR="00D96685" w:rsidRPr="00452BB8">
              <w:rPr>
                <w:sz w:val="20"/>
                <w:szCs w:val="20"/>
                <w:lang w:eastAsia="en-US"/>
              </w:rPr>
              <w:t> </w:t>
            </w:r>
            <w:r w:rsidRPr="00452BB8">
              <w:rPr>
                <w:sz w:val="20"/>
                <w:szCs w:val="20"/>
                <w:lang w:eastAsia="en-US"/>
              </w:rPr>
              <w:t xml:space="preserve">июля 2019 года </w:t>
            </w:r>
            <w:r w:rsidR="00D96685" w:rsidRPr="00452BB8">
              <w:rPr>
                <w:sz w:val="20"/>
                <w:szCs w:val="20"/>
                <w:lang w:eastAsia="en-US"/>
              </w:rPr>
              <w:t>подписан</w:t>
            </w:r>
            <w:r w:rsidRPr="00452BB8">
              <w:rPr>
                <w:sz w:val="20"/>
                <w:szCs w:val="20"/>
                <w:lang w:eastAsia="en-US"/>
              </w:rPr>
              <w:t xml:space="preserve"> только од</w:t>
            </w:r>
            <w:r w:rsidR="00D96685" w:rsidRPr="00452BB8">
              <w:rPr>
                <w:sz w:val="20"/>
                <w:szCs w:val="20"/>
                <w:lang w:eastAsia="en-US"/>
              </w:rPr>
              <w:t>и</w:t>
            </w:r>
            <w:r w:rsidRPr="00452BB8">
              <w:rPr>
                <w:sz w:val="20"/>
                <w:szCs w:val="20"/>
                <w:lang w:eastAsia="en-US"/>
              </w:rPr>
              <w:t xml:space="preserve">н </w:t>
            </w:r>
            <w:r w:rsidRPr="00452BB8">
              <w:rPr>
                <w:sz w:val="20"/>
                <w:szCs w:val="20"/>
                <w:lang w:eastAsia="en-US"/>
              </w:rPr>
              <w:lastRenderedPageBreak/>
              <w:t xml:space="preserve">договор между ФРП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>и ООО</w:t>
            </w:r>
            <w:proofErr w:type="gramEnd"/>
            <w:r w:rsidRPr="00452BB8">
              <w:rPr>
                <w:sz w:val="20"/>
                <w:szCs w:val="20"/>
                <w:lang w:eastAsia="en-US"/>
              </w:rPr>
              <w:t xml:space="preserve"> НПП «</w:t>
            </w:r>
            <w:proofErr w:type="spellStart"/>
            <w:r w:rsidRPr="00452BB8">
              <w:rPr>
                <w:sz w:val="20"/>
                <w:szCs w:val="20"/>
                <w:lang w:eastAsia="en-US"/>
              </w:rPr>
              <w:t>Тасма</w:t>
            </w:r>
            <w:proofErr w:type="spellEnd"/>
            <w:r w:rsidRPr="00452BB8">
              <w:rPr>
                <w:sz w:val="20"/>
                <w:szCs w:val="20"/>
                <w:lang w:eastAsia="en-US"/>
              </w:rPr>
              <w:t>» (Республика Татарстан) на сумму 80,5 млн</w:t>
            </w:r>
            <w:r w:rsidR="001A77D7" w:rsidRPr="00452BB8">
              <w:rPr>
                <w:sz w:val="20"/>
                <w:szCs w:val="20"/>
                <w:lang w:eastAsia="en-US"/>
              </w:rPr>
              <w:t>.</w:t>
            </w:r>
            <w:r w:rsidRPr="00452BB8">
              <w:rPr>
                <w:sz w:val="20"/>
                <w:szCs w:val="20"/>
                <w:lang w:eastAsia="en-US"/>
              </w:rPr>
              <w:t xml:space="preserve"> рублей. До конца 2019 года мерами поддержки в рамках национального проекта должны воспользоваться 60 предприятий.</w:t>
            </w:r>
            <w:r w:rsidRPr="00452BB8">
              <w:rPr>
                <w:color w:val="FF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452BB8">
              <w:rPr>
                <w:sz w:val="20"/>
                <w:szCs w:val="20"/>
                <w:lang w:eastAsia="en-US"/>
              </w:rPr>
              <w:t xml:space="preserve">Также необходимо принять дополнительные меры по </w:t>
            </w:r>
            <w:r w:rsidR="00833696" w:rsidRPr="00452BB8">
              <w:rPr>
                <w:sz w:val="20"/>
                <w:szCs w:val="20"/>
                <w:lang w:eastAsia="en-US"/>
              </w:rPr>
              <w:t xml:space="preserve">увеличению </w:t>
            </w:r>
            <w:r w:rsidRPr="00452BB8">
              <w:rPr>
                <w:sz w:val="20"/>
                <w:szCs w:val="20"/>
                <w:lang w:eastAsia="en-US"/>
              </w:rPr>
              <w:t>количеств</w:t>
            </w:r>
            <w:r w:rsidR="00833696" w:rsidRPr="00452BB8">
              <w:rPr>
                <w:sz w:val="20"/>
                <w:szCs w:val="20"/>
                <w:lang w:eastAsia="en-US"/>
              </w:rPr>
              <w:t>а</w:t>
            </w:r>
            <w:r w:rsidRPr="00452BB8">
              <w:rPr>
                <w:sz w:val="20"/>
                <w:szCs w:val="20"/>
                <w:lang w:eastAsia="en-US"/>
              </w:rPr>
              <w:t xml:space="preserve"> предприятий – участников, внедряющих мероприятия национального проекта под региональным управлени</w:t>
            </w:r>
            <w:r w:rsidR="00D96685" w:rsidRPr="00452BB8">
              <w:rPr>
                <w:sz w:val="20"/>
                <w:szCs w:val="20"/>
                <w:lang w:eastAsia="en-US"/>
              </w:rPr>
              <w:t>ем</w:t>
            </w:r>
            <w:r w:rsidRPr="00452BB8">
              <w:rPr>
                <w:sz w:val="20"/>
                <w:szCs w:val="20"/>
                <w:lang w:eastAsia="en-US"/>
              </w:rPr>
              <w:t xml:space="preserve"> (по состоянию на 1 октя</w:t>
            </w:r>
            <w:r w:rsidR="00833696" w:rsidRPr="00452BB8">
              <w:rPr>
                <w:sz w:val="20"/>
                <w:szCs w:val="20"/>
                <w:lang w:eastAsia="en-US"/>
              </w:rPr>
              <w:t>бря пока</w:t>
            </w:r>
            <w:r w:rsidRPr="00452BB8">
              <w:rPr>
                <w:sz w:val="20"/>
                <w:szCs w:val="20"/>
                <w:lang w:eastAsia="en-US"/>
              </w:rPr>
              <w:t xml:space="preserve">затель исполнен только на 38 %), </w:t>
            </w:r>
            <w:r w:rsidR="00833696" w:rsidRPr="00452BB8">
              <w:rPr>
                <w:sz w:val="20"/>
                <w:szCs w:val="20"/>
                <w:lang w:eastAsia="en-US"/>
              </w:rPr>
              <w:t xml:space="preserve">количества обученных сотрудников предприятий - участников в рамках реализации мероприятий повышения производительности труда под региональным управлением (с РЦК), человек нарастающим итогом (по состоянию на 1 октября показатель исполнен </w:t>
            </w:r>
            <w:r w:rsidR="00D96685" w:rsidRPr="00452BB8">
              <w:rPr>
                <w:sz w:val="20"/>
                <w:szCs w:val="20"/>
                <w:lang w:eastAsia="en-US"/>
              </w:rPr>
              <w:t>лишь на 42 </w:t>
            </w:r>
            <w:r w:rsidR="00833696" w:rsidRPr="00452BB8">
              <w:rPr>
                <w:sz w:val="20"/>
                <w:szCs w:val="20"/>
                <w:lang w:eastAsia="en-US"/>
              </w:rPr>
              <w:t>%).</w:t>
            </w:r>
            <w:proofErr w:type="gramEnd"/>
            <w:r w:rsidR="00833696" w:rsidRPr="00452BB8">
              <w:rPr>
                <w:sz w:val="20"/>
                <w:szCs w:val="20"/>
                <w:lang w:eastAsia="en-US"/>
              </w:rPr>
              <w:t xml:space="preserve"> Необходимо отметить, что по состоянию на 24 октября </w:t>
            </w:r>
            <w:r w:rsidR="00392440" w:rsidRPr="00452BB8">
              <w:rPr>
                <w:sz w:val="20"/>
                <w:szCs w:val="20"/>
                <w:lang w:eastAsia="en-US"/>
              </w:rPr>
              <w:t xml:space="preserve">2019 года в подсистеме «Бюджетное планирование» государственной интегрированной информационной системы управления общественными финансами «Электронный бюджет» отчеты о ходе реализации за </w:t>
            </w:r>
            <w:r w:rsidR="00D96685" w:rsidRPr="00452BB8">
              <w:rPr>
                <w:sz w:val="20"/>
                <w:szCs w:val="20"/>
                <w:lang w:val="en-US" w:eastAsia="en-US"/>
              </w:rPr>
              <w:t>III</w:t>
            </w:r>
            <w:r w:rsidR="00392440" w:rsidRPr="00452BB8">
              <w:rPr>
                <w:sz w:val="20"/>
                <w:szCs w:val="20"/>
                <w:lang w:eastAsia="en-US"/>
              </w:rPr>
              <w:t xml:space="preserve"> квартал 2019 года национального проекта и федерального проекта</w:t>
            </w:r>
            <w:r w:rsidR="00D96685" w:rsidRPr="00452BB8">
              <w:rPr>
                <w:sz w:val="20"/>
                <w:szCs w:val="20"/>
                <w:lang w:eastAsia="en-US"/>
              </w:rPr>
              <w:t xml:space="preserve"> «Системные меры» не размещены</w:t>
            </w:r>
          </w:p>
        </w:tc>
      </w:tr>
      <w:tr w:rsidR="00D96685" w:rsidRPr="00452BB8" w:rsidTr="00D32EC4">
        <w:trPr>
          <w:trHeight w:val="945"/>
        </w:trPr>
        <w:tc>
          <w:tcPr>
            <w:tcW w:w="11057" w:type="dxa"/>
            <w:gridSpan w:val="3"/>
          </w:tcPr>
          <w:p w:rsidR="00D96685" w:rsidRPr="00452BB8" w:rsidRDefault="00D96685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lastRenderedPageBreak/>
              <w:t xml:space="preserve">Следует отметить, что в подсистеме «Бюджетное планирование» государственной интегрированной информационной системы управления общественными финансами «Электронный бюджет» отчеты о ходе реализации за </w:t>
            </w:r>
            <w:r w:rsidRPr="00452BB8">
              <w:rPr>
                <w:sz w:val="20"/>
                <w:szCs w:val="20"/>
                <w:lang w:val="en-US" w:eastAsia="en-US"/>
              </w:rPr>
              <w:t>III</w:t>
            </w:r>
            <w:r w:rsidRPr="00452BB8">
              <w:rPr>
                <w:sz w:val="20"/>
                <w:szCs w:val="20"/>
                <w:lang w:eastAsia="en-US"/>
              </w:rPr>
              <w:t xml:space="preserve"> квартал 2019 года по ряду национальных и федеральных проектов не размещены. </w:t>
            </w:r>
          </w:p>
          <w:p w:rsidR="001A77D7" w:rsidRPr="00452BB8" w:rsidRDefault="00D96685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 xml:space="preserve">В указанном информационном ресурсе размещены отчеты о ходе реализации только </w:t>
            </w:r>
            <w:r w:rsidR="001A77D7" w:rsidRPr="00452BB8">
              <w:rPr>
                <w:sz w:val="20"/>
                <w:szCs w:val="20"/>
                <w:lang w:eastAsia="en-US"/>
              </w:rPr>
              <w:t xml:space="preserve">2 национальных и 33 из 76 федеральных проектов. </w:t>
            </w:r>
          </w:p>
          <w:p w:rsidR="00D96685" w:rsidRPr="00452BB8" w:rsidRDefault="00D96685" w:rsidP="00452BB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452BB8">
              <w:rPr>
                <w:sz w:val="20"/>
                <w:szCs w:val="20"/>
                <w:lang w:eastAsia="en-US"/>
              </w:rPr>
              <w:t>Таким образом, комплексная система мониторинга и контроля реализации национальных проектов, позволяющая получить информацию о ходе реализации национальных проектов, достижении их контрольных точек, результатов и показателей в оперативном режиме не обеспечена, что затрудняет принятие управленческих решений по определению возможных корректирующих воздействий, минимизации проблем при реализации национальных проектов</w:t>
            </w:r>
          </w:p>
        </w:tc>
      </w:tr>
    </w:tbl>
    <w:p w:rsidR="00FE6194" w:rsidRDefault="00FE6194" w:rsidP="00783072">
      <w:pPr>
        <w:spacing w:line="240" w:lineRule="auto"/>
        <w:ind w:left="0" w:right="0"/>
        <w:rPr>
          <w:sz w:val="20"/>
          <w:szCs w:val="20"/>
          <w:highlight w:val="yellow"/>
          <w:lang w:eastAsia="en-US"/>
        </w:rPr>
      </w:pPr>
    </w:p>
    <w:p w:rsidR="002A628F" w:rsidRDefault="002A628F" w:rsidP="002A628F">
      <w:pPr>
        <w:spacing w:line="240" w:lineRule="auto"/>
        <w:ind w:left="0" w:firstLine="0"/>
        <w:jc w:val="right"/>
        <w:rPr>
          <w:sz w:val="24"/>
        </w:rPr>
      </w:pPr>
      <w:r w:rsidRPr="000662AB">
        <w:rPr>
          <w:sz w:val="24"/>
        </w:rPr>
        <w:t xml:space="preserve">Таблица </w:t>
      </w:r>
      <w:r>
        <w:rPr>
          <w:sz w:val="24"/>
        </w:rPr>
        <w:t>2</w:t>
      </w:r>
    </w:p>
    <w:p w:rsidR="0029372D" w:rsidRDefault="0029372D" w:rsidP="0029372D">
      <w:pPr>
        <w:spacing w:line="240" w:lineRule="auto"/>
        <w:jc w:val="center"/>
        <w:rPr>
          <w:b/>
          <w:sz w:val="24"/>
          <w:szCs w:val="24"/>
        </w:rPr>
      </w:pPr>
    </w:p>
    <w:p w:rsidR="002A628F" w:rsidRPr="007C158A" w:rsidRDefault="002A628F" w:rsidP="002A628F">
      <w:pPr>
        <w:spacing w:line="240" w:lineRule="auto"/>
        <w:ind w:left="0" w:firstLine="0"/>
        <w:jc w:val="center"/>
        <w:rPr>
          <w:b/>
          <w:sz w:val="24"/>
        </w:rPr>
      </w:pPr>
      <w:r>
        <w:rPr>
          <w:b/>
          <w:sz w:val="24"/>
        </w:rPr>
        <w:t>Информация об исполнении бюджетных ассигнований главными распорядителями средств федерального бюджета в рамках реализации</w:t>
      </w:r>
      <w:r w:rsidRPr="009F2053">
        <w:rPr>
          <w:b/>
          <w:sz w:val="24"/>
        </w:rPr>
        <w:t xml:space="preserve"> </w:t>
      </w:r>
      <w:r>
        <w:rPr>
          <w:b/>
          <w:sz w:val="24"/>
        </w:rPr>
        <w:t>национальных проектов</w:t>
      </w:r>
      <w:r w:rsidRPr="009F2053">
        <w:rPr>
          <w:b/>
          <w:sz w:val="24"/>
        </w:rPr>
        <w:t xml:space="preserve"> (программам)</w:t>
      </w:r>
      <w:r>
        <w:rPr>
          <w:b/>
          <w:sz w:val="24"/>
        </w:rPr>
        <w:t xml:space="preserve"> и Комплексного плана</w:t>
      </w:r>
      <w:r w:rsidR="002820F5">
        <w:rPr>
          <w:b/>
          <w:sz w:val="24"/>
        </w:rPr>
        <w:t xml:space="preserve"> </w:t>
      </w:r>
      <w:r w:rsidRPr="007C158A">
        <w:rPr>
          <w:b/>
          <w:sz w:val="24"/>
          <w:szCs w:val="24"/>
        </w:rPr>
        <w:t>модернизации и расширения магистральной инфраструктуры</w:t>
      </w:r>
      <w:r w:rsidR="002F40A9">
        <w:rPr>
          <w:b/>
          <w:sz w:val="24"/>
          <w:szCs w:val="24"/>
        </w:rPr>
        <w:t xml:space="preserve"> (открытые расходы)</w:t>
      </w:r>
    </w:p>
    <w:p w:rsidR="002A628F" w:rsidRDefault="002A628F" w:rsidP="002A628F">
      <w:pPr>
        <w:spacing w:line="240" w:lineRule="auto"/>
        <w:ind w:left="0" w:firstLine="0"/>
        <w:jc w:val="right"/>
        <w:rPr>
          <w:sz w:val="24"/>
        </w:rPr>
      </w:pPr>
    </w:p>
    <w:p w:rsidR="002A628F" w:rsidRDefault="002A628F" w:rsidP="002A628F">
      <w:pPr>
        <w:spacing w:line="384" w:lineRule="auto"/>
        <w:ind w:right="-2"/>
        <w:jc w:val="right"/>
        <w:rPr>
          <w:sz w:val="24"/>
        </w:rPr>
      </w:pPr>
      <w:r w:rsidRPr="00A72DC1">
        <w:rPr>
          <w:sz w:val="18"/>
          <w:szCs w:val="24"/>
        </w:rPr>
        <w:t>(млн. рублей)</w:t>
      </w:r>
    </w:p>
    <w:tbl>
      <w:tblPr>
        <w:tblW w:w="10636" w:type="dxa"/>
        <w:tblInd w:w="-885" w:type="dxa"/>
        <w:tblLook w:val="04A0" w:firstRow="1" w:lastRow="0" w:firstColumn="1" w:lastColumn="0" w:noHBand="0" w:noVBand="1"/>
      </w:tblPr>
      <w:tblGrid>
        <w:gridCol w:w="567"/>
        <w:gridCol w:w="1157"/>
        <w:gridCol w:w="2494"/>
        <w:gridCol w:w="1431"/>
        <w:gridCol w:w="1276"/>
        <w:gridCol w:w="1431"/>
        <w:gridCol w:w="2280"/>
      </w:tblGrid>
      <w:tr w:rsidR="002A628F" w:rsidRPr="00F73119" w:rsidTr="00775D76">
        <w:trPr>
          <w:trHeight w:val="145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 xml:space="preserve">Код главы по </w:t>
            </w:r>
            <w:proofErr w:type="gramStart"/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>бюджет-ной</w:t>
            </w:r>
            <w:proofErr w:type="gramEnd"/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>классифи-кации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>Наименование главного распорядителя средств федерального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>бюджета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2447C3">
              <w:rPr>
                <w:rFonts w:eastAsia="Times New Roman"/>
                <w:b/>
                <w:bCs/>
                <w:sz w:val="20"/>
                <w:szCs w:val="20"/>
              </w:rPr>
              <w:t>Сводная роспись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с изменениями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>%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к сводной росписи с изменениями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>Количество национальных проектов, реализуемых главным распорядите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ле</w:t>
            </w:r>
            <w:r w:rsidRPr="00F73119">
              <w:rPr>
                <w:rFonts w:eastAsia="Times New Roman"/>
                <w:b/>
                <w:bCs/>
                <w:sz w:val="20"/>
                <w:szCs w:val="20"/>
              </w:rPr>
              <w:t>м средств федерального бюджета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(ед.)</w:t>
            </w:r>
          </w:p>
        </w:tc>
      </w:tr>
      <w:tr w:rsidR="002A628F" w:rsidRPr="00F73119" w:rsidTr="00775D76">
        <w:trPr>
          <w:trHeight w:val="3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020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ПРОМЫШЛЕННОСТИ И ТОРГОВЛИ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45 008,1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18 009,9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5 </w:t>
            </w:r>
          </w:p>
        </w:tc>
      </w:tr>
      <w:tr w:rsidR="002A628F" w:rsidRPr="00F73119" w:rsidTr="00775D76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048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ПО НАДЗОРУ В СФЕРЕ ПРИРОДОПОЛЬЗОВАНИЯ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554,8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92,8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2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049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ПО НЕДРОПОЛЬЗОВАНИЮ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33,3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4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051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ПРИРОДНЫХ РЕСУРСОВ И ЭКОЛОГИИ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10 153,9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2 796,3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27,5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3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052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ВОДНЫХ РЕСУРСОВ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2 419,0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899,0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37,2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2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053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ЛЕСНОГО ХОЗЯЙСТВА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9 666,4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5 507,9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57,0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3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054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КУЛЬТУРЫ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12 971,9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8 567,0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66,0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056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ЗДРАВООХРАНЕНИЯ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90 597,3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38 472,7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42,5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4 </w:t>
            </w:r>
          </w:p>
        </w:tc>
      </w:tr>
      <w:tr w:rsidR="002A628F" w:rsidRPr="00F73119" w:rsidTr="00775D76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069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124 918,5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60 366,4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48,3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3 </w:t>
            </w:r>
          </w:p>
        </w:tc>
      </w:tr>
      <w:tr w:rsidR="002A628F" w:rsidRPr="00F73119" w:rsidTr="00775D76">
        <w:trPr>
          <w:trHeight w:val="5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071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76 334,2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8 665,3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11,4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4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073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ПРОСВЕЩЕНИЯ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144 780,1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55 983,0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38,7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4 </w:t>
            </w:r>
          </w:p>
        </w:tc>
      </w:tr>
      <w:tr w:rsidR="002A628F" w:rsidRPr="00F73119" w:rsidTr="00775D76"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075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НАУКИ И ВЫСШЕГО ОБРАЗОВАНИЯ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58 101,9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41 746,9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71,9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6 </w:t>
            </w:r>
          </w:p>
        </w:tc>
      </w:tr>
      <w:tr w:rsidR="002A628F" w:rsidRPr="00F73119" w:rsidTr="00775D76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076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ПО РЫБОЛОВСТВУ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561,0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92,7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5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077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ПО НАДЗОРУ В СФЕРЕ ОБРАЗОВАНИЯ И НАУКИ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25,4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2 </w:t>
            </w:r>
          </w:p>
        </w:tc>
      </w:tr>
      <w:tr w:rsidR="002A628F" w:rsidRPr="00F73119" w:rsidTr="00775D76">
        <w:trPr>
          <w:trHeight w:val="4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081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ПО ВЕТЕРИНАРНОМУ И ФИТОСАНИТАРНОМУ НАДЗОРУ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2 188,3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2 011,7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91,9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082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СЕЛЬСКОГО ХОЗЯЙСТВА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27 720,0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4 049,1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14,6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6 </w:t>
            </w:r>
          </w:p>
        </w:tc>
      </w:tr>
      <w:tr w:rsidR="002A628F" w:rsidRPr="00F73119" w:rsidTr="00775D76">
        <w:trPr>
          <w:trHeight w:val="4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091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ПО ДЕЛАМ МОЛОДЕЖИ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2 340,2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56,2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3 </w:t>
            </w:r>
          </w:p>
        </w:tc>
      </w:tr>
      <w:tr w:rsidR="002A628F" w:rsidRPr="00F73119" w:rsidTr="00775D76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092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ФИНАНСОВ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430 819,1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329 892,7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76,6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4 </w:t>
            </w:r>
          </w:p>
        </w:tc>
      </w:tr>
      <w:tr w:rsidR="002A628F" w:rsidRPr="00F73119" w:rsidTr="00775D76">
        <w:trPr>
          <w:trHeight w:val="1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095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16,3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7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096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597,0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3,9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103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ТРАНСПОРТА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117 143,7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50 098,3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42,8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3 и </w:t>
            </w:r>
            <w:r>
              <w:rPr>
                <w:rFonts w:eastAsia="Times New Roman"/>
                <w:sz w:val="20"/>
                <w:szCs w:val="20"/>
              </w:rPr>
              <w:t>Комплексный план</w:t>
            </w:r>
          </w:p>
        </w:tc>
      </w:tr>
      <w:tr w:rsidR="002A628F" w:rsidRPr="00F73119" w:rsidTr="00775D76">
        <w:trPr>
          <w:trHeight w:val="3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107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ВОЗДУШНОГО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32 646,0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11 289,1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34,6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Комплексный план</w:t>
            </w:r>
          </w:p>
        </w:tc>
      </w:tr>
      <w:tr w:rsidR="002A628F" w:rsidRPr="00F73119" w:rsidTr="00775D76">
        <w:trPr>
          <w:trHeight w:val="3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108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ДОРОЖНОЕ АГЕНТСТВО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243 381,4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135 035,8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55,5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и </w:t>
            </w:r>
            <w:r>
              <w:rPr>
                <w:rFonts w:eastAsia="Times New Roman"/>
                <w:sz w:val="20"/>
                <w:szCs w:val="20"/>
              </w:rPr>
              <w:t>Комплексный план</w:t>
            </w:r>
          </w:p>
        </w:tc>
      </w:tr>
      <w:tr w:rsidR="002A628F" w:rsidRPr="00F73119" w:rsidTr="00775D76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109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ЖЕЛЕЗНОДОРОЖНОГО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48 653,6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6 933,7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14,3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 и К</w:t>
            </w:r>
            <w:r>
              <w:rPr>
                <w:rFonts w:eastAsia="Times New Roman"/>
                <w:sz w:val="20"/>
                <w:szCs w:val="20"/>
              </w:rPr>
              <w:t>омплексный план</w:t>
            </w:r>
          </w:p>
        </w:tc>
      </w:tr>
      <w:tr w:rsidR="002A628F" w:rsidRPr="00F73119" w:rsidTr="00775D76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110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МОРСКОГО И РЕЧНОГО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45 214,5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17 391,5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38,5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Комплексный план</w:t>
            </w:r>
          </w:p>
        </w:tc>
      </w:tr>
      <w:tr w:rsidR="002A628F" w:rsidRPr="00F73119" w:rsidTr="00775D76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135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ПО ПЕЧАТИ И МАССОВЫМ КОММУНИКАЦИЯМ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310,8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16,7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3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139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ЭКОНОМИЧЕСКОГО РАЗВИТИЯ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64 286,7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31 173,9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48,5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4 </w:t>
            </w:r>
          </w:p>
        </w:tc>
      </w:tr>
      <w:tr w:rsidR="002A628F" w:rsidRPr="00F73119" w:rsidTr="00775D76">
        <w:trPr>
          <w:trHeight w:val="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141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1 024,3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940,2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91,8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2 </w:t>
            </w:r>
          </w:p>
        </w:tc>
      </w:tr>
      <w:tr w:rsidR="002A628F" w:rsidRPr="00F73119" w:rsidTr="00775D76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149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ТРУДА И СОЦИАЛЬНОЙ ЗАЩИТЫ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94 497,0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67 849,9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71,8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3 </w:t>
            </w:r>
          </w:p>
        </w:tc>
      </w:tr>
      <w:tr w:rsidR="002A628F" w:rsidRPr="00F73119" w:rsidTr="00775D76">
        <w:trPr>
          <w:trHeight w:val="2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150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ПО ТРУДУ И ЗАНЯТОСТИ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7 038,2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1 549,0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22,0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3 </w:t>
            </w:r>
          </w:p>
        </w:tc>
      </w:tr>
      <w:tr w:rsidR="002A628F" w:rsidRPr="00F73119" w:rsidTr="00775D76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157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ГОСУДАРСТВЕННОЙ СТАТИСТИКИ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12,8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2 </w:t>
            </w:r>
          </w:p>
        </w:tc>
      </w:tr>
      <w:tr w:rsidR="002A628F" w:rsidRPr="00F73119" w:rsidTr="00775D76">
        <w:trPr>
          <w:trHeight w:val="6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167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ПО УПРАВЛЕНИЮ ГОСУДАРСТВЕННЫМ ИМУЩЕСТВОМ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168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ПО ИНТЕЛЛЕКТУАЛЬНОЙ СОБСТВЕННОСТИ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58,3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5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169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 xml:space="preserve">ФЕДЕРАЛЬНАЯ СЛУЖБА ПО ГИДРОМЕТЕОРОЛОГИИ И МОНИТОРИНГУ ОКРУЖАЮЩЕЙ </w:t>
            </w:r>
            <w:r w:rsidRPr="00F73119">
              <w:rPr>
                <w:rFonts w:eastAsia="Times New Roman"/>
                <w:sz w:val="14"/>
                <w:szCs w:val="20"/>
              </w:rPr>
              <w:lastRenderedPageBreak/>
              <w:t>СРЕДЫ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lastRenderedPageBreak/>
              <w:t>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98,3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172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2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174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АГЕНТСТВО ПО ТУРИЗМУ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8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177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69,7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2 </w:t>
            </w:r>
          </w:p>
        </w:tc>
      </w:tr>
      <w:tr w:rsidR="002A628F" w:rsidRPr="00F73119" w:rsidTr="00775D76">
        <w:trPr>
          <w:trHeight w:val="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180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ВОЙСК НАЦИОНАЛЬНОЙ ГВАРДИИ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754,7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187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ОБОРОНЫ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1 219,6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37,6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3 </w:t>
            </w:r>
          </w:p>
        </w:tc>
      </w:tr>
      <w:tr w:rsidR="002A628F" w:rsidRPr="00F73119" w:rsidTr="00775D76">
        <w:trPr>
          <w:trHeight w:val="3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188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10 074,8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456,9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3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189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БЕЗОПАСНОСТИ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5,7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202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ОХРАНЫ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1 837,1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359,1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19,5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9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226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4 325,4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60,9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2 </w:t>
            </w:r>
          </w:p>
        </w:tc>
      </w:tr>
      <w:tr w:rsidR="002A628F" w:rsidRPr="00F73119" w:rsidTr="00775D76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303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УПРАВЛЕНИЕ ДЕЛАМИ ПРЕЗИДЕНТА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1 924,9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1 159,8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60,3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2 </w:t>
            </w:r>
          </w:p>
        </w:tc>
      </w:tr>
      <w:tr w:rsidR="002A628F" w:rsidRPr="00F73119" w:rsidTr="00775D76">
        <w:trPr>
          <w:trHeight w:val="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305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СЧЕТНАЯ ПАЛАТА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3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308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ЦЕНТРАЛЬНАЯ ИЗБИРАТЕЛЬНАЯ КОМИССИЯ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3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321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2 346,0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19,0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4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370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РОССИЙСКОЙ ФЕДЕРАЦИИ ПО ДЕЛАМ СЕВЕРНОГО КАВКАЗА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18,3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2 </w:t>
            </w:r>
          </w:p>
        </w:tc>
      </w:tr>
      <w:tr w:rsidR="002A628F" w:rsidRPr="00F73119" w:rsidTr="00775D76">
        <w:trPr>
          <w:trHeight w:val="12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384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70,0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9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385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801,9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75,0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10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386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74,9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1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388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МЕДИКО-БИОЛОГИЧЕСКОЕ АГЕНТСТВО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415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ГЕНЕРАЛЬНАЯ ПРОКУРАТУРА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4 697,2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3,5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6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595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2 616,4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512,0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19,6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7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693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ФЕДЕРАЛЬНОЕ ГОСУДАРСТВЕННОЕ БЮДЖЕТНОЕ УЧРЕЖДЕНИЕ "РОССИЙСКИЙ ФОНД ФУНДАМЕНТАЛЬНЫХ ИССЛЕДОВАНИЙ"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100,0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3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725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ГОСУДАРСТВЕННАЯ КОРПОРАЦИЯ ПО АТОМНОЙ ЭНЕРГИИ "РОСАТОМ"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13 328,9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2 и </w:t>
            </w:r>
            <w:r>
              <w:rPr>
                <w:rFonts w:eastAsia="Times New Roman"/>
                <w:sz w:val="20"/>
                <w:szCs w:val="20"/>
              </w:rPr>
              <w:t>Комплексный план</w:t>
            </w:r>
          </w:p>
        </w:tc>
      </w:tr>
      <w:tr w:rsidR="002A628F" w:rsidRPr="00F73119" w:rsidTr="00775D76">
        <w:trPr>
          <w:trHeight w:val="4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730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ГОСУДАРСТВЕННАЯ КОРПОРАЦИЯ ПО КОСМИЧЕСКОЙ ДЕЯТЕЛЬНОСТИ "РОСКОСМОС"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1 087,0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1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777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4"/>
                <w:szCs w:val="20"/>
              </w:rPr>
            </w:pPr>
            <w:r w:rsidRPr="00F73119">
              <w:rPr>
                <w:rFonts w:eastAsia="Times New Roman"/>
                <w:sz w:val="14"/>
                <w:szCs w:val="20"/>
              </w:rPr>
              <w:t>МИНИСТЕРСТВО СПОРТА РОССИЙСКОЙ ФЕДЕРАЦИИ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25 047,4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/>
                <w:sz w:val="20"/>
                <w:szCs w:val="20"/>
              </w:rPr>
            </w:pPr>
            <w:r w:rsidRPr="00F73119">
              <w:rPr>
                <w:rFonts w:eastAsia="Times New Roman"/>
                <w:color w:val="000000"/>
                <w:sz w:val="20"/>
                <w:szCs w:val="20"/>
              </w:rPr>
              <w:t>10 374,2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41,4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</w:tr>
      <w:tr w:rsidR="002A628F" w:rsidRPr="00F73119" w:rsidTr="00775D76">
        <w:trPr>
          <w:trHeight w:val="4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20"/>
                <w:szCs w:val="20"/>
              </w:rPr>
            </w:pPr>
            <w:r w:rsidRPr="00F73119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2"/>
                <w:szCs w:val="22"/>
              </w:rPr>
            </w:pPr>
            <w:r w:rsidRPr="00F73119">
              <w:rPr>
                <w:rFonts w:eastAsia="Times New Roman"/>
                <w:b/>
                <w:bCs/>
                <w:sz w:val="22"/>
                <w:szCs w:val="22"/>
              </w:rPr>
              <w:t>Итого по национальным проектам и Комплексному плану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2"/>
                <w:szCs w:val="22"/>
              </w:rPr>
            </w:pPr>
            <w:r w:rsidRPr="00F73119">
              <w:rPr>
                <w:rFonts w:eastAsia="Times New Roman"/>
                <w:b/>
                <w:bCs/>
                <w:sz w:val="22"/>
                <w:szCs w:val="22"/>
              </w:rPr>
              <w:t>1 779 046,5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2"/>
                <w:szCs w:val="22"/>
              </w:rPr>
            </w:pPr>
            <w:r w:rsidRPr="00F73119">
              <w:rPr>
                <w:rFonts w:eastAsia="Times New Roman"/>
                <w:b/>
                <w:bCs/>
                <w:sz w:val="22"/>
                <w:szCs w:val="22"/>
              </w:rPr>
              <w:t>926 815,8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2"/>
                <w:szCs w:val="22"/>
              </w:rPr>
            </w:pPr>
            <w:r w:rsidRPr="00F73119">
              <w:rPr>
                <w:rFonts w:eastAsia="Times New Roman"/>
                <w:b/>
                <w:bCs/>
                <w:sz w:val="22"/>
                <w:szCs w:val="22"/>
              </w:rPr>
              <w:t>52,1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28F" w:rsidRPr="00F73119" w:rsidRDefault="002A628F" w:rsidP="00775D7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2"/>
                <w:szCs w:val="22"/>
              </w:rPr>
            </w:pPr>
            <w:r w:rsidRPr="00F73119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</w:tbl>
    <w:p w:rsidR="002A628F" w:rsidRDefault="002A628F" w:rsidP="00C74D9F">
      <w:pPr>
        <w:spacing w:line="240" w:lineRule="auto"/>
        <w:ind w:left="0" w:firstLine="0"/>
        <w:jc w:val="right"/>
        <w:rPr>
          <w:sz w:val="24"/>
          <w:szCs w:val="24"/>
        </w:rPr>
      </w:pPr>
    </w:p>
    <w:p w:rsidR="0029372D" w:rsidRPr="000662AB" w:rsidRDefault="0029372D" w:rsidP="00C74D9F">
      <w:pPr>
        <w:spacing w:line="240" w:lineRule="auto"/>
        <w:ind w:left="0" w:firstLine="0"/>
        <w:jc w:val="right"/>
        <w:rPr>
          <w:sz w:val="24"/>
          <w:szCs w:val="24"/>
        </w:rPr>
      </w:pPr>
      <w:r w:rsidRPr="000662AB">
        <w:rPr>
          <w:sz w:val="24"/>
          <w:szCs w:val="24"/>
        </w:rPr>
        <w:t xml:space="preserve">Таблица </w:t>
      </w:r>
      <w:r w:rsidR="00EF3C5B">
        <w:rPr>
          <w:sz w:val="24"/>
          <w:szCs w:val="24"/>
        </w:rPr>
        <w:t>3</w:t>
      </w:r>
    </w:p>
    <w:p w:rsidR="0029372D" w:rsidRDefault="0029372D" w:rsidP="0029372D">
      <w:pPr>
        <w:spacing w:line="240" w:lineRule="auto"/>
        <w:jc w:val="center"/>
        <w:rPr>
          <w:b/>
          <w:sz w:val="24"/>
          <w:szCs w:val="24"/>
        </w:rPr>
      </w:pPr>
    </w:p>
    <w:p w:rsidR="0029372D" w:rsidRDefault="0029372D" w:rsidP="0067635F">
      <w:pPr>
        <w:spacing w:line="240" w:lineRule="auto"/>
        <w:ind w:left="0" w:firstLine="0"/>
        <w:jc w:val="center"/>
        <w:rPr>
          <w:b/>
          <w:sz w:val="24"/>
          <w:szCs w:val="24"/>
        </w:rPr>
      </w:pPr>
      <w:r w:rsidRPr="00A72DC1">
        <w:rPr>
          <w:b/>
          <w:sz w:val="24"/>
          <w:szCs w:val="24"/>
        </w:rPr>
        <w:t>Изменения сводной бюджетной росписи, в том числе повлиявшие на увеличение объема бюджетн</w:t>
      </w:r>
      <w:bookmarkStart w:id="1" w:name="Изм_СБР_Лозко"/>
      <w:bookmarkEnd w:id="1"/>
      <w:r w:rsidRPr="00A72DC1">
        <w:rPr>
          <w:b/>
          <w:sz w:val="24"/>
          <w:szCs w:val="24"/>
        </w:rPr>
        <w:t>ых ассигнований по национальным проектам</w:t>
      </w:r>
      <w:r w:rsidR="00854094" w:rsidRPr="00A72DC1">
        <w:rPr>
          <w:b/>
          <w:sz w:val="24"/>
          <w:szCs w:val="24"/>
        </w:rPr>
        <w:t xml:space="preserve"> и Комплексному плану</w:t>
      </w:r>
      <w:r w:rsidR="005F3E13" w:rsidRPr="00A72DC1">
        <w:rPr>
          <w:b/>
          <w:sz w:val="24"/>
          <w:szCs w:val="24"/>
        </w:rPr>
        <w:t xml:space="preserve"> модернизации и расширения магистральной инфраструктуры</w:t>
      </w:r>
      <w:r w:rsidR="00854094" w:rsidRPr="00A72DC1">
        <w:rPr>
          <w:b/>
          <w:sz w:val="24"/>
          <w:szCs w:val="24"/>
        </w:rPr>
        <w:t xml:space="preserve"> </w:t>
      </w:r>
      <w:r w:rsidRPr="00A72DC1">
        <w:rPr>
          <w:b/>
          <w:sz w:val="24"/>
          <w:szCs w:val="24"/>
        </w:rPr>
        <w:t>на 2019 год</w:t>
      </w:r>
    </w:p>
    <w:p w:rsidR="00CC7099" w:rsidRDefault="00CC7099" w:rsidP="0029372D">
      <w:pPr>
        <w:spacing w:line="384" w:lineRule="auto"/>
        <w:ind w:right="-2"/>
        <w:jc w:val="right"/>
        <w:rPr>
          <w:sz w:val="18"/>
          <w:szCs w:val="24"/>
        </w:rPr>
      </w:pPr>
    </w:p>
    <w:p w:rsidR="0029372D" w:rsidRDefault="0029372D" w:rsidP="0029372D">
      <w:pPr>
        <w:spacing w:line="384" w:lineRule="auto"/>
        <w:ind w:right="-2"/>
        <w:jc w:val="right"/>
        <w:rPr>
          <w:sz w:val="18"/>
          <w:szCs w:val="24"/>
        </w:rPr>
      </w:pPr>
      <w:r w:rsidRPr="00A72DC1">
        <w:rPr>
          <w:sz w:val="18"/>
          <w:szCs w:val="24"/>
        </w:rPr>
        <w:t>(млн. рублей)</w:t>
      </w:r>
    </w:p>
    <w:tbl>
      <w:tblPr>
        <w:tblStyle w:val="ae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74"/>
        <w:gridCol w:w="5055"/>
        <w:gridCol w:w="3260"/>
        <w:gridCol w:w="1559"/>
      </w:tblGrid>
      <w:tr w:rsidR="001C47DD" w:rsidRPr="003F7F02" w:rsidTr="00775D76">
        <w:trPr>
          <w:trHeight w:val="1045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sz w:val="18"/>
                <w:szCs w:val="18"/>
              </w:rPr>
            </w:pPr>
            <w:r w:rsidRPr="003F7F02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3F7F02">
              <w:rPr>
                <w:b/>
                <w:sz w:val="18"/>
                <w:szCs w:val="18"/>
              </w:rPr>
              <w:t>п</w:t>
            </w:r>
            <w:proofErr w:type="gramEnd"/>
            <w:r w:rsidRPr="003F7F02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proofErr w:type="gramStart"/>
            <w:r w:rsidRPr="003F7F02">
              <w:rPr>
                <w:b/>
                <w:sz w:val="18"/>
                <w:szCs w:val="18"/>
              </w:rPr>
              <w:t>Код вида изменений сводной бюджетной росписи (приказ Минфина России от 27 августа 2018 г. № 184н (с изменениями)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sz w:val="18"/>
                <w:szCs w:val="18"/>
              </w:rPr>
            </w:pPr>
            <w:r w:rsidRPr="003F7F02">
              <w:rPr>
                <w:b/>
                <w:sz w:val="18"/>
                <w:szCs w:val="18"/>
              </w:rPr>
              <w:t>Основание для внесения изменений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sz w:val="18"/>
                <w:szCs w:val="18"/>
              </w:rPr>
            </w:pPr>
            <w:r w:rsidRPr="003F7F02">
              <w:rPr>
                <w:b/>
                <w:sz w:val="18"/>
                <w:szCs w:val="18"/>
              </w:rPr>
              <w:t>Сумма изменений сводной росписи</w:t>
            </w:r>
            <w:r>
              <w:rPr>
                <w:b/>
                <w:sz w:val="18"/>
                <w:szCs w:val="18"/>
              </w:rPr>
              <w:t xml:space="preserve"> с изменениями</w:t>
            </w:r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121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3F7F02">
              <w:rPr>
                <w:sz w:val="18"/>
                <w:szCs w:val="18"/>
              </w:rPr>
              <w:t xml:space="preserve">(изменения, вносимые в случае </w:t>
            </w:r>
            <w:proofErr w:type="gramStart"/>
            <w:r w:rsidRPr="003F7F02">
              <w:rPr>
                <w:b/>
                <w:sz w:val="18"/>
                <w:szCs w:val="18"/>
              </w:rPr>
              <w:t>увеличения</w:t>
            </w:r>
            <w:r w:rsidRPr="003F7F02">
              <w:rPr>
                <w:sz w:val="18"/>
                <w:szCs w:val="18"/>
              </w:rPr>
              <w:t xml:space="preserve"> бюджетных ассигнований </w:t>
            </w:r>
            <w:r w:rsidRPr="003F7F02">
              <w:rPr>
                <w:b/>
                <w:sz w:val="18"/>
                <w:szCs w:val="18"/>
              </w:rPr>
              <w:t>резервного фонда Правительства</w:t>
            </w:r>
            <w:r w:rsidRPr="003F7F02">
              <w:rPr>
                <w:sz w:val="18"/>
                <w:szCs w:val="18"/>
              </w:rPr>
              <w:t xml:space="preserve"> Российской Федерации</w:t>
            </w:r>
            <w:proofErr w:type="gramEnd"/>
            <w:r w:rsidRPr="003F7F02">
              <w:rPr>
                <w:sz w:val="18"/>
                <w:szCs w:val="1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DE7576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hyperlink r:id="rId9" w:history="1">
              <w:r w:rsidR="001C47DD" w:rsidRPr="003F7F02">
                <w:rPr>
                  <w:rStyle w:val="af4"/>
                  <w:color w:val="auto"/>
                  <w:sz w:val="18"/>
                  <w:szCs w:val="18"/>
                  <w:u w:val="none"/>
                </w:rPr>
                <w:t>пункт 7 статьи 217</w:t>
              </w:r>
            </w:hyperlink>
            <w:r w:rsidR="001C47DD" w:rsidRPr="003F7F02">
              <w:rPr>
                <w:sz w:val="18"/>
                <w:szCs w:val="18"/>
              </w:rPr>
              <w:t xml:space="preserve"> Бюджетного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7B77B1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7B77B1">
              <w:rPr>
                <w:sz w:val="18"/>
                <w:szCs w:val="24"/>
              </w:rPr>
              <w:t>-4 117,3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7B77B1">
              <w:rPr>
                <w:sz w:val="18"/>
                <w:szCs w:val="24"/>
              </w:rPr>
              <w:t>(-4 117,3/+0)</w:t>
            </w:r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18"/>
              </w:rPr>
            </w:pPr>
            <w:r w:rsidRPr="003F7F02">
              <w:rPr>
                <w:bCs/>
                <w:sz w:val="18"/>
                <w:szCs w:val="18"/>
              </w:rPr>
              <w:t>122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18"/>
                <w:lang w:eastAsia="en-US"/>
              </w:rPr>
            </w:pPr>
            <w:proofErr w:type="gramStart"/>
            <w:r w:rsidRPr="003F7F02">
              <w:rPr>
                <w:bCs/>
                <w:sz w:val="18"/>
                <w:szCs w:val="18"/>
              </w:rPr>
              <w:t>(изменения, вносимые в случае использования (</w:t>
            </w:r>
            <w:r w:rsidRPr="003F7F02">
              <w:rPr>
                <w:b/>
                <w:bCs/>
                <w:sz w:val="18"/>
                <w:szCs w:val="18"/>
              </w:rPr>
              <w:t>перераспределения</w:t>
            </w:r>
            <w:r w:rsidRPr="003F7F02">
              <w:rPr>
                <w:bCs/>
                <w:sz w:val="18"/>
                <w:szCs w:val="18"/>
              </w:rPr>
              <w:t xml:space="preserve">) средств </w:t>
            </w:r>
            <w:r w:rsidRPr="003F7F02">
              <w:rPr>
                <w:b/>
                <w:bCs/>
                <w:sz w:val="18"/>
                <w:szCs w:val="18"/>
              </w:rPr>
              <w:t xml:space="preserve">резервного фонда Правительства </w:t>
            </w:r>
            <w:r w:rsidRPr="003F7F02">
              <w:rPr>
                <w:bCs/>
                <w:sz w:val="18"/>
                <w:szCs w:val="18"/>
              </w:rPr>
              <w:t>Российской Федерации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DE7576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hyperlink r:id="rId10" w:history="1">
              <w:r w:rsidR="001C47DD" w:rsidRPr="003F7F02">
                <w:rPr>
                  <w:rStyle w:val="af4"/>
                  <w:color w:val="auto"/>
                  <w:sz w:val="18"/>
                  <w:szCs w:val="18"/>
                  <w:u w:val="none"/>
                </w:rPr>
                <w:t>пункт 3 статьи 217</w:t>
              </w:r>
            </w:hyperlink>
            <w:r w:rsidR="001C47DD" w:rsidRPr="003F7F02">
              <w:rPr>
                <w:sz w:val="18"/>
                <w:szCs w:val="18"/>
              </w:rPr>
              <w:t xml:space="preserve"> Бюджетного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7B77B1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9 822,7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7B77B1">
              <w:rPr>
                <w:sz w:val="18"/>
                <w:szCs w:val="24"/>
              </w:rPr>
              <w:t>(-0/+</w:t>
            </w:r>
            <w:r>
              <w:rPr>
                <w:sz w:val="18"/>
                <w:szCs w:val="24"/>
              </w:rPr>
              <w:t>9 822,7</w:t>
            </w:r>
            <w:r w:rsidRPr="007B77B1">
              <w:rPr>
                <w:sz w:val="18"/>
                <w:szCs w:val="24"/>
              </w:rPr>
              <w:t>)</w:t>
            </w:r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18"/>
              </w:rPr>
            </w:pPr>
            <w:r w:rsidRPr="003F7F02">
              <w:rPr>
                <w:bCs/>
                <w:sz w:val="18"/>
                <w:szCs w:val="18"/>
              </w:rPr>
              <w:t>123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18"/>
              </w:rPr>
            </w:pPr>
            <w:r w:rsidRPr="003F7F02">
              <w:rPr>
                <w:bCs/>
                <w:sz w:val="18"/>
                <w:szCs w:val="18"/>
              </w:rPr>
              <w:t>(изменения, вносимые в случае использования (</w:t>
            </w:r>
            <w:r w:rsidRPr="003F7F02">
              <w:rPr>
                <w:b/>
                <w:bCs/>
                <w:sz w:val="18"/>
                <w:szCs w:val="18"/>
              </w:rPr>
              <w:t>перераспределения)</w:t>
            </w:r>
            <w:r w:rsidRPr="003F7F02">
              <w:rPr>
                <w:bCs/>
                <w:sz w:val="18"/>
                <w:szCs w:val="18"/>
              </w:rPr>
              <w:t xml:space="preserve"> средств </w:t>
            </w:r>
            <w:r w:rsidRPr="003F7F02">
              <w:rPr>
                <w:b/>
                <w:bCs/>
                <w:sz w:val="18"/>
                <w:szCs w:val="18"/>
              </w:rPr>
              <w:t>резервного фонда Президента</w:t>
            </w:r>
            <w:r w:rsidRPr="003F7F02">
              <w:rPr>
                <w:bCs/>
                <w:sz w:val="18"/>
                <w:szCs w:val="18"/>
              </w:rPr>
              <w:t xml:space="preserve"> Российской Федерации)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DE7576" w:rsidP="00775D76">
            <w:pPr>
              <w:spacing w:line="240" w:lineRule="auto"/>
              <w:ind w:left="0" w:right="0" w:firstLine="0"/>
              <w:jc w:val="center"/>
            </w:pPr>
            <w:hyperlink r:id="rId11" w:history="1">
              <w:r w:rsidR="001C47DD" w:rsidRPr="003F7F02">
                <w:rPr>
                  <w:rStyle w:val="af4"/>
                  <w:color w:val="auto"/>
                  <w:sz w:val="18"/>
                  <w:szCs w:val="18"/>
                  <w:u w:val="none"/>
                </w:rPr>
                <w:t>пункт 3 статьи 217</w:t>
              </w:r>
            </w:hyperlink>
            <w:r w:rsidR="001C47DD" w:rsidRPr="003F7F02">
              <w:rPr>
                <w:sz w:val="18"/>
                <w:szCs w:val="18"/>
              </w:rPr>
              <w:t xml:space="preserve"> Бюджетного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 xml:space="preserve">798,0 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(-0/</w:t>
            </w:r>
            <w:r w:rsidRPr="003F7F02">
              <w:rPr>
                <w:bCs/>
                <w:sz w:val="18"/>
                <w:szCs w:val="24"/>
              </w:rPr>
              <w:t>+798,0)</w:t>
            </w:r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18"/>
              </w:rPr>
            </w:pPr>
            <w:r w:rsidRPr="003F7F02">
              <w:rPr>
                <w:bCs/>
                <w:sz w:val="18"/>
                <w:szCs w:val="18"/>
              </w:rPr>
              <w:t>125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3F7F02">
              <w:rPr>
                <w:bCs/>
                <w:sz w:val="18"/>
                <w:szCs w:val="18"/>
              </w:rPr>
              <w:t>(изменения, вносимые в случае использования (</w:t>
            </w:r>
            <w:r w:rsidRPr="003F7F02">
              <w:rPr>
                <w:b/>
                <w:bCs/>
                <w:sz w:val="18"/>
                <w:szCs w:val="18"/>
              </w:rPr>
              <w:t>перераспределения</w:t>
            </w:r>
            <w:r w:rsidRPr="003F7F02">
              <w:rPr>
                <w:bCs/>
                <w:sz w:val="18"/>
                <w:szCs w:val="18"/>
              </w:rPr>
              <w:t xml:space="preserve">) средств иным образом </w:t>
            </w:r>
            <w:r w:rsidRPr="003F7F02">
              <w:rPr>
                <w:b/>
                <w:bCs/>
                <w:sz w:val="18"/>
                <w:szCs w:val="18"/>
              </w:rPr>
              <w:t>зарезервированных</w:t>
            </w:r>
            <w:r w:rsidRPr="003F7F02">
              <w:rPr>
                <w:bCs/>
                <w:sz w:val="18"/>
                <w:szCs w:val="18"/>
              </w:rPr>
              <w:t xml:space="preserve"> </w:t>
            </w:r>
            <w:r w:rsidRPr="003F7F02">
              <w:rPr>
                <w:b/>
                <w:bCs/>
                <w:sz w:val="18"/>
                <w:szCs w:val="18"/>
              </w:rPr>
              <w:t>в составе</w:t>
            </w:r>
            <w:r w:rsidRPr="003F7F02">
              <w:rPr>
                <w:bCs/>
                <w:sz w:val="18"/>
                <w:szCs w:val="18"/>
              </w:rPr>
              <w:t xml:space="preserve"> </w:t>
            </w:r>
            <w:r w:rsidRPr="003F7F02">
              <w:rPr>
                <w:b/>
                <w:bCs/>
                <w:sz w:val="18"/>
                <w:szCs w:val="18"/>
              </w:rPr>
              <w:t>утвержденных Законом</w:t>
            </w:r>
            <w:r w:rsidRPr="003F7F02">
              <w:rPr>
                <w:bCs/>
                <w:sz w:val="18"/>
                <w:szCs w:val="18"/>
              </w:rPr>
              <w:t xml:space="preserve"> бюджетных ассигнований)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пункт 3 статьи 217 Бюджетного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0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proofErr w:type="gramStart"/>
            <w:r w:rsidRPr="003F7F02">
              <w:rPr>
                <w:sz w:val="18"/>
                <w:szCs w:val="24"/>
              </w:rPr>
              <w:t>(-3 525,1/</w:t>
            </w:r>
            <w:proofErr w:type="gramEnd"/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proofErr w:type="gramStart"/>
            <w:r w:rsidRPr="003F7F02">
              <w:rPr>
                <w:sz w:val="18"/>
                <w:szCs w:val="24"/>
              </w:rPr>
              <w:t>+3 525,1)</w:t>
            </w:r>
            <w:proofErr w:type="gramEnd"/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221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18"/>
              </w:rPr>
              <w:t xml:space="preserve">(изменения, вносимые в случае </w:t>
            </w:r>
            <w:r w:rsidRPr="003F7F02">
              <w:rPr>
                <w:b/>
                <w:sz w:val="18"/>
                <w:szCs w:val="18"/>
              </w:rPr>
              <w:t>увеличения</w:t>
            </w:r>
            <w:r w:rsidRPr="003F7F02">
              <w:rPr>
                <w:sz w:val="18"/>
                <w:szCs w:val="18"/>
              </w:rPr>
              <w:t xml:space="preserve"> бюджетных ассигнований текущего финансового года </w:t>
            </w:r>
            <w:r w:rsidRPr="003F7F02">
              <w:rPr>
                <w:b/>
                <w:sz w:val="18"/>
                <w:szCs w:val="18"/>
              </w:rPr>
              <w:t>на оплату заключенных государственных контрактов</w:t>
            </w:r>
            <w:r w:rsidRPr="003F7F02">
              <w:rPr>
                <w:sz w:val="18"/>
                <w:szCs w:val="18"/>
              </w:rPr>
              <w:t xml:space="preserve"> на поставку товаров, выполнение работ, оказание услуг, подлежавших в соответствии с условиями этих государственных контрактов </w:t>
            </w:r>
            <w:r w:rsidRPr="003F7F02">
              <w:rPr>
                <w:sz w:val="18"/>
                <w:szCs w:val="18"/>
              </w:rPr>
              <w:lastRenderedPageBreak/>
              <w:t xml:space="preserve">оплате в отчетном финансовом году,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3F7F02">
              <w:rPr>
                <w:sz w:val="18"/>
                <w:szCs w:val="18"/>
              </w:rPr>
              <w:t>ассигнований</w:t>
            </w:r>
            <w:proofErr w:type="gramEnd"/>
            <w:r w:rsidRPr="003F7F02">
              <w:rPr>
                <w:sz w:val="18"/>
                <w:szCs w:val="18"/>
              </w:rPr>
              <w:t xml:space="preserve"> на исполнение указанных государственных контрактов)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DE7576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hyperlink r:id="rId12" w:history="1">
              <w:r w:rsidR="001C47DD" w:rsidRPr="003F7F02">
                <w:rPr>
                  <w:rStyle w:val="af4"/>
                  <w:color w:val="auto"/>
                  <w:sz w:val="18"/>
                  <w:szCs w:val="18"/>
                  <w:u w:val="none"/>
                </w:rPr>
                <w:t>пункт 3 статьи 217</w:t>
              </w:r>
            </w:hyperlink>
            <w:r w:rsidR="001C47DD" w:rsidRPr="003F7F02">
              <w:rPr>
                <w:sz w:val="18"/>
                <w:szCs w:val="18"/>
              </w:rPr>
              <w:t xml:space="preserve"> Бюджетного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E63FF8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E63FF8">
              <w:rPr>
                <w:sz w:val="18"/>
                <w:szCs w:val="24"/>
              </w:rPr>
              <w:t>4 005,4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E63FF8">
              <w:rPr>
                <w:sz w:val="18"/>
                <w:szCs w:val="24"/>
              </w:rPr>
              <w:t>(-0/+4 005,4)</w:t>
            </w:r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224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 xml:space="preserve">(изменения, вносимые в связи с неполным использованием бюджетных ассигнований </w:t>
            </w:r>
            <w:r w:rsidRPr="003F7F02">
              <w:rPr>
                <w:b/>
                <w:sz w:val="18"/>
                <w:szCs w:val="18"/>
              </w:rPr>
              <w:t>Федерального дорожного фонда</w:t>
            </w:r>
            <w:r w:rsidRPr="003F7F02">
              <w:rPr>
                <w:sz w:val="18"/>
                <w:szCs w:val="18"/>
              </w:rPr>
              <w:t xml:space="preserve"> отчетного финансового года)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DE7576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hyperlink r:id="rId13" w:history="1">
              <w:r w:rsidR="001C47DD" w:rsidRPr="003F7F02">
                <w:rPr>
                  <w:rStyle w:val="af4"/>
                  <w:color w:val="auto"/>
                  <w:sz w:val="18"/>
                  <w:szCs w:val="18"/>
                  <w:u w:val="none"/>
                </w:rPr>
                <w:t>пункт 4 статьи 94</w:t>
              </w:r>
            </w:hyperlink>
            <w:r w:rsidR="001C47DD" w:rsidRPr="003F7F02">
              <w:rPr>
                <w:sz w:val="18"/>
                <w:szCs w:val="18"/>
              </w:rPr>
              <w:t xml:space="preserve"> Бюджетного кодекса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2 719,0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(-0/+2 719,0)</w:t>
            </w:r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226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proofErr w:type="gramStart"/>
            <w:r w:rsidRPr="003F7F02">
              <w:rPr>
                <w:sz w:val="18"/>
                <w:szCs w:val="18"/>
              </w:rPr>
              <w:t xml:space="preserve">(изменения, связанные с </w:t>
            </w:r>
            <w:r w:rsidRPr="003F7F02">
              <w:rPr>
                <w:b/>
                <w:sz w:val="18"/>
                <w:szCs w:val="18"/>
              </w:rPr>
              <w:t xml:space="preserve">увеличением </w:t>
            </w:r>
            <w:r w:rsidRPr="003F7F02">
              <w:rPr>
                <w:sz w:val="18"/>
                <w:szCs w:val="18"/>
              </w:rPr>
              <w:t xml:space="preserve">бюджетных ассигнований на предоставление из федерального бюджета </w:t>
            </w:r>
            <w:r w:rsidRPr="003F7F02">
              <w:rPr>
                <w:b/>
                <w:sz w:val="18"/>
                <w:szCs w:val="18"/>
              </w:rPr>
              <w:t>межбюджетных трансфертов</w:t>
            </w:r>
            <w:r w:rsidRPr="003F7F02">
              <w:rPr>
                <w:sz w:val="18"/>
                <w:szCs w:val="18"/>
              </w:rPr>
              <w:t xml:space="preserve">, </w:t>
            </w:r>
            <w:r w:rsidRPr="003F7F02">
              <w:rPr>
                <w:b/>
                <w:sz w:val="18"/>
                <w:szCs w:val="18"/>
              </w:rPr>
              <w:t>имеющих целевое назначение,</w:t>
            </w:r>
            <w:r w:rsidRPr="003F7F02">
              <w:rPr>
                <w:sz w:val="18"/>
                <w:szCs w:val="18"/>
              </w:rPr>
              <w:t xml:space="preserve">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бюджетов субъектов Российской Федерации, источником финансового обеспечения которых являлись указанные межбюджетные трансферты, в объеме, не превышающем с учетом уровня </w:t>
            </w:r>
            <w:proofErr w:type="spellStart"/>
            <w:r w:rsidRPr="003F7F02">
              <w:rPr>
                <w:sz w:val="18"/>
                <w:szCs w:val="18"/>
              </w:rPr>
              <w:t>софинансирования</w:t>
            </w:r>
            <w:proofErr w:type="spellEnd"/>
            <w:r w:rsidRPr="003F7F02">
              <w:rPr>
                <w:sz w:val="18"/>
                <w:szCs w:val="18"/>
              </w:rPr>
              <w:t xml:space="preserve"> остатка не использованных на начало текущего финансового</w:t>
            </w:r>
            <w:proofErr w:type="gramEnd"/>
            <w:r w:rsidRPr="003F7F02">
              <w:rPr>
                <w:sz w:val="18"/>
                <w:szCs w:val="18"/>
              </w:rPr>
              <w:t xml:space="preserve"> года бюджетных ассигнований субъекта Российской Федерации </w:t>
            </w:r>
            <w:r w:rsidRPr="003F7F02">
              <w:rPr>
                <w:b/>
                <w:sz w:val="18"/>
                <w:szCs w:val="18"/>
              </w:rPr>
              <w:t>на оплату государственных (муниципальных) контрактов,</w:t>
            </w:r>
            <w:r w:rsidRPr="003F7F02">
              <w:rPr>
                <w:sz w:val="18"/>
                <w:szCs w:val="18"/>
              </w:rPr>
              <w:t xml:space="preserve"> </w:t>
            </w:r>
            <w:r w:rsidRPr="003F7F02">
              <w:rPr>
                <w:b/>
                <w:sz w:val="18"/>
                <w:szCs w:val="18"/>
              </w:rPr>
              <w:t>заключенных от имени субъекта Российской Федерации (муниципальных образований)</w:t>
            </w:r>
            <w:r w:rsidRPr="003F7F02">
              <w:rPr>
                <w:sz w:val="18"/>
                <w:szCs w:val="18"/>
              </w:rPr>
              <w:t xml:space="preserve"> на поставку товаров, выполнение работ, оказание услуг, подлежавших в соответствии с условиями этих государственных (муниципальных) контрактов оплате в отчетном финансовом году)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DE7576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hyperlink r:id="rId14" w:history="1">
              <w:r w:rsidR="001C47DD" w:rsidRPr="003F7F02">
                <w:rPr>
                  <w:rStyle w:val="af4"/>
                  <w:color w:val="auto"/>
                  <w:sz w:val="18"/>
                  <w:szCs w:val="18"/>
                  <w:u w:val="none"/>
                </w:rPr>
                <w:t>пункт 7 статьи 217</w:t>
              </w:r>
            </w:hyperlink>
            <w:r w:rsidR="001C47DD" w:rsidRPr="003F7F02">
              <w:rPr>
                <w:sz w:val="18"/>
                <w:szCs w:val="18"/>
              </w:rPr>
              <w:t xml:space="preserve"> Бюджетного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235,9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(-0/+235,9)</w:t>
            </w:r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228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 xml:space="preserve">(изменения, связанные с </w:t>
            </w:r>
            <w:r w:rsidRPr="003F7F02">
              <w:rPr>
                <w:b/>
                <w:sz w:val="18"/>
                <w:szCs w:val="18"/>
              </w:rPr>
              <w:t>увеличением</w:t>
            </w:r>
            <w:r w:rsidRPr="003F7F02">
              <w:rPr>
                <w:sz w:val="18"/>
                <w:szCs w:val="18"/>
              </w:rPr>
              <w:t xml:space="preserve"> бюджетных ассигнований в объеме, не превышающем остатка лимитов бюджетных обязательств на оплату </w:t>
            </w:r>
            <w:r w:rsidRPr="003F7F02">
              <w:rPr>
                <w:b/>
                <w:sz w:val="18"/>
                <w:szCs w:val="18"/>
              </w:rPr>
              <w:t xml:space="preserve">государственных контрактов </w:t>
            </w:r>
            <w:r w:rsidRPr="003F7F02">
              <w:rPr>
                <w:sz w:val="18"/>
                <w:szCs w:val="18"/>
              </w:rPr>
              <w:t xml:space="preserve">на закупку товаров, выполнение работ, оказание услуг, </w:t>
            </w:r>
            <w:r w:rsidRPr="003F7F02">
              <w:rPr>
                <w:b/>
                <w:sz w:val="18"/>
                <w:szCs w:val="18"/>
              </w:rPr>
              <w:t>расчеты по которым в 2018 году осуществлялись с применением казначейского обеспечения обязательств</w:t>
            </w:r>
            <w:r w:rsidRPr="003F7F02">
              <w:rPr>
                <w:sz w:val="18"/>
                <w:szCs w:val="18"/>
              </w:rPr>
              <w:t xml:space="preserve">, на суммы, не превышающие </w:t>
            </w:r>
            <w:proofErr w:type="gramStart"/>
            <w:r w:rsidRPr="003F7F02">
              <w:rPr>
                <w:sz w:val="18"/>
                <w:szCs w:val="18"/>
              </w:rPr>
              <w:t>остатков</w:t>
            </w:r>
            <w:proofErr w:type="gramEnd"/>
            <w:r w:rsidRPr="003F7F02">
              <w:rPr>
                <w:sz w:val="18"/>
                <w:szCs w:val="18"/>
              </w:rPr>
              <w:t xml:space="preserve"> не использованных в 2018 году лимитов бюджетных обязательств на указанные цели)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пункт 2 части 1 статьи 6 Федерального закона от 28 ноября 2018 г. № 457-ФЗ «О внесении изменений в Бюджетный кодекс Российской Федерации и отдельные законодательные акты Российской Федерации» (с изменениями)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1 137,8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(-0/+1 137,8)</w:t>
            </w:r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273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 xml:space="preserve">(изменения, вносимые в случае </w:t>
            </w:r>
            <w:r w:rsidRPr="003F7F02">
              <w:rPr>
                <w:b/>
                <w:sz w:val="18"/>
                <w:szCs w:val="18"/>
              </w:rPr>
              <w:t>перераспределения</w:t>
            </w:r>
            <w:r w:rsidRPr="003F7F02">
              <w:rPr>
                <w:sz w:val="18"/>
                <w:szCs w:val="18"/>
              </w:rPr>
              <w:t xml:space="preserve"> бюджетных ассигнований, </w:t>
            </w:r>
            <w:r w:rsidRPr="003F7F02">
              <w:rPr>
                <w:b/>
                <w:sz w:val="18"/>
                <w:szCs w:val="18"/>
              </w:rPr>
              <w:t>предоставляемых на конкурсной основе</w:t>
            </w:r>
            <w:r w:rsidRPr="003F7F02">
              <w:rPr>
                <w:sz w:val="18"/>
                <w:szCs w:val="1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пункт 3 статьи 217 Бюджетного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0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(-82,0/+82,0)</w:t>
            </w:r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 xml:space="preserve">278 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proofErr w:type="gramStart"/>
            <w:r w:rsidRPr="003F7F02">
              <w:rPr>
                <w:sz w:val="18"/>
                <w:szCs w:val="18"/>
              </w:rPr>
              <w:t xml:space="preserve">(изменения, вносимые в случае </w:t>
            </w:r>
            <w:r w:rsidRPr="003F7F02">
              <w:rPr>
                <w:b/>
                <w:sz w:val="18"/>
                <w:szCs w:val="18"/>
              </w:rPr>
              <w:t>перераспределения бюджетных ассигнований между национальными проектами</w:t>
            </w:r>
            <w:r w:rsidRPr="003F7F02">
              <w:rPr>
                <w:sz w:val="18"/>
                <w:szCs w:val="18"/>
              </w:rPr>
              <w:t xml:space="preserve"> (программами) и (или) входящими в их состав федеральными проектами и (или) результатами их реализации,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год, а также в случае увеличения бюджетных ассигнований, </w:t>
            </w:r>
            <w:r w:rsidRPr="003F7F02">
              <w:rPr>
                <w:b/>
                <w:sz w:val="18"/>
                <w:szCs w:val="18"/>
              </w:rPr>
              <w:t>предусмотренных на финансовое</w:t>
            </w:r>
            <w:proofErr w:type="gramEnd"/>
            <w:r w:rsidRPr="003F7F02">
              <w:rPr>
                <w:b/>
                <w:sz w:val="18"/>
                <w:szCs w:val="18"/>
              </w:rPr>
              <w:t xml:space="preserve"> обеспечение реализации национальных проектов (программ), за счет уменьшения бюджетных ассигнований, не отнесенных Федеральным законом</w:t>
            </w:r>
            <w:r w:rsidRPr="003F7F02">
              <w:rPr>
                <w:sz w:val="18"/>
                <w:szCs w:val="18"/>
              </w:rPr>
              <w:t xml:space="preserve"> «О федеральном бюджете на 2019 год и на плановый период 2020 и 2021 годов» на указанные цели 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(приказ Минфина России от 27 августа 2018 г. № 184н</w:t>
            </w:r>
            <w:r w:rsidRPr="003F7F02">
              <w:rPr>
                <w:b/>
                <w:sz w:val="18"/>
                <w:szCs w:val="18"/>
              </w:rPr>
              <w:t xml:space="preserve"> </w:t>
            </w:r>
            <w:r w:rsidRPr="003F7F02">
              <w:rPr>
                <w:sz w:val="18"/>
                <w:szCs w:val="18"/>
              </w:rPr>
              <w:t>в редакции приказа Минфина России от 17 декабря 2018 г. № 273н)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 xml:space="preserve">278 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 xml:space="preserve">(изменения, связанные </w:t>
            </w:r>
            <w:r w:rsidRPr="003F7F02">
              <w:rPr>
                <w:b/>
                <w:sz w:val="18"/>
                <w:szCs w:val="18"/>
              </w:rPr>
              <w:t>с перераспределением</w:t>
            </w:r>
            <w:r w:rsidRPr="003F7F02">
              <w:rPr>
                <w:sz w:val="18"/>
                <w:szCs w:val="18"/>
              </w:rPr>
              <w:t xml:space="preserve"> бюджетных ассигнований, вносимых в случае исполнения принятых </w:t>
            </w:r>
            <w:r w:rsidRPr="003F7F02">
              <w:rPr>
                <w:b/>
                <w:sz w:val="18"/>
                <w:szCs w:val="18"/>
              </w:rPr>
              <w:t xml:space="preserve">в </w:t>
            </w:r>
            <w:r w:rsidRPr="003F7F02">
              <w:rPr>
                <w:b/>
                <w:sz w:val="18"/>
                <w:szCs w:val="18"/>
              </w:rPr>
              <w:lastRenderedPageBreak/>
              <w:t>соответствии с федеральными законами решений об утвержденном размере уставного капитала</w:t>
            </w:r>
            <w:r w:rsidRPr="003F7F02">
              <w:rPr>
                <w:sz w:val="18"/>
                <w:szCs w:val="18"/>
              </w:rPr>
              <w:t xml:space="preserve">) 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(приказ Минфина России от 27 августа 2018 г. № 184н</w:t>
            </w:r>
            <w:r w:rsidRPr="003F7F02">
              <w:rPr>
                <w:b/>
                <w:sz w:val="18"/>
                <w:szCs w:val="18"/>
              </w:rPr>
              <w:t xml:space="preserve"> </w:t>
            </w:r>
            <w:r w:rsidRPr="003F7F02">
              <w:rPr>
                <w:sz w:val="18"/>
                <w:szCs w:val="18"/>
              </w:rPr>
              <w:t>в редакции приказа Минфина России от 16 февраля 2019 г. № 21н)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DD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часть 1 статьи 7 Федерального закона от 28 ноября 2018 г. № 457-ФЗ «О внесении изменений в Бюджетный кодекс Российской Федерации и отдельные законодательные акты Российской Федерации» (с изменениями)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пункт 7 статьи 217 Бюджетного кодекса Российской Федерации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DD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0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(-847,0/+847,0)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</w:p>
          <w:p w:rsidR="001C47DD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-</w:t>
            </w:r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281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 xml:space="preserve">(изменения, вносимые в случае </w:t>
            </w:r>
            <w:r w:rsidRPr="003F7F02">
              <w:rPr>
                <w:b/>
                <w:sz w:val="18"/>
                <w:szCs w:val="18"/>
              </w:rPr>
              <w:t>перераспределения</w:t>
            </w:r>
            <w:r w:rsidRPr="003F7F02">
              <w:rPr>
                <w:sz w:val="18"/>
                <w:szCs w:val="18"/>
              </w:rPr>
              <w:t xml:space="preserve"> бюджетных ассигнований </w:t>
            </w:r>
            <w:r w:rsidRPr="003F7F02">
              <w:rPr>
                <w:b/>
                <w:sz w:val="18"/>
                <w:szCs w:val="18"/>
              </w:rPr>
              <w:t>в рамках</w:t>
            </w:r>
            <w:r w:rsidRPr="003F7F02">
              <w:rPr>
                <w:sz w:val="18"/>
                <w:szCs w:val="18"/>
              </w:rPr>
              <w:t xml:space="preserve"> результатов </w:t>
            </w:r>
            <w:r w:rsidRPr="003F7F02">
              <w:rPr>
                <w:b/>
                <w:sz w:val="18"/>
                <w:szCs w:val="18"/>
              </w:rPr>
              <w:t>реализации федеральных проектов</w:t>
            </w:r>
            <w:r w:rsidRPr="003F7F02">
              <w:rPr>
                <w:sz w:val="18"/>
                <w:szCs w:val="18"/>
              </w:rPr>
              <w:t>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часть 1 статьи 7</w:t>
            </w:r>
            <w:r w:rsidRPr="003F7F02">
              <w:rPr>
                <w:b/>
                <w:sz w:val="18"/>
                <w:szCs w:val="18"/>
              </w:rPr>
              <w:t xml:space="preserve"> </w:t>
            </w:r>
            <w:r w:rsidRPr="003F7F02">
              <w:rPr>
                <w:sz w:val="18"/>
                <w:szCs w:val="18"/>
              </w:rPr>
              <w:t>Федерального закона от 28 ноября 2018 г. № 457-ФЗ «О внесении изменений в Бюджетный кодекс Российской Федерации и отдельные законодательные акты Российской Федерации» (с изменениями)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0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24"/>
              </w:rPr>
            </w:pPr>
            <w:proofErr w:type="gramStart"/>
            <w:r w:rsidRPr="003F7F02">
              <w:rPr>
                <w:sz w:val="18"/>
                <w:szCs w:val="24"/>
              </w:rPr>
              <w:t>(</w:t>
            </w:r>
            <w:r w:rsidRPr="003F7F02">
              <w:rPr>
                <w:bCs/>
                <w:sz w:val="18"/>
                <w:szCs w:val="24"/>
              </w:rPr>
              <w:t>-3</w:t>
            </w:r>
            <w:r>
              <w:rPr>
                <w:bCs/>
                <w:sz w:val="18"/>
                <w:szCs w:val="24"/>
              </w:rPr>
              <w:t> 784,5</w:t>
            </w:r>
            <w:r w:rsidRPr="003F7F02">
              <w:rPr>
                <w:bCs/>
                <w:sz w:val="18"/>
                <w:szCs w:val="24"/>
              </w:rPr>
              <w:t>/</w:t>
            </w:r>
            <w:proofErr w:type="gramEnd"/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proofErr w:type="gramStart"/>
            <w:r w:rsidRPr="003F7F02">
              <w:rPr>
                <w:bCs/>
                <w:sz w:val="18"/>
                <w:szCs w:val="24"/>
              </w:rPr>
              <w:t>+3</w:t>
            </w:r>
            <w:r>
              <w:rPr>
                <w:bCs/>
                <w:sz w:val="18"/>
                <w:szCs w:val="24"/>
              </w:rPr>
              <w:t> 784,5</w:t>
            </w:r>
            <w:r w:rsidRPr="003F7F02">
              <w:rPr>
                <w:bCs/>
                <w:sz w:val="18"/>
                <w:szCs w:val="24"/>
              </w:rPr>
              <w:t>)</w:t>
            </w:r>
            <w:proofErr w:type="gramEnd"/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282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 xml:space="preserve">(изменения, вносимые в случае </w:t>
            </w:r>
            <w:r w:rsidRPr="003F7F02">
              <w:rPr>
                <w:b/>
                <w:sz w:val="18"/>
                <w:szCs w:val="18"/>
              </w:rPr>
              <w:t xml:space="preserve">перераспределения </w:t>
            </w:r>
            <w:r w:rsidRPr="003F7F02">
              <w:rPr>
                <w:sz w:val="18"/>
                <w:szCs w:val="18"/>
              </w:rPr>
              <w:t xml:space="preserve">бюджетных ассигнований </w:t>
            </w:r>
            <w:r w:rsidRPr="003F7F02">
              <w:rPr>
                <w:b/>
                <w:sz w:val="18"/>
                <w:szCs w:val="18"/>
              </w:rPr>
              <w:t>между результатами реализации федеральных проектов</w:t>
            </w:r>
            <w:r w:rsidRPr="003F7F02">
              <w:rPr>
                <w:sz w:val="18"/>
                <w:szCs w:val="18"/>
              </w:rPr>
              <w:t>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часть 1 статьи 7 Федерального закона от 28 ноября 2018 г. № 457-ФЗ «О внесении изменений в Бюджетный кодекс Российской Федерации и отдельные законодательные акты Российской Федерации» (с изменениями)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proofErr w:type="gramStart"/>
            <w:r>
              <w:rPr>
                <w:sz w:val="18"/>
                <w:szCs w:val="24"/>
              </w:rPr>
              <w:t xml:space="preserve">0  (-32 036,0/ </w:t>
            </w:r>
            <w:proofErr w:type="gramEnd"/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proofErr w:type="gramStart"/>
            <w:r>
              <w:rPr>
                <w:sz w:val="18"/>
                <w:szCs w:val="24"/>
              </w:rPr>
              <w:t>+32 036,0)</w:t>
            </w:r>
            <w:proofErr w:type="gramEnd"/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283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 xml:space="preserve">(изменения, вносимые в случае </w:t>
            </w:r>
            <w:r w:rsidRPr="003F7F02">
              <w:rPr>
                <w:b/>
                <w:sz w:val="18"/>
                <w:szCs w:val="18"/>
              </w:rPr>
              <w:t>перераспределения</w:t>
            </w:r>
            <w:r w:rsidRPr="003F7F02">
              <w:rPr>
                <w:sz w:val="18"/>
                <w:szCs w:val="18"/>
              </w:rPr>
              <w:t xml:space="preserve"> бюджетных ассигнований </w:t>
            </w:r>
            <w:r w:rsidRPr="003F7F02">
              <w:rPr>
                <w:b/>
                <w:sz w:val="18"/>
                <w:szCs w:val="18"/>
              </w:rPr>
              <w:t>между федеральными проектами</w:t>
            </w:r>
            <w:r w:rsidRPr="003F7F02">
              <w:rPr>
                <w:sz w:val="18"/>
                <w:szCs w:val="18"/>
              </w:rPr>
              <w:t>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часть 1 статьи 7 Федерального закона от 28 ноября 2018 г. № 457-ФЗ «О внесении изменений в Бюджетный кодекс Российской Федерации и отдельные законодательные акты Российской Федерации» (с изменениями)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3F7F02">
              <w:rPr>
                <w:sz w:val="18"/>
                <w:szCs w:val="24"/>
              </w:rPr>
              <w:t>0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24"/>
              </w:rPr>
            </w:pPr>
            <w:proofErr w:type="gramStart"/>
            <w:r w:rsidRPr="003F7F02">
              <w:rPr>
                <w:sz w:val="18"/>
                <w:szCs w:val="24"/>
              </w:rPr>
              <w:t>(</w:t>
            </w:r>
            <w:r w:rsidRPr="003F7F02">
              <w:rPr>
                <w:bCs/>
                <w:sz w:val="18"/>
                <w:szCs w:val="24"/>
              </w:rPr>
              <w:t>-</w:t>
            </w:r>
            <w:r>
              <w:rPr>
                <w:bCs/>
                <w:sz w:val="18"/>
                <w:szCs w:val="24"/>
              </w:rPr>
              <w:t>13 868,2</w:t>
            </w:r>
            <w:r w:rsidRPr="003F7F02">
              <w:rPr>
                <w:bCs/>
                <w:sz w:val="18"/>
                <w:szCs w:val="24"/>
              </w:rPr>
              <w:t>/</w:t>
            </w:r>
            <w:proofErr w:type="gramEnd"/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proofErr w:type="gramStart"/>
            <w:r w:rsidRPr="003F7F02">
              <w:rPr>
                <w:bCs/>
                <w:sz w:val="18"/>
                <w:szCs w:val="24"/>
              </w:rPr>
              <w:t>+</w:t>
            </w:r>
            <w:r>
              <w:rPr>
                <w:bCs/>
                <w:sz w:val="18"/>
                <w:szCs w:val="24"/>
              </w:rPr>
              <w:t>13 868,2</w:t>
            </w:r>
            <w:r w:rsidRPr="003F7F02">
              <w:rPr>
                <w:bCs/>
                <w:sz w:val="18"/>
                <w:szCs w:val="24"/>
              </w:rPr>
              <w:t>)</w:t>
            </w:r>
            <w:proofErr w:type="gramEnd"/>
          </w:p>
        </w:tc>
      </w:tr>
      <w:tr w:rsidR="001C47DD" w:rsidRPr="003F7F02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pStyle w:val="ac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textAlignment w:val="baseline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285</w:t>
            </w:r>
          </w:p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proofErr w:type="gramStart"/>
            <w:r w:rsidRPr="003F7F02">
              <w:rPr>
                <w:sz w:val="18"/>
                <w:szCs w:val="18"/>
              </w:rPr>
              <w:t xml:space="preserve">(изменения, вносимые в случае </w:t>
            </w:r>
            <w:r w:rsidRPr="003F7F02">
              <w:rPr>
                <w:b/>
                <w:sz w:val="18"/>
                <w:szCs w:val="18"/>
              </w:rPr>
              <w:t xml:space="preserve">увеличения </w:t>
            </w:r>
            <w:r w:rsidRPr="003F7F02">
              <w:rPr>
                <w:sz w:val="18"/>
                <w:szCs w:val="18"/>
              </w:rPr>
              <w:t xml:space="preserve">бюджетных ассигнований, предусмотренных </w:t>
            </w:r>
            <w:r w:rsidRPr="003F7F02">
              <w:rPr>
                <w:b/>
                <w:sz w:val="18"/>
                <w:szCs w:val="18"/>
              </w:rPr>
              <w:t>на финансовое обеспечение реализации национальных проектов</w:t>
            </w:r>
            <w:r w:rsidRPr="003F7F02">
              <w:rPr>
                <w:sz w:val="18"/>
                <w:szCs w:val="18"/>
              </w:rPr>
              <w:t xml:space="preserve"> (программ), </w:t>
            </w:r>
            <w:r w:rsidRPr="003F7F02">
              <w:rPr>
                <w:b/>
                <w:sz w:val="18"/>
                <w:szCs w:val="18"/>
              </w:rPr>
              <w:t>за счет уменьшения</w:t>
            </w:r>
            <w:r w:rsidRPr="003F7F02">
              <w:rPr>
                <w:sz w:val="18"/>
                <w:szCs w:val="18"/>
              </w:rPr>
              <w:t xml:space="preserve"> бюджетных ассигнований, </w:t>
            </w:r>
            <w:r w:rsidRPr="003F7F02">
              <w:rPr>
                <w:b/>
                <w:sz w:val="18"/>
                <w:szCs w:val="18"/>
              </w:rPr>
              <w:t>не отнесенных Федеральным законом</w:t>
            </w:r>
            <w:r w:rsidRPr="003F7F02">
              <w:rPr>
                <w:sz w:val="18"/>
                <w:szCs w:val="18"/>
              </w:rPr>
              <w:t xml:space="preserve"> «О федеральном бюджете на 2019 год и на плановый период 2020 и 2021 годов» на указанные цели»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3F7F02">
              <w:rPr>
                <w:sz w:val="18"/>
                <w:szCs w:val="18"/>
              </w:rPr>
              <w:t>часть 1 статьи 7 Федерального закона от 28 ноября 2018 г. № 457-ФЗ «О внесении изменений в Бюджетный кодекс Российской Федерации и отдельные законодательные акты Российской Федерации» (с изменениями)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E63FF8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E63FF8">
              <w:rPr>
                <w:sz w:val="18"/>
                <w:szCs w:val="24"/>
              </w:rPr>
              <w:t>400,0</w:t>
            </w:r>
          </w:p>
          <w:p w:rsidR="001C47DD" w:rsidRPr="003F7F02" w:rsidRDefault="001C47DD" w:rsidP="00775D76">
            <w:pPr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E63FF8">
              <w:rPr>
                <w:sz w:val="18"/>
                <w:szCs w:val="24"/>
              </w:rPr>
              <w:t>(-0/+400,0)</w:t>
            </w:r>
          </w:p>
        </w:tc>
      </w:tr>
      <w:tr w:rsidR="001C47DD" w:rsidRPr="0029372D" w:rsidTr="00775D76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rPr>
                <w:b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left"/>
              <w:rPr>
                <w:b/>
                <w:sz w:val="18"/>
                <w:szCs w:val="18"/>
              </w:rPr>
            </w:pPr>
            <w:r w:rsidRPr="003F7F0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DD" w:rsidRPr="003F7F02" w:rsidRDefault="001C47DD" w:rsidP="00775D7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DD" w:rsidRPr="00F950A3" w:rsidRDefault="001C47DD" w:rsidP="00775D76">
            <w:pPr>
              <w:spacing w:line="240" w:lineRule="auto"/>
              <w:ind w:left="0" w:right="0" w:firstLine="0"/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15 001,5</w:t>
            </w:r>
          </w:p>
        </w:tc>
      </w:tr>
    </w:tbl>
    <w:p w:rsidR="0029372D" w:rsidRPr="0029372D" w:rsidRDefault="0029372D" w:rsidP="0029372D">
      <w:pPr>
        <w:spacing w:line="240" w:lineRule="auto"/>
        <w:ind w:left="0" w:right="0"/>
        <w:jc w:val="right"/>
        <w:rPr>
          <w:sz w:val="20"/>
          <w:szCs w:val="20"/>
          <w:lang w:eastAsia="en-US"/>
        </w:rPr>
      </w:pPr>
    </w:p>
    <w:sectPr w:rsidR="0029372D" w:rsidRPr="0029372D" w:rsidSect="00294B82">
      <w:headerReference w:type="default" r:id="rId15"/>
      <w:headerReference w:type="first" r:id="rId1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576" w:rsidRDefault="00DE7576" w:rsidP="005F22FB">
      <w:pPr>
        <w:spacing w:line="240" w:lineRule="auto"/>
      </w:pPr>
      <w:r>
        <w:separator/>
      </w:r>
    </w:p>
  </w:endnote>
  <w:endnote w:type="continuationSeparator" w:id="0">
    <w:p w:rsidR="00DE7576" w:rsidRDefault="00DE7576" w:rsidP="005F22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576" w:rsidRDefault="00DE7576" w:rsidP="00111616">
      <w:pPr>
        <w:spacing w:line="240" w:lineRule="auto"/>
        <w:ind w:left="0" w:firstLine="0"/>
      </w:pPr>
      <w:r>
        <w:separator/>
      </w:r>
    </w:p>
  </w:footnote>
  <w:footnote w:type="continuationSeparator" w:id="0">
    <w:p w:rsidR="00DE7576" w:rsidRDefault="00DE7576" w:rsidP="005F22FB">
      <w:pPr>
        <w:spacing w:line="240" w:lineRule="auto"/>
      </w:pPr>
      <w:r>
        <w:continuationSeparator/>
      </w:r>
    </w:p>
  </w:footnote>
  <w:footnote w:id="1">
    <w:p w:rsidR="008A42A3" w:rsidRPr="00111616" w:rsidRDefault="008A42A3" w:rsidP="00111616">
      <w:pPr>
        <w:spacing w:line="240" w:lineRule="auto"/>
        <w:ind w:left="0" w:firstLine="0"/>
        <w:rPr>
          <w:sz w:val="20"/>
          <w:szCs w:val="20"/>
        </w:rPr>
      </w:pPr>
      <w:r w:rsidRPr="00111616">
        <w:rPr>
          <w:sz w:val="20"/>
          <w:szCs w:val="20"/>
          <w:vertAlign w:val="superscript"/>
        </w:rPr>
        <w:footnoteRef/>
      </w:r>
      <w:r w:rsidRPr="00111616">
        <w:rPr>
          <w:sz w:val="20"/>
          <w:szCs w:val="20"/>
        </w:rPr>
        <w:t xml:space="preserve"> Постановление Правительства Р</w:t>
      </w:r>
      <w:r w:rsidR="00111616">
        <w:rPr>
          <w:sz w:val="20"/>
          <w:szCs w:val="20"/>
        </w:rPr>
        <w:t xml:space="preserve">оссийской </w:t>
      </w:r>
      <w:r w:rsidRPr="00111616">
        <w:rPr>
          <w:sz w:val="20"/>
          <w:szCs w:val="20"/>
        </w:rPr>
        <w:t>Ф</w:t>
      </w:r>
      <w:r w:rsidR="00111616">
        <w:rPr>
          <w:sz w:val="20"/>
          <w:szCs w:val="20"/>
        </w:rPr>
        <w:t>едерации</w:t>
      </w:r>
      <w:r w:rsidRPr="00111616">
        <w:rPr>
          <w:sz w:val="20"/>
          <w:szCs w:val="20"/>
        </w:rPr>
        <w:t xml:space="preserve"> от 26 апреля 2019 г. № 511 «Об осуществлении бюджетных инвестиций в проектирование и строительство объекта капитального строительства «Детский круглогодичный спортивно-оздоровительный центр, Калининградская область. 1-й этап».</w:t>
      </w:r>
    </w:p>
  </w:footnote>
  <w:footnote w:id="2">
    <w:p w:rsidR="008A42A3" w:rsidRPr="00111616" w:rsidRDefault="008A42A3" w:rsidP="00111616">
      <w:pPr>
        <w:pStyle w:val="a3"/>
        <w:jc w:val="both"/>
      </w:pPr>
      <w:r w:rsidRPr="00111616">
        <w:rPr>
          <w:rStyle w:val="a5"/>
          <w:rFonts w:eastAsia="Calibri"/>
        </w:rPr>
        <w:footnoteRef/>
      </w:r>
      <w:r w:rsidRPr="00111616">
        <w:t xml:space="preserve"> </w:t>
      </w:r>
      <w:proofErr w:type="spellStart"/>
      <w:r w:rsidRPr="00111616">
        <w:t>Минспортом</w:t>
      </w:r>
      <w:proofErr w:type="spellEnd"/>
      <w:r w:rsidRPr="00111616">
        <w:t xml:space="preserve"> России соответствующий государственный контракт заключен 20 августа 2019 года.</w:t>
      </w:r>
    </w:p>
  </w:footnote>
  <w:footnote w:id="3">
    <w:p w:rsidR="008A42A3" w:rsidRPr="00111616" w:rsidRDefault="008A42A3" w:rsidP="00111616">
      <w:pPr>
        <w:pStyle w:val="a3"/>
        <w:jc w:val="both"/>
      </w:pPr>
      <w:r w:rsidRPr="00111616">
        <w:rPr>
          <w:rStyle w:val="a5"/>
          <w:rFonts w:eastAsia="Calibri"/>
        </w:rPr>
        <w:footnoteRef/>
      </w:r>
      <w:r w:rsidRPr="00111616">
        <w:t xml:space="preserve"> Соглашение </w:t>
      </w:r>
      <w:proofErr w:type="spellStart"/>
      <w:r w:rsidRPr="00111616">
        <w:t>Минкавказом</w:t>
      </w:r>
      <w:proofErr w:type="spellEnd"/>
      <w:r w:rsidRPr="00111616">
        <w:t xml:space="preserve"> России со Ставропольским краем заключено 13 февраля 2019 года, конкурсные процедуры в регионе завершены 19 июля 2019 года. </w:t>
      </w:r>
    </w:p>
  </w:footnote>
  <w:footnote w:id="4">
    <w:p w:rsidR="008A42A3" w:rsidRPr="00111616" w:rsidRDefault="008A42A3" w:rsidP="00111616">
      <w:pPr>
        <w:spacing w:line="240" w:lineRule="auto"/>
        <w:ind w:left="0" w:firstLine="0"/>
        <w:rPr>
          <w:sz w:val="20"/>
          <w:szCs w:val="20"/>
        </w:rPr>
      </w:pPr>
      <w:r w:rsidRPr="00111616">
        <w:rPr>
          <w:rFonts w:eastAsia="Times New Roman"/>
          <w:sz w:val="20"/>
          <w:szCs w:val="20"/>
          <w:vertAlign w:val="superscript"/>
        </w:rPr>
        <w:footnoteRef/>
      </w:r>
      <w:r w:rsidRPr="00111616">
        <w:rPr>
          <w:rFonts w:eastAsia="Times New Roman"/>
          <w:sz w:val="20"/>
          <w:szCs w:val="20"/>
        </w:rPr>
        <w:t xml:space="preserve"> </w:t>
      </w:r>
      <w:proofErr w:type="gramStart"/>
      <w:r w:rsidRPr="00111616">
        <w:rPr>
          <w:rFonts w:eastAsia="Times New Roman"/>
          <w:sz w:val="20"/>
          <w:szCs w:val="20"/>
        </w:rPr>
        <w:t xml:space="preserve">В рамках </w:t>
      </w:r>
      <w:r w:rsidR="00111616">
        <w:rPr>
          <w:rFonts w:eastAsia="Times New Roman"/>
          <w:sz w:val="20"/>
          <w:szCs w:val="20"/>
        </w:rPr>
        <w:t>федеральных проектов</w:t>
      </w:r>
      <w:r w:rsidRPr="00111616">
        <w:rPr>
          <w:rFonts w:eastAsia="Times New Roman"/>
          <w:sz w:val="20"/>
          <w:szCs w:val="20"/>
        </w:rPr>
        <w:t xml:space="preserve"> «Старшее поколение», «Финансовая поддержка семей при рождении детей», «Спорт – норма жизни», «Укрепление общественного здоровья» с нарушением срока приняты региональные программы, правила предоставления субсидий региональным бюджетам, внесены изменения в приказы Росстата, заключено соглашение с организациями на предоставление субсидий на развитие служебно-прикладных видов спорта, представлены отчеты регионов об использовании субсидий в </w:t>
      </w:r>
      <w:r w:rsidRPr="00111616">
        <w:rPr>
          <w:sz w:val="20"/>
          <w:szCs w:val="20"/>
        </w:rPr>
        <w:t>ГИИС «Электронный бюджет»</w:t>
      </w:r>
      <w:r w:rsidRPr="00111616">
        <w:rPr>
          <w:rFonts w:eastAsia="Times New Roman"/>
          <w:sz w:val="20"/>
          <w:szCs w:val="20"/>
        </w:rPr>
        <w:t>.</w:t>
      </w:r>
      <w:proofErr w:type="gramEnd"/>
    </w:p>
  </w:footnote>
  <w:footnote w:id="5">
    <w:p w:rsidR="008A42A3" w:rsidRPr="00FD6870" w:rsidRDefault="008A42A3" w:rsidP="00111616">
      <w:pPr>
        <w:pStyle w:val="a3"/>
        <w:jc w:val="both"/>
        <w:rPr>
          <w:sz w:val="16"/>
          <w:szCs w:val="16"/>
        </w:rPr>
      </w:pPr>
      <w:r w:rsidRPr="00111616">
        <w:rPr>
          <w:rStyle w:val="a5"/>
        </w:rPr>
        <w:footnoteRef/>
      </w:r>
      <w:r w:rsidRPr="00111616">
        <w:t xml:space="preserve"> В Омской, Нижегородской и Иркутской областях, Республиках Татарстан, Бурятия.</w:t>
      </w:r>
    </w:p>
  </w:footnote>
  <w:footnote w:id="6">
    <w:p w:rsidR="008A42A3" w:rsidRPr="00A6495D" w:rsidRDefault="008A42A3" w:rsidP="001824B3">
      <w:pPr>
        <w:spacing w:line="240" w:lineRule="auto"/>
        <w:ind w:left="0" w:right="-2" w:firstLine="0"/>
        <w:rPr>
          <w:sz w:val="20"/>
          <w:szCs w:val="20"/>
        </w:rPr>
      </w:pPr>
      <w:r w:rsidRPr="00A6495D">
        <w:rPr>
          <w:rStyle w:val="a5"/>
          <w:sz w:val="20"/>
          <w:szCs w:val="20"/>
        </w:rPr>
        <w:footnoteRef/>
      </w:r>
      <w:r w:rsidRPr="00A6495D">
        <w:rPr>
          <w:sz w:val="20"/>
          <w:szCs w:val="20"/>
        </w:rPr>
        <w:t xml:space="preserve"> </w:t>
      </w:r>
      <w:r w:rsidRPr="00A6495D">
        <w:rPr>
          <w:color w:val="000000"/>
          <w:sz w:val="20"/>
          <w:szCs w:val="20"/>
        </w:rPr>
        <w:t xml:space="preserve">Приказ </w:t>
      </w:r>
      <w:proofErr w:type="spellStart"/>
      <w:r w:rsidRPr="00A6495D">
        <w:rPr>
          <w:color w:val="000000"/>
          <w:sz w:val="20"/>
          <w:szCs w:val="20"/>
        </w:rPr>
        <w:t>Росприроднадзора</w:t>
      </w:r>
      <w:proofErr w:type="spellEnd"/>
      <w:r w:rsidRPr="00A6495D">
        <w:rPr>
          <w:color w:val="000000"/>
          <w:sz w:val="20"/>
          <w:szCs w:val="20"/>
        </w:rPr>
        <w:t xml:space="preserve"> от 31 мая 2016 г. № 294 «Об утверждении </w:t>
      </w:r>
      <w:r w:rsidRPr="00A6495D">
        <w:rPr>
          <w:bCs/>
          <w:sz w:val="20"/>
          <w:szCs w:val="20"/>
        </w:rPr>
        <w:t>Правил предоставления Федеральной службой по надзору в сфере природопользования из федерального бюджета подведомственным федеральным государственным бюджетным учреждениям субсидий на цели, не связанные с возмещением нормативных затрат на оказание государственных услуг (выполнение работ)».</w:t>
      </w:r>
    </w:p>
  </w:footnote>
  <w:footnote w:id="7">
    <w:p w:rsidR="008A42A3" w:rsidRPr="00A6495D" w:rsidRDefault="008A42A3" w:rsidP="001824B3">
      <w:pPr>
        <w:pStyle w:val="a3"/>
        <w:jc w:val="both"/>
      </w:pPr>
      <w:r w:rsidRPr="00A6495D">
        <w:rPr>
          <w:rStyle w:val="a5"/>
        </w:rPr>
        <w:footnoteRef/>
      </w:r>
      <w:r w:rsidRPr="00A6495D">
        <w:t xml:space="preserve"> В том числе в виде: субсидии, за исключением субсидий на </w:t>
      </w:r>
      <w:proofErr w:type="spellStart"/>
      <w:r w:rsidRPr="00A6495D">
        <w:t>софинансирование</w:t>
      </w:r>
      <w:proofErr w:type="spellEnd"/>
      <w:r w:rsidRPr="00A6495D">
        <w:t xml:space="preserve"> капитальных вложений в объекты государственной (муниципальной) собственности (</w:t>
      </w:r>
      <w:r w:rsidR="00111616" w:rsidRPr="00A6495D">
        <w:t>федеральные проекты</w:t>
      </w:r>
      <w:r w:rsidRPr="00A6495D">
        <w:t xml:space="preserve"> «Чистая страна», «Оздоровление Волги», «Сохранение озера Байкал»); субсидии на </w:t>
      </w:r>
      <w:proofErr w:type="spellStart"/>
      <w:r w:rsidRPr="00A6495D">
        <w:t>софинансирование</w:t>
      </w:r>
      <w:proofErr w:type="spellEnd"/>
      <w:r w:rsidRPr="00A6495D">
        <w:t xml:space="preserve"> капитальных вложений в объекты государственной (муниципальной) собственности (</w:t>
      </w:r>
      <w:r w:rsidR="00111616" w:rsidRPr="00A6495D">
        <w:t>федеральный проект</w:t>
      </w:r>
      <w:r w:rsidRPr="00A6495D">
        <w:t xml:space="preserve"> «Сохранение озера Байкал»); консолидированной субсидии (</w:t>
      </w:r>
      <w:r w:rsidR="00111616" w:rsidRPr="00A6495D">
        <w:t xml:space="preserve">федеральные </w:t>
      </w:r>
      <w:proofErr w:type="spellStart"/>
      <w:r w:rsidR="00111616" w:rsidRPr="00A6495D">
        <w:t>проекты</w:t>
      </w:r>
      <w:proofErr w:type="gramStart"/>
      <w:r w:rsidRPr="00A6495D">
        <w:t>«Ч</w:t>
      </w:r>
      <w:proofErr w:type="gramEnd"/>
      <w:r w:rsidRPr="00A6495D">
        <w:t>истая</w:t>
      </w:r>
      <w:proofErr w:type="spellEnd"/>
      <w:r w:rsidRPr="00A6495D">
        <w:t xml:space="preserve"> страна», «Комплексная система обращения с ТКО», «Чистая вода», «Оздоровление Волги», «Сохранение озера Байкал», «Сохранение уникальных водных объектов»); субвенции (</w:t>
      </w:r>
      <w:r w:rsidR="00111616" w:rsidRPr="00A6495D">
        <w:t>федеральный проект</w:t>
      </w:r>
      <w:r w:rsidRPr="00A6495D">
        <w:t xml:space="preserve"> «Сохранение лесов, «Оздоровление Волги», «Сохранение уникальных водных объектов»).</w:t>
      </w:r>
    </w:p>
  </w:footnote>
  <w:footnote w:id="8">
    <w:p w:rsidR="008A42A3" w:rsidRPr="00A6495D" w:rsidRDefault="008A42A3" w:rsidP="002E0568">
      <w:pPr>
        <w:pStyle w:val="a3"/>
        <w:jc w:val="both"/>
      </w:pPr>
      <w:r w:rsidRPr="00A6495D">
        <w:rPr>
          <w:rStyle w:val="a5"/>
        </w:rPr>
        <w:footnoteRef/>
      </w:r>
      <w:r w:rsidRPr="00A6495D">
        <w:t xml:space="preserve"> Утверждено постановлением Правительства Российской Федерации от 31 октября 2018 г. № 1288.</w:t>
      </w:r>
    </w:p>
  </w:footnote>
  <w:footnote w:id="9">
    <w:p w:rsidR="008A42A3" w:rsidRPr="00DF03C6" w:rsidRDefault="008A42A3" w:rsidP="00111616">
      <w:pPr>
        <w:pStyle w:val="a3"/>
        <w:jc w:val="both"/>
      </w:pPr>
      <w:r w:rsidRPr="00DF03C6">
        <w:rPr>
          <w:rStyle w:val="a5"/>
        </w:rPr>
        <w:footnoteRef/>
      </w:r>
      <w:r w:rsidRPr="00DF03C6">
        <w:t xml:space="preserve"> Госпрограммой </w:t>
      </w:r>
      <w:r w:rsidRPr="00DF03C6">
        <w:rPr>
          <w:bCs/>
        </w:rPr>
        <w:t>«Экономическое развитие и инновационная экономика»</w:t>
      </w:r>
      <w:r w:rsidRPr="00DF03C6">
        <w:rPr>
          <w:b/>
          <w:bCs/>
        </w:rPr>
        <w:t xml:space="preserve"> </w:t>
      </w:r>
      <w:r w:rsidRPr="00DF03C6">
        <w:t xml:space="preserve">предусмотрен срок внесения проекта указанного нормативного правового акта в Правительство Российской Федерации в марте 2019 года. </w:t>
      </w:r>
    </w:p>
  </w:footnote>
  <w:footnote w:id="10">
    <w:p w:rsidR="008A42A3" w:rsidRPr="00DF03C6" w:rsidRDefault="008A42A3" w:rsidP="00111616">
      <w:pPr>
        <w:pStyle w:val="a3"/>
        <w:jc w:val="both"/>
      </w:pPr>
      <w:r w:rsidRPr="00DF03C6">
        <w:rPr>
          <w:rStyle w:val="a5"/>
        </w:rPr>
        <w:footnoteRef/>
      </w:r>
      <w:r w:rsidRPr="00DF03C6">
        <w:rPr>
          <w:vertAlign w:val="superscript"/>
        </w:rPr>
        <w:t xml:space="preserve"> </w:t>
      </w:r>
      <w:r w:rsidRPr="00DF03C6">
        <w:t xml:space="preserve">Сумма начальных (максимальных) цен по данным </w:t>
      </w:r>
      <w:r>
        <w:t>процедурам составляет 87,6 млн</w:t>
      </w:r>
      <w:r w:rsidR="00111616">
        <w:t>.</w:t>
      </w:r>
      <w:r w:rsidRPr="00DF03C6">
        <w:t> руб</w:t>
      </w:r>
      <w:r>
        <w:t>лей</w:t>
      </w:r>
      <w:r w:rsidRPr="00DF03C6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724217"/>
      <w:docPartObj>
        <w:docPartGallery w:val="Page Numbers (Top of Page)"/>
        <w:docPartUnique/>
      </w:docPartObj>
    </w:sdtPr>
    <w:sdtEndPr/>
    <w:sdtContent>
      <w:p w:rsidR="008A42A3" w:rsidRDefault="008A42A3" w:rsidP="0079142B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E02">
          <w:rPr>
            <w:noProof/>
          </w:rPr>
          <w:t>16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A3" w:rsidRDefault="008A42A3" w:rsidP="00294B82">
    <w:pPr>
      <w:pStyle w:val="a6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F3730"/>
    <w:multiLevelType w:val="hybridMultilevel"/>
    <w:tmpl w:val="34B2F4FC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7DBA2832"/>
    <w:multiLevelType w:val="hybridMultilevel"/>
    <w:tmpl w:val="71649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2FB"/>
    <w:rsid w:val="0000275E"/>
    <w:rsid w:val="00005A39"/>
    <w:rsid w:val="00010997"/>
    <w:rsid w:val="00021C57"/>
    <w:rsid w:val="000277A4"/>
    <w:rsid w:val="00030CFE"/>
    <w:rsid w:val="0003368A"/>
    <w:rsid w:val="000338BD"/>
    <w:rsid w:val="000350FA"/>
    <w:rsid w:val="00053886"/>
    <w:rsid w:val="0006264E"/>
    <w:rsid w:val="000662AB"/>
    <w:rsid w:val="00066C7B"/>
    <w:rsid w:val="00072E71"/>
    <w:rsid w:val="00074A63"/>
    <w:rsid w:val="00084B51"/>
    <w:rsid w:val="0008665D"/>
    <w:rsid w:val="00090DB0"/>
    <w:rsid w:val="00091609"/>
    <w:rsid w:val="000A4B15"/>
    <w:rsid w:val="000B0E54"/>
    <w:rsid w:val="000B33F8"/>
    <w:rsid w:val="000C24A1"/>
    <w:rsid w:val="000C3272"/>
    <w:rsid w:val="000C3FEE"/>
    <w:rsid w:val="000C6425"/>
    <w:rsid w:val="000E0C3B"/>
    <w:rsid w:val="000E2ECA"/>
    <w:rsid w:val="000E3734"/>
    <w:rsid w:val="000E6A62"/>
    <w:rsid w:val="000F3162"/>
    <w:rsid w:val="000F5CB5"/>
    <w:rsid w:val="000F76DC"/>
    <w:rsid w:val="00101E2A"/>
    <w:rsid w:val="001062E9"/>
    <w:rsid w:val="0010797D"/>
    <w:rsid w:val="001112DB"/>
    <w:rsid w:val="00111616"/>
    <w:rsid w:val="0011263B"/>
    <w:rsid w:val="0012572E"/>
    <w:rsid w:val="00136CFD"/>
    <w:rsid w:val="001424C3"/>
    <w:rsid w:val="001439CD"/>
    <w:rsid w:val="00152190"/>
    <w:rsid w:val="0016741F"/>
    <w:rsid w:val="0016773C"/>
    <w:rsid w:val="00167922"/>
    <w:rsid w:val="0017465E"/>
    <w:rsid w:val="00177273"/>
    <w:rsid w:val="0017738B"/>
    <w:rsid w:val="00181E1F"/>
    <w:rsid w:val="001824B3"/>
    <w:rsid w:val="00192FF9"/>
    <w:rsid w:val="001952D9"/>
    <w:rsid w:val="001A3675"/>
    <w:rsid w:val="001A4965"/>
    <w:rsid w:val="001A77D7"/>
    <w:rsid w:val="001C404F"/>
    <w:rsid w:val="001C47DD"/>
    <w:rsid w:val="001C4885"/>
    <w:rsid w:val="001C6139"/>
    <w:rsid w:val="001D6631"/>
    <w:rsid w:val="001E6115"/>
    <w:rsid w:val="001F0ED3"/>
    <w:rsid w:val="001F39D5"/>
    <w:rsid w:val="001F4F53"/>
    <w:rsid w:val="001F6B72"/>
    <w:rsid w:val="002073CD"/>
    <w:rsid w:val="00220EF8"/>
    <w:rsid w:val="00226074"/>
    <w:rsid w:val="00226D56"/>
    <w:rsid w:val="00230A19"/>
    <w:rsid w:val="0023684C"/>
    <w:rsid w:val="0024405F"/>
    <w:rsid w:val="002447C3"/>
    <w:rsid w:val="00252DE7"/>
    <w:rsid w:val="00256728"/>
    <w:rsid w:val="00261E49"/>
    <w:rsid w:val="00263BDF"/>
    <w:rsid w:val="00266229"/>
    <w:rsid w:val="00267EC0"/>
    <w:rsid w:val="00272F87"/>
    <w:rsid w:val="0028070A"/>
    <w:rsid w:val="0028129F"/>
    <w:rsid w:val="00282054"/>
    <w:rsid w:val="002820F5"/>
    <w:rsid w:val="00282D7A"/>
    <w:rsid w:val="00282FE2"/>
    <w:rsid w:val="00284387"/>
    <w:rsid w:val="0029372D"/>
    <w:rsid w:val="00294B82"/>
    <w:rsid w:val="00296D60"/>
    <w:rsid w:val="002A549F"/>
    <w:rsid w:val="002A628F"/>
    <w:rsid w:val="002B028A"/>
    <w:rsid w:val="002C35D8"/>
    <w:rsid w:val="002D6672"/>
    <w:rsid w:val="002E0568"/>
    <w:rsid w:val="002F0CA6"/>
    <w:rsid w:val="002F40A9"/>
    <w:rsid w:val="00314A38"/>
    <w:rsid w:val="00335A37"/>
    <w:rsid w:val="0033608D"/>
    <w:rsid w:val="00341566"/>
    <w:rsid w:val="003418E2"/>
    <w:rsid w:val="003475B2"/>
    <w:rsid w:val="0035084D"/>
    <w:rsid w:val="0037145F"/>
    <w:rsid w:val="0037277C"/>
    <w:rsid w:val="0037441D"/>
    <w:rsid w:val="00375CA7"/>
    <w:rsid w:val="0037695E"/>
    <w:rsid w:val="00376D2A"/>
    <w:rsid w:val="00376E1A"/>
    <w:rsid w:val="00384E53"/>
    <w:rsid w:val="00385BF6"/>
    <w:rsid w:val="00392440"/>
    <w:rsid w:val="003A244C"/>
    <w:rsid w:val="003B0EA7"/>
    <w:rsid w:val="003B4801"/>
    <w:rsid w:val="003C5E5F"/>
    <w:rsid w:val="003E3195"/>
    <w:rsid w:val="003F269C"/>
    <w:rsid w:val="003F6106"/>
    <w:rsid w:val="004017EB"/>
    <w:rsid w:val="00421201"/>
    <w:rsid w:val="00424C9E"/>
    <w:rsid w:val="0042732F"/>
    <w:rsid w:val="00434675"/>
    <w:rsid w:val="00444F2E"/>
    <w:rsid w:val="00452BB8"/>
    <w:rsid w:val="00453539"/>
    <w:rsid w:val="00453662"/>
    <w:rsid w:val="0046402D"/>
    <w:rsid w:val="00464C09"/>
    <w:rsid w:val="004729E9"/>
    <w:rsid w:val="00475031"/>
    <w:rsid w:val="0048540D"/>
    <w:rsid w:val="00491582"/>
    <w:rsid w:val="00493EB5"/>
    <w:rsid w:val="004B63DD"/>
    <w:rsid w:val="004B679D"/>
    <w:rsid w:val="004D0876"/>
    <w:rsid w:val="004D3830"/>
    <w:rsid w:val="004E0C97"/>
    <w:rsid w:val="004E488E"/>
    <w:rsid w:val="004F5AD5"/>
    <w:rsid w:val="00505CD7"/>
    <w:rsid w:val="00512254"/>
    <w:rsid w:val="005132BD"/>
    <w:rsid w:val="00515F15"/>
    <w:rsid w:val="00516859"/>
    <w:rsid w:val="00526BBA"/>
    <w:rsid w:val="00526E8F"/>
    <w:rsid w:val="00532D7B"/>
    <w:rsid w:val="0053464E"/>
    <w:rsid w:val="00544695"/>
    <w:rsid w:val="00553EC7"/>
    <w:rsid w:val="00556D59"/>
    <w:rsid w:val="005572B6"/>
    <w:rsid w:val="00561336"/>
    <w:rsid w:val="005702C3"/>
    <w:rsid w:val="00570D4F"/>
    <w:rsid w:val="005800F1"/>
    <w:rsid w:val="005801CC"/>
    <w:rsid w:val="00580868"/>
    <w:rsid w:val="005B2B43"/>
    <w:rsid w:val="005C4799"/>
    <w:rsid w:val="005D482D"/>
    <w:rsid w:val="005E15FD"/>
    <w:rsid w:val="005E5A7E"/>
    <w:rsid w:val="005F22FB"/>
    <w:rsid w:val="005F3E13"/>
    <w:rsid w:val="005F4092"/>
    <w:rsid w:val="00600301"/>
    <w:rsid w:val="00601D3C"/>
    <w:rsid w:val="006043C4"/>
    <w:rsid w:val="0061312C"/>
    <w:rsid w:val="00627FDA"/>
    <w:rsid w:val="00630D88"/>
    <w:rsid w:val="00631AB3"/>
    <w:rsid w:val="006509E9"/>
    <w:rsid w:val="00653BDD"/>
    <w:rsid w:val="00654665"/>
    <w:rsid w:val="00657455"/>
    <w:rsid w:val="006641B5"/>
    <w:rsid w:val="00671B7A"/>
    <w:rsid w:val="0067535B"/>
    <w:rsid w:val="0067635F"/>
    <w:rsid w:val="00681E84"/>
    <w:rsid w:val="006902A5"/>
    <w:rsid w:val="006907AF"/>
    <w:rsid w:val="006A021C"/>
    <w:rsid w:val="006A17F4"/>
    <w:rsid w:val="006E197F"/>
    <w:rsid w:val="006E24F3"/>
    <w:rsid w:val="006E2E15"/>
    <w:rsid w:val="006E4248"/>
    <w:rsid w:val="006E4B00"/>
    <w:rsid w:val="006F4193"/>
    <w:rsid w:val="007038AA"/>
    <w:rsid w:val="007324A6"/>
    <w:rsid w:val="00737E54"/>
    <w:rsid w:val="00745468"/>
    <w:rsid w:val="0075299A"/>
    <w:rsid w:val="007701E5"/>
    <w:rsid w:val="00771387"/>
    <w:rsid w:val="00783072"/>
    <w:rsid w:val="0078474F"/>
    <w:rsid w:val="0079142B"/>
    <w:rsid w:val="0079226F"/>
    <w:rsid w:val="00795B4C"/>
    <w:rsid w:val="00796E70"/>
    <w:rsid w:val="007A37E7"/>
    <w:rsid w:val="007B099C"/>
    <w:rsid w:val="007C158A"/>
    <w:rsid w:val="007C65D8"/>
    <w:rsid w:val="007E0ACC"/>
    <w:rsid w:val="007E37DA"/>
    <w:rsid w:val="007F30A6"/>
    <w:rsid w:val="007F4EF3"/>
    <w:rsid w:val="00805EC8"/>
    <w:rsid w:val="008121CF"/>
    <w:rsid w:val="008172C0"/>
    <w:rsid w:val="00817F4C"/>
    <w:rsid w:val="00820447"/>
    <w:rsid w:val="008236AA"/>
    <w:rsid w:val="0082593C"/>
    <w:rsid w:val="00830DC8"/>
    <w:rsid w:val="00833696"/>
    <w:rsid w:val="00842BAB"/>
    <w:rsid w:val="00854094"/>
    <w:rsid w:val="008620E5"/>
    <w:rsid w:val="00864496"/>
    <w:rsid w:val="00871290"/>
    <w:rsid w:val="00872E1D"/>
    <w:rsid w:val="0087721A"/>
    <w:rsid w:val="00880C81"/>
    <w:rsid w:val="00890C38"/>
    <w:rsid w:val="00896716"/>
    <w:rsid w:val="008975FB"/>
    <w:rsid w:val="008A1802"/>
    <w:rsid w:val="008A3764"/>
    <w:rsid w:val="008A42A3"/>
    <w:rsid w:val="008B6112"/>
    <w:rsid w:val="008C1766"/>
    <w:rsid w:val="008C33F4"/>
    <w:rsid w:val="008C3946"/>
    <w:rsid w:val="008D13F4"/>
    <w:rsid w:val="008E16B9"/>
    <w:rsid w:val="008F151A"/>
    <w:rsid w:val="008F152B"/>
    <w:rsid w:val="008F24BB"/>
    <w:rsid w:val="00914789"/>
    <w:rsid w:val="009222FE"/>
    <w:rsid w:val="00937ED5"/>
    <w:rsid w:val="00940570"/>
    <w:rsid w:val="00941B70"/>
    <w:rsid w:val="00950797"/>
    <w:rsid w:val="0095167B"/>
    <w:rsid w:val="009869A2"/>
    <w:rsid w:val="00995A29"/>
    <w:rsid w:val="009B285D"/>
    <w:rsid w:val="009C01FB"/>
    <w:rsid w:val="009E1E02"/>
    <w:rsid w:val="009F0435"/>
    <w:rsid w:val="009F2053"/>
    <w:rsid w:val="00A01630"/>
    <w:rsid w:val="00A07C38"/>
    <w:rsid w:val="00A13E55"/>
    <w:rsid w:val="00A167D5"/>
    <w:rsid w:val="00A23198"/>
    <w:rsid w:val="00A247CC"/>
    <w:rsid w:val="00A6495D"/>
    <w:rsid w:val="00A72DC1"/>
    <w:rsid w:val="00A768CC"/>
    <w:rsid w:val="00A776A6"/>
    <w:rsid w:val="00A83BBB"/>
    <w:rsid w:val="00A84C53"/>
    <w:rsid w:val="00A854D4"/>
    <w:rsid w:val="00A8798E"/>
    <w:rsid w:val="00A9289F"/>
    <w:rsid w:val="00AB08CB"/>
    <w:rsid w:val="00AB1549"/>
    <w:rsid w:val="00AB1708"/>
    <w:rsid w:val="00AB3196"/>
    <w:rsid w:val="00AB4EEC"/>
    <w:rsid w:val="00AB76D3"/>
    <w:rsid w:val="00AC0BFD"/>
    <w:rsid w:val="00AC1C16"/>
    <w:rsid w:val="00AC1FCF"/>
    <w:rsid w:val="00AC57C2"/>
    <w:rsid w:val="00AD53D1"/>
    <w:rsid w:val="00AD5E2D"/>
    <w:rsid w:val="00AD7BBC"/>
    <w:rsid w:val="00AD7C73"/>
    <w:rsid w:val="00AF0F27"/>
    <w:rsid w:val="00B04E64"/>
    <w:rsid w:val="00B05830"/>
    <w:rsid w:val="00B21A52"/>
    <w:rsid w:val="00B22C11"/>
    <w:rsid w:val="00B34B0C"/>
    <w:rsid w:val="00B4277E"/>
    <w:rsid w:val="00B474A0"/>
    <w:rsid w:val="00B47551"/>
    <w:rsid w:val="00B53067"/>
    <w:rsid w:val="00B60630"/>
    <w:rsid w:val="00B635C2"/>
    <w:rsid w:val="00B66702"/>
    <w:rsid w:val="00B719D6"/>
    <w:rsid w:val="00B74733"/>
    <w:rsid w:val="00B87840"/>
    <w:rsid w:val="00B879DA"/>
    <w:rsid w:val="00B97D5A"/>
    <w:rsid w:val="00BA05CD"/>
    <w:rsid w:val="00BA094F"/>
    <w:rsid w:val="00BA310D"/>
    <w:rsid w:val="00BA626C"/>
    <w:rsid w:val="00BC4925"/>
    <w:rsid w:val="00BD4DBE"/>
    <w:rsid w:val="00BD63DD"/>
    <w:rsid w:val="00BD646A"/>
    <w:rsid w:val="00BD6E99"/>
    <w:rsid w:val="00BE617D"/>
    <w:rsid w:val="00BF765C"/>
    <w:rsid w:val="00C042E8"/>
    <w:rsid w:val="00C04872"/>
    <w:rsid w:val="00C24904"/>
    <w:rsid w:val="00C24D0A"/>
    <w:rsid w:val="00C37BD0"/>
    <w:rsid w:val="00C37C7A"/>
    <w:rsid w:val="00C46774"/>
    <w:rsid w:val="00C538EB"/>
    <w:rsid w:val="00C62B86"/>
    <w:rsid w:val="00C64AE6"/>
    <w:rsid w:val="00C73026"/>
    <w:rsid w:val="00C73A56"/>
    <w:rsid w:val="00C74D9F"/>
    <w:rsid w:val="00C85E49"/>
    <w:rsid w:val="00C94D35"/>
    <w:rsid w:val="00CA6D51"/>
    <w:rsid w:val="00CB054E"/>
    <w:rsid w:val="00CB2084"/>
    <w:rsid w:val="00CB383B"/>
    <w:rsid w:val="00CC018F"/>
    <w:rsid w:val="00CC19E8"/>
    <w:rsid w:val="00CC1D53"/>
    <w:rsid w:val="00CC7099"/>
    <w:rsid w:val="00CD0057"/>
    <w:rsid w:val="00CD0C7B"/>
    <w:rsid w:val="00CD34CC"/>
    <w:rsid w:val="00CD6B9D"/>
    <w:rsid w:val="00D0372A"/>
    <w:rsid w:val="00D10101"/>
    <w:rsid w:val="00D175A3"/>
    <w:rsid w:val="00D27516"/>
    <w:rsid w:val="00D32407"/>
    <w:rsid w:val="00D32EC4"/>
    <w:rsid w:val="00D6096C"/>
    <w:rsid w:val="00D86A6B"/>
    <w:rsid w:val="00D86E8F"/>
    <w:rsid w:val="00D96685"/>
    <w:rsid w:val="00D979B1"/>
    <w:rsid w:val="00DA439E"/>
    <w:rsid w:val="00DC3B08"/>
    <w:rsid w:val="00DC61FF"/>
    <w:rsid w:val="00DD05A4"/>
    <w:rsid w:val="00DE19CE"/>
    <w:rsid w:val="00DE7576"/>
    <w:rsid w:val="00DF44D8"/>
    <w:rsid w:val="00DF4CA4"/>
    <w:rsid w:val="00E07E9B"/>
    <w:rsid w:val="00E23B39"/>
    <w:rsid w:val="00E32228"/>
    <w:rsid w:val="00E3223B"/>
    <w:rsid w:val="00E337C3"/>
    <w:rsid w:val="00E34B07"/>
    <w:rsid w:val="00E35E74"/>
    <w:rsid w:val="00E43E1B"/>
    <w:rsid w:val="00E4635D"/>
    <w:rsid w:val="00E5615B"/>
    <w:rsid w:val="00E60E35"/>
    <w:rsid w:val="00E70DE4"/>
    <w:rsid w:val="00E77A2E"/>
    <w:rsid w:val="00E77F31"/>
    <w:rsid w:val="00E80A6C"/>
    <w:rsid w:val="00E817C1"/>
    <w:rsid w:val="00E97A93"/>
    <w:rsid w:val="00EA29D5"/>
    <w:rsid w:val="00EA7C2A"/>
    <w:rsid w:val="00EB523D"/>
    <w:rsid w:val="00EC1F79"/>
    <w:rsid w:val="00ED4768"/>
    <w:rsid w:val="00ED7240"/>
    <w:rsid w:val="00EE3822"/>
    <w:rsid w:val="00EE4086"/>
    <w:rsid w:val="00EF2027"/>
    <w:rsid w:val="00EF3C5B"/>
    <w:rsid w:val="00EF5709"/>
    <w:rsid w:val="00F02140"/>
    <w:rsid w:val="00F277AD"/>
    <w:rsid w:val="00F36A0B"/>
    <w:rsid w:val="00F500E6"/>
    <w:rsid w:val="00F53017"/>
    <w:rsid w:val="00F55AB2"/>
    <w:rsid w:val="00F56898"/>
    <w:rsid w:val="00F72763"/>
    <w:rsid w:val="00F73119"/>
    <w:rsid w:val="00F77B20"/>
    <w:rsid w:val="00F85579"/>
    <w:rsid w:val="00FB0A7D"/>
    <w:rsid w:val="00FB15AD"/>
    <w:rsid w:val="00FB1F35"/>
    <w:rsid w:val="00FB341D"/>
    <w:rsid w:val="00FB39D0"/>
    <w:rsid w:val="00FB4C80"/>
    <w:rsid w:val="00FB75D9"/>
    <w:rsid w:val="00FC7125"/>
    <w:rsid w:val="00FC75E2"/>
    <w:rsid w:val="00FD5C50"/>
    <w:rsid w:val="00FE6194"/>
    <w:rsid w:val="00FF1004"/>
    <w:rsid w:val="00FF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2FB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5F22F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5F22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link w:val="1"/>
    <w:unhideWhenUsed/>
    <w:qFormat/>
    <w:rsid w:val="005F22F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F22F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22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2FB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5F22FB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5F2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F22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294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038AA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">
    <w:name w:val="annotation reference"/>
    <w:basedOn w:val="a0"/>
    <w:uiPriority w:val="99"/>
    <w:semiHidden/>
    <w:unhideWhenUsed/>
    <w:rsid w:val="00385BF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85BF6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85BF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85BF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85BF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29372D"/>
    <w:rPr>
      <w:color w:val="0000FF" w:themeColor="hyperlink"/>
      <w:u w:val="single"/>
    </w:rPr>
  </w:style>
  <w:style w:type="paragraph" w:customStyle="1" w:styleId="1">
    <w:name w:val="Знак сноски1"/>
    <w:link w:val="a5"/>
    <w:rsid w:val="00842BAB"/>
    <w:pPr>
      <w:spacing w:after="0" w:line="240" w:lineRule="auto"/>
    </w:pPr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2FB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5F22F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5F22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link w:val="1"/>
    <w:unhideWhenUsed/>
    <w:qFormat/>
    <w:rsid w:val="005F22F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F22F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22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2FB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5F22FB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5F2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F22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294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038AA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">
    <w:name w:val="annotation reference"/>
    <w:basedOn w:val="a0"/>
    <w:uiPriority w:val="99"/>
    <w:semiHidden/>
    <w:unhideWhenUsed/>
    <w:rsid w:val="00385BF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85BF6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85BF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85BF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85BF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29372D"/>
    <w:rPr>
      <w:color w:val="0000FF" w:themeColor="hyperlink"/>
      <w:u w:val="single"/>
    </w:rPr>
  </w:style>
  <w:style w:type="paragraph" w:customStyle="1" w:styleId="1">
    <w:name w:val="Знак сноски1"/>
    <w:link w:val="a5"/>
    <w:rsid w:val="00842BAB"/>
    <w:pPr>
      <w:spacing w:after="0" w:line="240" w:lineRule="auto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20F76755DD2B34DE35148F59AE2FEED40D1001964BE409CA642C746A2D9A510B2F68F5CBBFFA8A09B0DCB3511F9CADA4B0CBA1E203DoDn2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B6EED07152DA16AEF6ADE7E4E9EC0D7F34827299725910847F987D522D76BFD82355E9F6686E4751626BDFF73C094B893520DE65A7DuFl7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2BEAE13E4A5A5A3061378CE27B60278F48091A152D6271ED855B514E69D2F7EDC8A984D6CFFC980BABCC0E7F73519E6BD8A9A07E3FBc3d8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2BEAE13E4A5A5A3061378CE27B60278F48091A152D6271ED855B514E69D2F7EDC8A984D6CFFC980BABCC0E7F73519E6BD8A9A07E3FBc3d8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665B32A5407D2389D7680AEFC2E9B319824D0B8FE7B92C524DEC27961D1449520E64D862DFD0BBD6B24162839D2853014877076BE10M2b7N" TargetMode="External"/><Relationship Id="rId14" Type="http://schemas.openxmlformats.org/officeDocument/2006/relationships/hyperlink" Target="consultantplus://offline/ref=C317E7884A726C6BC4A593C695E9ED3E33D0D9F7460FB06BA685EBDF0F34BFCFE167D1396C35F327C0EDE511C18C30399D02CC90A3EEXFq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2DE4F-DF0F-4EB6-8BDA-9A4811BC6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16</Pages>
  <Words>8838</Words>
  <Characters>50382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Блинова</cp:lastModifiedBy>
  <cp:revision>26</cp:revision>
  <cp:lastPrinted>2019-10-25T15:36:00Z</cp:lastPrinted>
  <dcterms:created xsi:type="dcterms:W3CDTF">2019-10-25T15:34:00Z</dcterms:created>
  <dcterms:modified xsi:type="dcterms:W3CDTF">2019-10-29T16:52:00Z</dcterms:modified>
</cp:coreProperties>
</file>