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9F634A" w:rsidRPr="00010997" w:rsidTr="004B66C9">
        <w:tc>
          <w:tcPr>
            <w:tcW w:w="5920" w:type="dxa"/>
          </w:tcPr>
          <w:p w:rsidR="009F634A" w:rsidRPr="00F74F92" w:rsidRDefault="009F634A" w:rsidP="007D09EA">
            <w:pPr>
              <w:spacing w:line="372" w:lineRule="auto"/>
              <w:ind w:left="0" w:right="0" w:firstLine="284"/>
              <w:jc w:val="right"/>
              <w:rPr>
                <w:sz w:val="24"/>
                <w:szCs w:val="24"/>
              </w:rPr>
            </w:pPr>
          </w:p>
        </w:tc>
        <w:tc>
          <w:tcPr>
            <w:tcW w:w="3651" w:type="dxa"/>
          </w:tcPr>
          <w:p w:rsidR="009F634A" w:rsidRPr="00010997" w:rsidRDefault="009F634A" w:rsidP="007D09EA">
            <w:pPr>
              <w:ind w:left="0" w:right="0" w:firstLine="284"/>
              <w:jc w:val="center"/>
              <w:rPr>
                <w:sz w:val="24"/>
                <w:szCs w:val="24"/>
              </w:rPr>
            </w:pPr>
            <w:r>
              <w:rPr>
                <w:sz w:val="24"/>
                <w:szCs w:val="24"/>
              </w:rPr>
              <w:t xml:space="preserve">Приложение № </w:t>
            </w:r>
            <w:r w:rsidR="00925202">
              <w:rPr>
                <w:sz w:val="24"/>
                <w:szCs w:val="24"/>
              </w:rPr>
              <w:t>7</w:t>
            </w:r>
          </w:p>
          <w:p w:rsidR="009F634A" w:rsidRDefault="009F634A" w:rsidP="007D09EA">
            <w:pPr>
              <w:ind w:left="0" w:right="0" w:firstLine="284"/>
              <w:jc w:val="center"/>
              <w:rPr>
                <w:sz w:val="24"/>
                <w:szCs w:val="24"/>
              </w:rPr>
            </w:pPr>
            <w:r>
              <w:rPr>
                <w:sz w:val="24"/>
                <w:szCs w:val="24"/>
              </w:rPr>
              <w:t>к аналитической записке</w:t>
            </w:r>
          </w:p>
          <w:p w:rsidR="009F634A" w:rsidRPr="00010997" w:rsidRDefault="009F634A" w:rsidP="007D09EA">
            <w:pPr>
              <w:spacing w:line="372" w:lineRule="auto"/>
              <w:ind w:left="0" w:right="0" w:firstLine="284"/>
              <w:jc w:val="left"/>
              <w:rPr>
                <w:sz w:val="24"/>
                <w:szCs w:val="24"/>
              </w:rPr>
            </w:pPr>
          </w:p>
        </w:tc>
      </w:tr>
    </w:tbl>
    <w:p w:rsidR="009F634A" w:rsidRPr="000662AB" w:rsidRDefault="009F634A" w:rsidP="007D09EA">
      <w:pPr>
        <w:spacing w:line="240" w:lineRule="auto"/>
        <w:ind w:left="0" w:right="0" w:firstLine="284"/>
        <w:jc w:val="right"/>
        <w:rPr>
          <w:sz w:val="24"/>
        </w:rPr>
      </w:pPr>
    </w:p>
    <w:p w:rsidR="009F634A" w:rsidRDefault="009F634A" w:rsidP="007D09EA">
      <w:pPr>
        <w:spacing w:line="240" w:lineRule="auto"/>
        <w:ind w:left="0" w:right="0" w:firstLine="284"/>
        <w:jc w:val="right"/>
        <w:rPr>
          <w:b/>
          <w:sz w:val="24"/>
        </w:rPr>
      </w:pPr>
      <w:r w:rsidRPr="000662AB">
        <w:rPr>
          <w:sz w:val="24"/>
        </w:rPr>
        <w:t xml:space="preserve">Таблица </w:t>
      </w:r>
      <w:r>
        <w:rPr>
          <w:sz w:val="24"/>
        </w:rPr>
        <w:t>1</w:t>
      </w:r>
    </w:p>
    <w:p w:rsidR="009F634A" w:rsidRDefault="009F634A" w:rsidP="007D09EA">
      <w:pPr>
        <w:spacing w:line="240" w:lineRule="auto"/>
        <w:ind w:left="0" w:right="0" w:firstLine="284"/>
        <w:jc w:val="center"/>
        <w:rPr>
          <w:b/>
          <w:sz w:val="24"/>
        </w:rPr>
      </w:pPr>
      <w:r>
        <w:rPr>
          <w:b/>
          <w:sz w:val="24"/>
        </w:rPr>
        <w:t>Информация о недостатках</w:t>
      </w:r>
    </w:p>
    <w:p w:rsidR="009F634A" w:rsidRPr="007C158A" w:rsidRDefault="009F634A" w:rsidP="007D09EA">
      <w:pPr>
        <w:spacing w:line="240" w:lineRule="auto"/>
        <w:ind w:left="0" w:right="0" w:firstLine="284"/>
        <w:jc w:val="center"/>
        <w:rPr>
          <w:b/>
          <w:sz w:val="24"/>
        </w:rPr>
      </w:pPr>
      <w:r>
        <w:rPr>
          <w:b/>
          <w:sz w:val="24"/>
        </w:rPr>
        <w:t>в рамках реализации</w:t>
      </w:r>
      <w:r w:rsidRPr="009F2053">
        <w:rPr>
          <w:b/>
          <w:sz w:val="24"/>
        </w:rPr>
        <w:t xml:space="preserve"> </w:t>
      </w:r>
      <w:r>
        <w:rPr>
          <w:b/>
          <w:sz w:val="24"/>
        </w:rPr>
        <w:t>национальных проектов</w:t>
      </w:r>
      <w:r w:rsidRPr="009F2053">
        <w:rPr>
          <w:b/>
          <w:sz w:val="24"/>
        </w:rPr>
        <w:t xml:space="preserve"> (программам)</w:t>
      </w:r>
      <w:r>
        <w:rPr>
          <w:b/>
          <w:sz w:val="24"/>
        </w:rPr>
        <w:t xml:space="preserve"> и Комплексного плана</w:t>
      </w:r>
      <w:r w:rsidRPr="007C158A">
        <w:rPr>
          <w:b/>
          <w:sz w:val="24"/>
          <w:szCs w:val="24"/>
          <w:u w:val="single"/>
        </w:rPr>
        <w:t xml:space="preserve"> </w:t>
      </w:r>
      <w:r w:rsidRPr="007C158A">
        <w:rPr>
          <w:b/>
          <w:sz w:val="24"/>
          <w:szCs w:val="24"/>
        </w:rPr>
        <w:t>модернизации и расширения магистральной инфраструктуры</w:t>
      </w:r>
    </w:p>
    <w:p w:rsidR="009F634A" w:rsidRPr="00EF5709" w:rsidRDefault="009F634A" w:rsidP="007D09EA">
      <w:pPr>
        <w:overflowPunct/>
        <w:autoSpaceDE/>
        <w:autoSpaceDN/>
        <w:adjustRightInd/>
        <w:ind w:left="0" w:right="0" w:firstLine="284"/>
        <w:jc w:val="center"/>
        <w:textAlignment w:val="auto"/>
        <w:rPr>
          <w:sz w:val="24"/>
          <w:szCs w:val="24"/>
          <w:lang w:eastAsia="en-US"/>
        </w:rPr>
      </w:pPr>
    </w:p>
    <w:tbl>
      <w:tblPr>
        <w:tblStyle w:val="a3"/>
        <w:tblW w:w="10632" w:type="dxa"/>
        <w:tblInd w:w="-459" w:type="dxa"/>
        <w:tblLook w:val="04A0" w:firstRow="1" w:lastRow="0" w:firstColumn="1" w:lastColumn="0" w:noHBand="0" w:noVBand="1"/>
      </w:tblPr>
      <w:tblGrid>
        <w:gridCol w:w="568"/>
        <w:gridCol w:w="2268"/>
        <w:gridCol w:w="7796"/>
      </w:tblGrid>
      <w:tr w:rsidR="009F634A" w:rsidTr="0029146D">
        <w:trPr>
          <w:tblHeader/>
        </w:trPr>
        <w:tc>
          <w:tcPr>
            <w:tcW w:w="568" w:type="dxa"/>
          </w:tcPr>
          <w:p w:rsidR="009F634A" w:rsidRPr="00452BB8" w:rsidRDefault="009F634A" w:rsidP="00F63B24">
            <w:pPr>
              <w:overflowPunct/>
              <w:autoSpaceDE/>
              <w:autoSpaceDN/>
              <w:adjustRightInd/>
              <w:ind w:left="0" w:right="0" w:firstLine="0"/>
              <w:jc w:val="center"/>
              <w:textAlignment w:val="auto"/>
              <w:rPr>
                <w:rFonts w:eastAsia="Times New Roman"/>
                <w:b/>
                <w:sz w:val="20"/>
                <w:szCs w:val="20"/>
              </w:rPr>
            </w:pPr>
            <w:r w:rsidRPr="00452BB8">
              <w:rPr>
                <w:rFonts w:eastAsia="Times New Roman"/>
                <w:b/>
                <w:sz w:val="20"/>
                <w:szCs w:val="20"/>
              </w:rPr>
              <w:t xml:space="preserve">№ </w:t>
            </w:r>
            <w:proofErr w:type="gramStart"/>
            <w:r w:rsidRPr="00452BB8">
              <w:rPr>
                <w:rFonts w:eastAsia="Times New Roman"/>
                <w:b/>
                <w:sz w:val="20"/>
                <w:szCs w:val="20"/>
              </w:rPr>
              <w:t>п</w:t>
            </w:r>
            <w:proofErr w:type="gramEnd"/>
            <w:r w:rsidRPr="00452BB8">
              <w:rPr>
                <w:rFonts w:eastAsia="Times New Roman"/>
                <w:b/>
                <w:sz w:val="20"/>
                <w:szCs w:val="20"/>
                <w:lang w:val="en-US"/>
              </w:rPr>
              <w:t>/</w:t>
            </w:r>
            <w:r w:rsidRPr="00452BB8">
              <w:rPr>
                <w:rFonts w:eastAsia="Times New Roman"/>
                <w:b/>
                <w:sz w:val="20"/>
                <w:szCs w:val="20"/>
              </w:rPr>
              <w:t>п</w:t>
            </w:r>
          </w:p>
        </w:tc>
        <w:tc>
          <w:tcPr>
            <w:tcW w:w="2268" w:type="dxa"/>
          </w:tcPr>
          <w:p w:rsidR="009F634A" w:rsidRPr="00452BB8" w:rsidRDefault="009F634A" w:rsidP="00F63B24">
            <w:pPr>
              <w:overflowPunct/>
              <w:autoSpaceDE/>
              <w:autoSpaceDN/>
              <w:adjustRightInd/>
              <w:ind w:left="0" w:right="0" w:firstLine="0"/>
              <w:jc w:val="center"/>
              <w:textAlignment w:val="auto"/>
              <w:rPr>
                <w:rFonts w:eastAsia="Times New Roman"/>
                <w:b/>
                <w:sz w:val="20"/>
                <w:szCs w:val="20"/>
              </w:rPr>
            </w:pPr>
            <w:r w:rsidRPr="00452BB8">
              <w:rPr>
                <w:rFonts w:eastAsia="Times New Roman"/>
                <w:b/>
                <w:sz w:val="20"/>
                <w:szCs w:val="20"/>
              </w:rPr>
              <w:t xml:space="preserve">Наименование </w:t>
            </w:r>
            <w:r w:rsidR="0029146D">
              <w:rPr>
                <w:rFonts w:eastAsia="Times New Roman"/>
                <w:b/>
                <w:sz w:val="20"/>
                <w:szCs w:val="20"/>
              </w:rPr>
              <w:t xml:space="preserve">национального </w:t>
            </w:r>
            <w:r>
              <w:rPr>
                <w:rFonts w:eastAsia="Times New Roman"/>
                <w:b/>
                <w:sz w:val="20"/>
                <w:szCs w:val="20"/>
              </w:rPr>
              <w:t>проекта</w:t>
            </w:r>
            <w:r w:rsidR="0029146D">
              <w:rPr>
                <w:rFonts w:eastAsia="Times New Roman"/>
                <w:b/>
                <w:sz w:val="20"/>
                <w:szCs w:val="20"/>
              </w:rPr>
              <w:t xml:space="preserve"> (программы)</w:t>
            </w:r>
          </w:p>
        </w:tc>
        <w:tc>
          <w:tcPr>
            <w:tcW w:w="7796" w:type="dxa"/>
            <w:vAlign w:val="center"/>
          </w:tcPr>
          <w:p w:rsidR="009F634A" w:rsidRPr="00452BB8" w:rsidRDefault="009F634A" w:rsidP="0029146D">
            <w:pPr>
              <w:overflowPunct/>
              <w:autoSpaceDE/>
              <w:autoSpaceDN/>
              <w:adjustRightInd/>
              <w:ind w:left="0" w:right="0" w:firstLine="0"/>
              <w:jc w:val="center"/>
              <w:textAlignment w:val="auto"/>
              <w:rPr>
                <w:rFonts w:eastAsia="Times New Roman"/>
                <w:b/>
                <w:sz w:val="20"/>
                <w:szCs w:val="20"/>
              </w:rPr>
            </w:pPr>
            <w:r w:rsidRPr="00452BB8">
              <w:rPr>
                <w:rFonts w:eastAsia="Times New Roman"/>
                <w:b/>
                <w:sz w:val="20"/>
                <w:szCs w:val="20"/>
              </w:rPr>
              <w:t>Недостатки, выявленные в ходе реализации национального проекта (программы)</w:t>
            </w:r>
          </w:p>
        </w:tc>
      </w:tr>
      <w:tr w:rsidR="00365827" w:rsidTr="00D46E03">
        <w:tc>
          <w:tcPr>
            <w:tcW w:w="568" w:type="dxa"/>
          </w:tcPr>
          <w:p w:rsidR="00365827" w:rsidRPr="00365827" w:rsidRDefault="00365827" w:rsidP="000C15B1">
            <w:pPr>
              <w:ind w:left="0" w:right="0" w:firstLine="0"/>
              <w:rPr>
                <w:b/>
                <w:sz w:val="20"/>
                <w:szCs w:val="20"/>
              </w:rPr>
            </w:pPr>
            <w:r w:rsidRPr="00365827">
              <w:rPr>
                <w:b/>
                <w:sz w:val="20"/>
                <w:szCs w:val="20"/>
              </w:rPr>
              <w:t>1.</w:t>
            </w:r>
          </w:p>
        </w:tc>
        <w:tc>
          <w:tcPr>
            <w:tcW w:w="2268" w:type="dxa"/>
          </w:tcPr>
          <w:p w:rsidR="00365827" w:rsidRPr="00365827" w:rsidRDefault="00365827" w:rsidP="000C15B1">
            <w:pPr>
              <w:ind w:left="0" w:right="0" w:firstLine="0"/>
              <w:rPr>
                <w:b/>
                <w:sz w:val="20"/>
                <w:szCs w:val="20"/>
              </w:rPr>
            </w:pPr>
            <w:r w:rsidRPr="00365827">
              <w:rPr>
                <w:b/>
                <w:sz w:val="20"/>
                <w:szCs w:val="20"/>
              </w:rPr>
              <w:t>Демография</w:t>
            </w:r>
          </w:p>
        </w:tc>
        <w:tc>
          <w:tcPr>
            <w:tcW w:w="7796" w:type="dxa"/>
          </w:tcPr>
          <w:p w:rsidR="00365827" w:rsidRPr="00365827" w:rsidRDefault="00365827" w:rsidP="000C15B1">
            <w:pPr>
              <w:ind w:left="0" w:right="0" w:firstLine="284"/>
              <w:rPr>
                <w:sz w:val="20"/>
                <w:szCs w:val="20"/>
              </w:rPr>
            </w:pPr>
            <w:r w:rsidRPr="00365827">
              <w:rPr>
                <w:sz w:val="20"/>
                <w:szCs w:val="20"/>
              </w:rPr>
              <w:t xml:space="preserve">В рамках реализации </w:t>
            </w:r>
            <w:r w:rsidRPr="00365827">
              <w:rPr>
                <w:b/>
                <w:sz w:val="20"/>
                <w:szCs w:val="20"/>
              </w:rPr>
              <w:t xml:space="preserve">национального проекта «Демография» </w:t>
            </w:r>
            <w:r w:rsidRPr="00365827">
              <w:rPr>
                <w:sz w:val="20"/>
                <w:szCs w:val="20"/>
              </w:rPr>
              <w:t>уровень исполнения бюджетных ассигнований составил 95,5 % показателя сводной росписи с изменениями.</w:t>
            </w:r>
            <w:r w:rsidRPr="00365827">
              <w:rPr>
                <w:bCs/>
                <w:sz w:val="20"/>
                <w:szCs w:val="20"/>
              </w:rPr>
              <w:t xml:space="preserve"> По итогам 2019 года бюджетные ассигнования в рамках указанного национального проекта не исполнены в сумме 23 663,4 млн. рублей, или 4,5 %.</w:t>
            </w:r>
          </w:p>
          <w:p w:rsidR="00365827" w:rsidRPr="00365827" w:rsidRDefault="00365827" w:rsidP="000C15B1">
            <w:pPr>
              <w:ind w:left="0" w:right="0" w:firstLine="284"/>
              <w:rPr>
                <w:sz w:val="20"/>
                <w:szCs w:val="20"/>
              </w:rPr>
            </w:pPr>
            <w:r w:rsidRPr="00365827">
              <w:rPr>
                <w:sz w:val="20"/>
                <w:szCs w:val="20"/>
              </w:rPr>
              <w:t xml:space="preserve">Исполнение расходов по федеральному проекту «Финансовая поддержка семей при рождении детей» составило 99 % показателя сводной росписи с изменениями, по </w:t>
            </w:r>
            <w:r w:rsidRPr="00365827">
              <w:rPr>
                <w:sz w:val="20"/>
                <w:szCs w:val="20"/>
                <w:lang w:eastAsia="en-US"/>
              </w:rPr>
              <w:t>федеральному проекту</w:t>
            </w:r>
            <w:r w:rsidRPr="00365827">
              <w:rPr>
                <w:sz w:val="20"/>
                <w:szCs w:val="20"/>
              </w:rPr>
              <w:t xml:space="preserve"> «Содействие занятости женщин» - 74,6 %, по </w:t>
            </w:r>
            <w:r w:rsidRPr="00365827">
              <w:rPr>
                <w:sz w:val="20"/>
                <w:szCs w:val="20"/>
                <w:lang w:eastAsia="en-US"/>
              </w:rPr>
              <w:t>федеральному проекту</w:t>
            </w:r>
            <w:r w:rsidRPr="00365827">
              <w:rPr>
                <w:sz w:val="20"/>
                <w:szCs w:val="20"/>
              </w:rPr>
              <w:t xml:space="preserve"> «Старшее поколение» - 91 %, по </w:t>
            </w:r>
            <w:r w:rsidRPr="00365827">
              <w:rPr>
                <w:sz w:val="20"/>
                <w:szCs w:val="20"/>
                <w:lang w:eastAsia="en-US"/>
              </w:rPr>
              <w:t>федеральному проекту</w:t>
            </w:r>
            <w:r w:rsidRPr="00365827">
              <w:rPr>
                <w:sz w:val="20"/>
                <w:szCs w:val="20"/>
              </w:rPr>
              <w:t xml:space="preserve"> «Укрепление общественного здоровья» - 99,9 %, по </w:t>
            </w:r>
            <w:r w:rsidRPr="00365827">
              <w:rPr>
                <w:sz w:val="20"/>
                <w:szCs w:val="20"/>
                <w:lang w:eastAsia="en-US"/>
              </w:rPr>
              <w:t>федеральному проекту</w:t>
            </w:r>
            <w:r w:rsidRPr="00365827">
              <w:rPr>
                <w:sz w:val="20"/>
                <w:szCs w:val="20"/>
              </w:rPr>
              <w:t xml:space="preserve"> «Спорт – норма жизни» - 91,6 %.</w:t>
            </w:r>
          </w:p>
          <w:p w:rsidR="00365827" w:rsidRPr="00365827" w:rsidRDefault="00365827" w:rsidP="000C15B1">
            <w:pPr>
              <w:ind w:left="0" w:right="0" w:firstLine="284"/>
              <w:rPr>
                <w:sz w:val="20"/>
                <w:szCs w:val="20"/>
              </w:rPr>
            </w:pPr>
            <w:r w:rsidRPr="00365827">
              <w:rPr>
                <w:sz w:val="20"/>
                <w:szCs w:val="20"/>
              </w:rPr>
              <w:t xml:space="preserve">Следует отметить, что информация, представленная в отчете о реализации </w:t>
            </w:r>
            <w:r w:rsidRPr="00365827">
              <w:rPr>
                <w:sz w:val="20"/>
                <w:szCs w:val="20"/>
                <w:lang w:eastAsia="en-US"/>
              </w:rPr>
              <w:t>национального проекта</w:t>
            </w:r>
            <w:r w:rsidRPr="00365827">
              <w:rPr>
                <w:sz w:val="20"/>
                <w:szCs w:val="20"/>
              </w:rPr>
              <w:t xml:space="preserve"> «Демография» и </w:t>
            </w:r>
            <w:r w:rsidRPr="00365827">
              <w:rPr>
                <w:sz w:val="20"/>
                <w:szCs w:val="20"/>
                <w:lang w:eastAsia="en-US"/>
              </w:rPr>
              <w:t>федерального проекта</w:t>
            </w:r>
            <w:r w:rsidRPr="00365827">
              <w:rPr>
                <w:sz w:val="20"/>
                <w:szCs w:val="20"/>
              </w:rPr>
              <w:t xml:space="preserve"> «Содействие занятости женщин», в части финансового обеспечения, установленного сводной бюджетной росписью и кассового исполнения не соответствует оперативным данным Федерального казначейства. </w:t>
            </w:r>
          </w:p>
          <w:p w:rsidR="00365827" w:rsidRPr="00365827" w:rsidRDefault="00365827" w:rsidP="000C15B1">
            <w:pPr>
              <w:ind w:left="0" w:right="0" w:firstLine="284"/>
              <w:rPr>
                <w:sz w:val="20"/>
                <w:szCs w:val="20"/>
              </w:rPr>
            </w:pPr>
            <w:r w:rsidRPr="00365827">
              <w:rPr>
                <w:sz w:val="20"/>
                <w:szCs w:val="20"/>
              </w:rPr>
              <w:t xml:space="preserve">Так, в отчете о реализации </w:t>
            </w:r>
            <w:r w:rsidRPr="00365827">
              <w:rPr>
                <w:sz w:val="20"/>
                <w:szCs w:val="20"/>
                <w:lang w:eastAsia="en-US"/>
              </w:rPr>
              <w:t>федерального проекта</w:t>
            </w:r>
            <w:r w:rsidRPr="00365827">
              <w:rPr>
                <w:sz w:val="20"/>
                <w:szCs w:val="20"/>
              </w:rPr>
              <w:t xml:space="preserve"> «Содействие занятости женщин» не учтены средства резервного фонда Правительства Российской Федерации, выделенные регионам на создание дополнительных мест в яслях, установленные сводной бюджетной росписью в общей сумме 4 157,0 млн. рублей, а также их кассовое исполнение в сумме 3 356,3 млн. рублей. </w:t>
            </w:r>
          </w:p>
          <w:p w:rsidR="00365827" w:rsidRPr="00365827" w:rsidRDefault="00365827" w:rsidP="000C15B1">
            <w:pPr>
              <w:ind w:left="0" w:right="0" w:firstLine="284"/>
              <w:rPr>
                <w:sz w:val="20"/>
                <w:szCs w:val="20"/>
              </w:rPr>
            </w:pPr>
            <w:r w:rsidRPr="00365827">
              <w:rPr>
                <w:sz w:val="20"/>
                <w:szCs w:val="20"/>
              </w:rPr>
              <w:t xml:space="preserve">Низкий уровень кассового исполнения расходов по </w:t>
            </w:r>
            <w:r w:rsidRPr="00365827">
              <w:rPr>
                <w:sz w:val="20"/>
                <w:szCs w:val="20"/>
                <w:lang w:eastAsia="en-US"/>
              </w:rPr>
              <w:t>федеральному проекту</w:t>
            </w:r>
            <w:r w:rsidRPr="00365827">
              <w:rPr>
                <w:sz w:val="20"/>
                <w:szCs w:val="20"/>
              </w:rPr>
              <w:t xml:space="preserve"> «Содействие занятости женщин» обусловлен низкой строительной готовностью яслей, отсутствием или подготовкой некачественной проектной документации, поздним заключением контрактов на строительство; </w:t>
            </w:r>
            <w:proofErr w:type="gramStart"/>
            <w:r w:rsidRPr="00365827">
              <w:rPr>
                <w:sz w:val="20"/>
                <w:szCs w:val="20"/>
              </w:rPr>
              <w:t xml:space="preserve">по </w:t>
            </w:r>
            <w:r w:rsidRPr="00365827">
              <w:rPr>
                <w:sz w:val="20"/>
                <w:szCs w:val="20"/>
                <w:lang w:eastAsia="en-US"/>
              </w:rPr>
              <w:t>федеральному проекту</w:t>
            </w:r>
            <w:r w:rsidRPr="00365827">
              <w:rPr>
                <w:sz w:val="20"/>
                <w:szCs w:val="20"/>
              </w:rPr>
              <w:t xml:space="preserve"> «Спорт – норма жизни» - низким уровнем реализации мероприятий ФЦП «Развитие физической культуры и спорта в Российской Федерации на 2016 - 2020 годы» (</w:t>
            </w:r>
            <w:r w:rsidR="00D91CC0">
              <w:rPr>
                <w:sz w:val="20"/>
                <w:szCs w:val="20"/>
              </w:rPr>
              <w:t xml:space="preserve">исполнение по </w:t>
            </w:r>
            <w:r w:rsidRPr="00365827">
              <w:rPr>
                <w:sz w:val="20"/>
                <w:szCs w:val="20"/>
              </w:rPr>
              <w:t>межбюджетны</w:t>
            </w:r>
            <w:r w:rsidR="00D91CC0">
              <w:rPr>
                <w:sz w:val="20"/>
                <w:szCs w:val="20"/>
              </w:rPr>
              <w:t>м</w:t>
            </w:r>
            <w:r w:rsidRPr="00365827">
              <w:rPr>
                <w:sz w:val="20"/>
                <w:szCs w:val="20"/>
              </w:rPr>
              <w:t xml:space="preserve"> трансферт</w:t>
            </w:r>
            <w:r w:rsidR="00D91CC0">
              <w:rPr>
                <w:sz w:val="20"/>
                <w:szCs w:val="20"/>
              </w:rPr>
              <w:t>ам</w:t>
            </w:r>
            <w:r w:rsidRPr="00365827">
              <w:rPr>
                <w:sz w:val="20"/>
                <w:szCs w:val="20"/>
              </w:rPr>
              <w:t xml:space="preserve"> составило 83,7 %), а также по мероприятиям по созданию и модернизации объектов спортивной инфраструктуры региональной собственности для занятий физической культурой и спортом (</w:t>
            </w:r>
            <w:r w:rsidR="00D91CC0">
              <w:rPr>
                <w:sz w:val="20"/>
                <w:szCs w:val="20"/>
              </w:rPr>
              <w:t>исполнение по</w:t>
            </w:r>
            <w:r w:rsidRPr="00365827">
              <w:rPr>
                <w:sz w:val="20"/>
                <w:szCs w:val="20"/>
              </w:rPr>
              <w:t xml:space="preserve"> межбюджетны</w:t>
            </w:r>
            <w:r w:rsidR="00D91CC0">
              <w:rPr>
                <w:sz w:val="20"/>
                <w:szCs w:val="20"/>
              </w:rPr>
              <w:t>м</w:t>
            </w:r>
            <w:r w:rsidRPr="00365827">
              <w:rPr>
                <w:sz w:val="20"/>
                <w:szCs w:val="20"/>
              </w:rPr>
              <w:t xml:space="preserve"> трансферт</w:t>
            </w:r>
            <w:r w:rsidR="00D91CC0">
              <w:rPr>
                <w:sz w:val="20"/>
                <w:szCs w:val="20"/>
              </w:rPr>
              <w:t>ам</w:t>
            </w:r>
            <w:r w:rsidRPr="00365827">
              <w:rPr>
                <w:sz w:val="20"/>
                <w:szCs w:val="20"/>
              </w:rPr>
              <w:t xml:space="preserve"> составило 85,2 %) по вышеуказанным причинам.</w:t>
            </w:r>
            <w:proofErr w:type="gramEnd"/>
          </w:p>
          <w:p w:rsidR="00365827" w:rsidRPr="00365827" w:rsidRDefault="00365827" w:rsidP="000C15B1">
            <w:pPr>
              <w:ind w:left="0" w:right="0" w:firstLine="284"/>
              <w:rPr>
                <w:sz w:val="20"/>
                <w:szCs w:val="20"/>
              </w:rPr>
            </w:pPr>
            <w:r w:rsidRPr="00365827">
              <w:rPr>
                <w:sz w:val="20"/>
                <w:szCs w:val="20"/>
              </w:rPr>
              <w:t xml:space="preserve">В рамках </w:t>
            </w:r>
            <w:r w:rsidRPr="00365827">
              <w:rPr>
                <w:sz w:val="20"/>
                <w:szCs w:val="20"/>
                <w:lang w:eastAsia="en-US"/>
              </w:rPr>
              <w:t>федерального проекта</w:t>
            </w:r>
            <w:r w:rsidRPr="00365827">
              <w:rPr>
                <w:sz w:val="20"/>
                <w:szCs w:val="20"/>
              </w:rPr>
              <w:t xml:space="preserve"> «Спорт-норма жизни» в течени</w:t>
            </w:r>
            <w:proofErr w:type="gramStart"/>
            <w:r w:rsidRPr="00365827">
              <w:rPr>
                <w:sz w:val="20"/>
                <w:szCs w:val="20"/>
              </w:rPr>
              <w:t>и</w:t>
            </w:r>
            <w:proofErr w:type="gramEnd"/>
            <w:r w:rsidRPr="00365827">
              <w:rPr>
                <w:sz w:val="20"/>
                <w:szCs w:val="20"/>
              </w:rPr>
              <w:t xml:space="preserve"> девяти месяцев 2019 года не осуществлялись кассовые расходы </w:t>
            </w:r>
            <w:proofErr w:type="spellStart"/>
            <w:r w:rsidRPr="00365827">
              <w:rPr>
                <w:sz w:val="20"/>
                <w:szCs w:val="20"/>
              </w:rPr>
              <w:t>Минспортом</w:t>
            </w:r>
            <w:proofErr w:type="spellEnd"/>
            <w:r w:rsidRPr="00365827">
              <w:rPr>
                <w:sz w:val="20"/>
                <w:szCs w:val="20"/>
              </w:rPr>
              <w:t xml:space="preserve"> России на строительство детского спортивно-образовательного цента круглогодичного профиля в Калининградской области (155,0 млн. рублей) в связи с поздним принятием акта Правительства Российской Федерации и длительностью проведения конкурсных процедур; только в сентябре 2019 года </w:t>
            </w:r>
            <w:proofErr w:type="spellStart"/>
            <w:r w:rsidRPr="00365827">
              <w:rPr>
                <w:sz w:val="20"/>
                <w:szCs w:val="20"/>
              </w:rPr>
              <w:t>Минкавказом</w:t>
            </w:r>
            <w:proofErr w:type="spellEnd"/>
            <w:r w:rsidRPr="00365827">
              <w:rPr>
                <w:sz w:val="20"/>
                <w:szCs w:val="20"/>
              </w:rPr>
              <w:t xml:space="preserve"> России начато финансирование создания многофункциональных спортивных площадок и физкультурно-оздоровительных комплексов на территории курорта Кисловодска в связи с длительностью проведения в регионе конкурсных процедур и поздним заключением контрактов на строительно-монтажные работы (август 2019 года). </w:t>
            </w:r>
          </w:p>
          <w:p w:rsidR="00365827" w:rsidRPr="00365827" w:rsidRDefault="00365827" w:rsidP="000C15B1">
            <w:pPr>
              <w:ind w:left="0" w:right="0" w:firstLine="284"/>
              <w:rPr>
                <w:sz w:val="20"/>
                <w:szCs w:val="20"/>
              </w:rPr>
            </w:pPr>
            <w:r w:rsidRPr="00365827">
              <w:rPr>
                <w:sz w:val="20"/>
                <w:szCs w:val="20"/>
              </w:rPr>
              <w:t xml:space="preserve">Низкий уровень (91 %) кассового исполнения расходов по </w:t>
            </w:r>
            <w:r w:rsidRPr="00365827">
              <w:rPr>
                <w:sz w:val="20"/>
                <w:szCs w:val="20"/>
                <w:lang w:eastAsia="en-US"/>
              </w:rPr>
              <w:t>федеральному проекту</w:t>
            </w:r>
            <w:r w:rsidRPr="00365827">
              <w:rPr>
                <w:sz w:val="20"/>
                <w:szCs w:val="20"/>
              </w:rPr>
              <w:t xml:space="preserve"> «Старшее поколение» обусловлен, в основном, заявочным принципом получения социальных услуг, а также экономией, сложившейся по результатам конкурсных процедур, в том числе по предоставлению образовательных услуг.</w:t>
            </w:r>
          </w:p>
          <w:p w:rsidR="00365827" w:rsidRPr="00365827" w:rsidRDefault="00365827" w:rsidP="000C15B1">
            <w:pPr>
              <w:ind w:left="0" w:right="0" w:firstLine="284"/>
              <w:rPr>
                <w:sz w:val="20"/>
                <w:szCs w:val="20"/>
              </w:rPr>
            </w:pPr>
            <w:r w:rsidRPr="00365827">
              <w:rPr>
                <w:sz w:val="20"/>
                <w:szCs w:val="20"/>
              </w:rPr>
              <w:t xml:space="preserve">Так, кассовое исполнение мероприятия по переобучению граждан </w:t>
            </w:r>
            <w:proofErr w:type="spellStart"/>
            <w:r w:rsidRPr="00365827">
              <w:rPr>
                <w:sz w:val="20"/>
                <w:szCs w:val="20"/>
              </w:rPr>
              <w:t>предпенсионного</w:t>
            </w:r>
            <w:proofErr w:type="spellEnd"/>
            <w:r w:rsidRPr="00365827">
              <w:rPr>
                <w:sz w:val="20"/>
                <w:szCs w:val="20"/>
              </w:rPr>
              <w:t xml:space="preserve"> возраста, организованное органами службы занятости населения сложилось на уровне 83 %, организованное Союзом </w:t>
            </w:r>
            <w:proofErr w:type="spellStart"/>
            <w:r w:rsidRPr="00365827">
              <w:rPr>
                <w:sz w:val="20"/>
                <w:szCs w:val="20"/>
              </w:rPr>
              <w:t>Ворлдскиллс</w:t>
            </w:r>
            <w:proofErr w:type="spellEnd"/>
            <w:r w:rsidRPr="00365827">
              <w:rPr>
                <w:sz w:val="20"/>
                <w:szCs w:val="20"/>
              </w:rPr>
              <w:t xml:space="preserve"> Россия – 92,5 %. </w:t>
            </w:r>
          </w:p>
          <w:p w:rsidR="00365827" w:rsidRPr="00365827" w:rsidRDefault="00365827" w:rsidP="000C15B1">
            <w:pPr>
              <w:ind w:left="0" w:right="0" w:firstLine="284"/>
              <w:rPr>
                <w:sz w:val="20"/>
                <w:szCs w:val="20"/>
              </w:rPr>
            </w:pPr>
            <w:r w:rsidRPr="00365827">
              <w:rPr>
                <w:sz w:val="20"/>
                <w:szCs w:val="20"/>
              </w:rPr>
              <w:t xml:space="preserve">Низкий уровень кассового исполнения обусловлен экономией, сложившейся по </w:t>
            </w:r>
            <w:r w:rsidRPr="00365827">
              <w:rPr>
                <w:sz w:val="20"/>
                <w:szCs w:val="20"/>
              </w:rPr>
              <w:lastRenderedPageBreak/>
              <w:t>результатам конкурсных процедур по предоставлению образовательных услуг. В ряде областей (Липецкой, Тверской, Смоленской) стоимость услуг по обучению одного человека составляет от 11,0 до 35,0 тыс. рублей, при этом бюджетные ассигнования из федерального бюджета рассчитаны исходя из стоимости обучения 1 человека - 68,5 тыс. рублей; оплатой договоров и соглашений в полном объеме только после завершения обучения (кредиторская задолженность).</w:t>
            </w:r>
          </w:p>
          <w:p w:rsidR="00365827" w:rsidRPr="00365827" w:rsidRDefault="00365827" w:rsidP="000C15B1">
            <w:pPr>
              <w:ind w:left="0" w:right="0" w:firstLine="284"/>
              <w:rPr>
                <w:sz w:val="20"/>
                <w:szCs w:val="20"/>
              </w:rPr>
            </w:pPr>
            <w:r w:rsidRPr="00365827">
              <w:rPr>
                <w:sz w:val="20"/>
                <w:szCs w:val="20"/>
              </w:rPr>
              <w:t>При этом не полное освоение бюджетных средств не повлияло на исполнение планового значения показателя, установленного на 2019 год – направлено на обучение 75 тыс. человек (по оперативным данным, по состоянию на 1 января 2020 года, завершили обучение 140,2 тыс. человек, или 186,9 % запланированного показателя федерального проекта «Старшее поколение»).</w:t>
            </w:r>
          </w:p>
          <w:p w:rsidR="00365827" w:rsidRPr="00365827" w:rsidRDefault="00365827" w:rsidP="000C15B1">
            <w:pPr>
              <w:ind w:left="0" w:right="0" w:firstLine="284"/>
              <w:rPr>
                <w:sz w:val="20"/>
                <w:szCs w:val="20"/>
              </w:rPr>
            </w:pPr>
            <w:r w:rsidRPr="00365827">
              <w:rPr>
                <w:sz w:val="20"/>
                <w:szCs w:val="20"/>
              </w:rPr>
              <w:t>Использование средств на предоставление субсидий кредитным организациям и АО «ДОМ</w:t>
            </w:r>
            <w:proofErr w:type="gramStart"/>
            <w:r w:rsidRPr="00365827">
              <w:rPr>
                <w:sz w:val="20"/>
                <w:szCs w:val="20"/>
              </w:rPr>
              <w:t>.Р</w:t>
            </w:r>
            <w:proofErr w:type="gramEnd"/>
            <w:r w:rsidRPr="00365827">
              <w:rPr>
                <w:sz w:val="20"/>
                <w:szCs w:val="20"/>
              </w:rPr>
              <w:t xml:space="preserve">Ф» на возмещение недополученных доходов по выданным ипотечным кредитам в рамках </w:t>
            </w:r>
            <w:r w:rsidRPr="00365827">
              <w:rPr>
                <w:sz w:val="20"/>
                <w:szCs w:val="20"/>
                <w:lang w:eastAsia="en-US"/>
              </w:rPr>
              <w:t>федерального проекта</w:t>
            </w:r>
            <w:r w:rsidRPr="00365827">
              <w:rPr>
                <w:sz w:val="20"/>
                <w:szCs w:val="20"/>
              </w:rPr>
              <w:t xml:space="preserve"> «Финансовая поддержка семей при рождении детей» составило лишь 47,9 % годовых назначений (1 389,4 млн рублей). Согласно данным, размещенным на официальном сайте Минфина России, в 2019 году в рамках программы субсидирования выдано 42 585 кредитов на общую сумму 98 279,6 млн. рублей. Общее число детей, родившихся в семьях, получивших указанные кредиты, за 2019 год составило 39 108 детей, из них количество третьих и последующих детей – 9 014. В 2018 году было выдано 4 446 кредитов на общую сумму 10 685,5 млн. рублей. Общее число детей, родившихся в семьях, получивших указанные кредиты, за 2018 год составило 4 556 детей, из них количество третьих и последующих детей – 990.</w:t>
            </w:r>
          </w:p>
          <w:p w:rsidR="00365827" w:rsidRPr="00365827" w:rsidRDefault="00365827" w:rsidP="000C15B1">
            <w:pPr>
              <w:ind w:left="0" w:right="0" w:firstLine="284"/>
              <w:rPr>
                <w:sz w:val="20"/>
                <w:szCs w:val="20"/>
              </w:rPr>
            </w:pPr>
            <w:r w:rsidRPr="00365827">
              <w:rPr>
                <w:sz w:val="20"/>
                <w:szCs w:val="20"/>
              </w:rPr>
              <w:t xml:space="preserve">Одной из причин низкой реализации программы субсидирования являлось отсутствие должного информирования граждан о возможности получения такой государственной поддержки семей с двумя и более детьми. </w:t>
            </w:r>
          </w:p>
          <w:p w:rsidR="00365827" w:rsidRPr="00365827" w:rsidRDefault="00365827" w:rsidP="000C15B1">
            <w:pPr>
              <w:ind w:left="0" w:right="0" w:firstLine="284"/>
              <w:rPr>
                <w:sz w:val="20"/>
                <w:szCs w:val="20"/>
              </w:rPr>
            </w:pPr>
            <w:r w:rsidRPr="00365827">
              <w:rPr>
                <w:sz w:val="20"/>
                <w:szCs w:val="20"/>
              </w:rPr>
              <w:t>Другой причиной являлось отсутствие в 2018 году и начале 2019 года интереса кредитных организаций выдавать и рефинансировать кредиты из-за снижения доходности по портфелю ранее выданных по более высокой ставке кредитов и вновь выдаваемых кредитов. В целях повышения заинтересованности участников Программы внесены изменения в постановление Правительства Российской Федерации от 30 декабря 2017 г. № 1711, увеличивающие размер выплачиваемой субсидии кредитным организациям на 2 % годовых, и продлившие срок выплаты субсидии на весь срок кредита.</w:t>
            </w:r>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национальном проекте</w:t>
            </w:r>
            <w:r w:rsidRPr="00365827">
              <w:rPr>
                <w:sz w:val="20"/>
                <w:szCs w:val="20"/>
              </w:rPr>
              <w:t xml:space="preserve"> «Демография» установлено на 2019 год 5 показателей, из которых по оценке Росстата в IV квартале 2019 года достигнуты плановые значения, установленные на конец года, 4 показателей. </w:t>
            </w:r>
          </w:p>
          <w:p w:rsidR="00365827" w:rsidRPr="00365827" w:rsidRDefault="00365827" w:rsidP="000C15B1">
            <w:pPr>
              <w:ind w:left="0" w:right="0" w:firstLine="284"/>
              <w:rPr>
                <w:sz w:val="20"/>
                <w:szCs w:val="20"/>
              </w:rPr>
            </w:pPr>
            <w:r w:rsidRPr="00365827">
              <w:rPr>
                <w:sz w:val="20"/>
                <w:szCs w:val="20"/>
              </w:rPr>
              <w:t xml:space="preserve">По всем показателям </w:t>
            </w:r>
            <w:r w:rsidRPr="00365827">
              <w:rPr>
                <w:sz w:val="20"/>
                <w:szCs w:val="20"/>
                <w:lang w:eastAsia="en-US"/>
              </w:rPr>
              <w:t>национального проекта</w:t>
            </w:r>
            <w:r w:rsidRPr="00365827">
              <w:rPr>
                <w:sz w:val="20"/>
                <w:szCs w:val="20"/>
              </w:rPr>
              <w:t xml:space="preserve"> в отчете представлены прогнозные значения, фактические значения в соответствии с Федеральным планом статистических работ будут представлены в сроки с 1 марта по 21 августа 2020 года. </w:t>
            </w:r>
          </w:p>
          <w:p w:rsidR="00365827" w:rsidRPr="00365827" w:rsidRDefault="00365827" w:rsidP="000C15B1">
            <w:pPr>
              <w:ind w:left="0" w:right="0" w:firstLine="284"/>
              <w:rPr>
                <w:sz w:val="20"/>
                <w:szCs w:val="20"/>
              </w:rPr>
            </w:pPr>
            <w:r w:rsidRPr="00365827">
              <w:rPr>
                <w:sz w:val="20"/>
                <w:szCs w:val="20"/>
              </w:rPr>
              <w:t>Не достигнуто значение показателя «Увеличение суммарного коэффициента рождаемости (до 1,7 детей на одну женщину)» (при плановом значении 1,63 в IV квартале 2019 года значение показателя по оценке Росстата составило 1,503).</w:t>
            </w:r>
          </w:p>
          <w:p w:rsidR="00365827" w:rsidRPr="00365827" w:rsidRDefault="00365827" w:rsidP="000C15B1">
            <w:pPr>
              <w:ind w:left="0" w:right="0" w:firstLine="284"/>
              <w:rPr>
                <w:sz w:val="20"/>
                <w:szCs w:val="20"/>
              </w:rPr>
            </w:pPr>
            <w:r w:rsidRPr="00365827">
              <w:rPr>
                <w:sz w:val="20"/>
                <w:szCs w:val="20"/>
              </w:rPr>
              <w:t xml:space="preserve">Анализ отчетов о ходе реализации </w:t>
            </w:r>
            <w:r w:rsidRPr="00365827">
              <w:rPr>
                <w:sz w:val="20"/>
                <w:szCs w:val="20"/>
                <w:lang w:eastAsia="en-US"/>
              </w:rPr>
              <w:t>национального проекта</w:t>
            </w:r>
            <w:r w:rsidRPr="00365827">
              <w:rPr>
                <w:sz w:val="20"/>
                <w:szCs w:val="20"/>
              </w:rPr>
              <w:t xml:space="preserve"> «Демография» и входящих в него федеральных и региональных проектов, показал, что во всех отчетах процент достижения значений показателей указан некорректно. </w:t>
            </w:r>
          </w:p>
          <w:p w:rsidR="00365827" w:rsidRPr="00365827" w:rsidRDefault="00365827" w:rsidP="000C15B1">
            <w:pPr>
              <w:ind w:left="0" w:right="0" w:firstLine="284"/>
              <w:rPr>
                <w:sz w:val="20"/>
                <w:szCs w:val="20"/>
              </w:rPr>
            </w:pPr>
            <w:proofErr w:type="gramStart"/>
            <w:r w:rsidRPr="00365827">
              <w:rPr>
                <w:sz w:val="20"/>
                <w:szCs w:val="20"/>
              </w:rPr>
              <w:t xml:space="preserve">Так, при достижении результата меньше установленного планового значения, процент достижения значения показателя рассчитывается как процентное соотношение фактического значения показателя к плановому значению показателя, а при достижении результата больше установленного планового значения процент достижения указывается 100 % независимо от уровня превышения планового значения (которое может составлять до 4 раз и свидетельствовать о необоснованности установления плановых значений). </w:t>
            </w:r>
            <w:proofErr w:type="gramEnd"/>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федеральном проекте</w:t>
            </w:r>
            <w:r w:rsidRPr="00365827">
              <w:rPr>
                <w:sz w:val="20"/>
                <w:szCs w:val="20"/>
              </w:rPr>
              <w:t xml:space="preserve"> «Финансовая поддержка семей при рождении детей» предусмотрено шесть показателей, три из которых установлены с 2020 года.</w:t>
            </w:r>
          </w:p>
          <w:p w:rsidR="00365827" w:rsidRPr="00365827" w:rsidRDefault="00365827" w:rsidP="000C15B1">
            <w:pPr>
              <w:ind w:left="0" w:right="0" w:firstLine="284"/>
              <w:rPr>
                <w:sz w:val="20"/>
                <w:szCs w:val="20"/>
              </w:rPr>
            </w:pPr>
            <w:r w:rsidRPr="00365827">
              <w:rPr>
                <w:sz w:val="20"/>
                <w:szCs w:val="20"/>
              </w:rPr>
              <w:t>По показателям, установленным на 2019 год, предварительные значения за 2019 год будут предоставлены (распространены) 15 марта 2020 года, уточненные данные – 15 августа 2020 года.</w:t>
            </w:r>
          </w:p>
          <w:p w:rsidR="00365827" w:rsidRPr="00365827" w:rsidRDefault="00365827" w:rsidP="000C15B1">
            <w:pPr>
              <w:ind w:left="0" w:right="0" w:firstLine="284"/>
              <w:rPr>
                <w:sz w:val="20"/>
                <w:szCs w:val="20"/>
              </w:rPr>
            </w:pPr>
            <w:r w:rsidRPr="00365827">
              <w:rPr>
                <w:sz w:val="20"/>
                <w:szCs w:val="20"/>
              </w:rPr>
              <w:t xml:space="preserve">Как следует из отчета Минтруда России, в IV квартале 2019 года значение показателя «коэффициенты рождаемости в возрастной группе 25 - 29 лет (число </w:t>
            </w:r>
            <w:r w:rsidRPr="00365827">
              <w:rPr>
                <w:sz w:val="20"/>
                <w:szCs w:val="20"/>
              </w:rPr>
              <w:lastRenderedPageBreak/>
              <w:t>родившихся на 1000 женщин соответствующего возраста)» составило 91,74 при плановом значении на конец года 102,5; показателя «коэффициенты рождаемости в возрастной группе 30 - 34 лет (число родившихся на 1000 женщин соответствующего возраста)» составило 72,72 при плановом значении на конец года 82,8.</w:t>
            </w:r>
          </w:p>
          <w:p w:rsidR="00365827" w:rsidRPr="00365827" w:rsidRDefault="00365827" w:rsidP="000C15B1">
            <w:pPr>
              <w:ind w:left="0" w:right="0" w:firstLine="284"/>
              <w:rPr>
                <w:sz w:val="20"/>
                <w:szCs w:val="20"/>
              </w:rPr>
            </w:pPr>
            <w:r w:rsidRPr="00365827">
              <w:rPr>
                <w:sz w:val="20"/>
                <w:szCs w:val="20"/>
              </w:rPr>
              <w:t xml:space="preserve">Указанные значения позволяют с высокой степенью </w:t>
            </w:r>
            <w:r w:rsidRPr="00E363FF">
              <w:rPr>
                <w:b/>
                <w:sz w:val="20"/>
                <w:szCs w:val="20"/>
              </w:rPr>
              <w:t xml:space="preserve">прогнозировать </w:t>
            </w:r>
            <w:proofErr w:type="spellStart"/>
            <w:r w:rsidRPr="00E363FF">
              <w:rPr>
                <w:b/>
                <w:sz w:val="20"/>
                <w:szCs w:val="20"/>
              </w:rPr>
              <w:t>недостижение</w:t>
            </w:r>
            <w:proofErr w:type="spellEnd"/>
            <w:r w:rsidRPr="00365827">
              <w:rPr>
                <w:sz w:val="20"/>
                <w:szCs w:val="20"/>
              </w:rPr>
              <w:t xml:space="preserve"> обоих показателей по итогам 2019 года.</w:t>
            </w:r>
          </w:p>
          <w:p w:rsidR="00365827" w:rsidRPr="00365827" w:rsidRDefault="00365827" w:rsidP="000C15B1">
            <w:pPr>
              <w:ind w:left="0" w:right="0" w:firstLine="284"/>
              <w:rPr>
                <w:sz w:val="20"/>
                <w:szCs w:val="20"/>
              </w:rPr>
            </w:pPr>
            <w:r w:rsidRPr="00365827">
              <w:rPr>
                <w:sz w:val="20"/>
                <w:szCs w:val="20"/>
              </w:rPr>
              <w:t>Значение показателя «суммарный коэффициент рождаемости» в IV квартале 2019 года составило 1,503 при плановом значении 1,63. Минтруд России сообщает о существовании риска снижения суммарного коэффициента рождаемости. Причина риска - снижение численности женщин фертильного возраста.</w:t>
            </w:r>
          </w:p>
          <w:p w:rsidR="00365827" w:rsidRPr="00365827" w:rsidRDefault="00365827" w:rsidP="000C15B1">
            <w:pPr>
              <w:ind w:left="0" w:right="0" w:firstLine="284"/>
              <w:rPr>
                <w:sz w:val="20"/>
                <w:szCs w:val="20"/>
              </w:rPr>
            </w:pPr>
            <w:r w:rsidRPr="00365827">
              <w:rPr>
                <w:sz w:val="20"/>
                <w:szCs w:val="20"/>
              </w:rPr>
              <w:t>В то же время в разделе «Общий статус реализации» отчета сообщается об отсутствии отклонений по критериям «Риски» и «Показатели».</w:t>
            </w:r>
          </w:p>
          <w:p w:rsidR="00365827" w:rsidRPr="00365827" w:rsidRDefault="00365827" w:rsidP="000C15B1">
            <w:pPr>
              <w:ind w:left="0" w:right="0" w:firstLine="284"/>
              <w:rPr>
                <w:sz w:val="20"/>
                <w:szCs w:val="20"/>
              </w:rPr>
            </w:pPr>
            <w:r w:rsidRPr="00365827">
              <w:rPr>
                <w:sz w:val="20"/>
                <w:szCs w:val="20"/>
              </w:rPr>
              <w:t xml:space="preserve">При этом </w:t>
            </w:r>
            <w:proofErr w:type="spellStart"/>
            <w:r w:rsidRPr="00365827">
              <w:rPr>
                <w:sz w:val="20"/>
                <w:szCs w:val="20"/>
              </w:rPr>
              <w:t>недостижение</w:t>
            </w:r>
            <w:proofErr w:type="spellEnd"/>
            <w:r w:rsidRPr="00365827">
              <w:rPr>
                <w:sz w:val="20"/>
                <w:szCs w:val="20"/>
              </w:rPr>
              <w:t xml:space="preserve"> всех установленных показателей федерального проекта происходит в условиях, когда все контрольные точки проекта достигнуты либо их достижение прогнозируется.</w:t>
            </w:r>
          </w:p>
          <w:p w:rsidR="00365827" w:rsidRPr="00365827" w:rsidRDefault="00365827" w:rsidP="000C15B1">
            <w:pPr>
              <w:ind w:left="0" w:right="0" w:firstLine="284"/>
              <w:rPr>
                <w:sz w:val="20"/>
                <w:szCs w:val="20"/>
              </w:rPr>
            </w:pPr>
            <w:r w:rsidRPr="00365827">
              <w:rPr>
                <w:sz w:val="20"/>
                <w:szCs w:val="20"/>
              </w:rPr>
              <w:t xml:space="preserve">Таким образом, показатели </w:t>
            </w:r>
            <w:r w:rsidRPr="00365827">
              <w:rPr>
                <w:sz w:val="20"/>
                <w:szCs w:val="20"/>
                <w:lang w:eastAsia="en-US"/>
              </w:rPr>
              <w:t>федерального проекта</w:t>
            </w:r>
            <w:r w:rsidRPr="00365827">
              <w:rPr>
                <w:sz w:val="20"/>
                <w:szCs w:val="20"/>
              </w:rPr>
              <w:t xml:space="preserve"> «Финансовая поддержка семей при рождении детей» </w:t>
            </w:r>
            <w:r w:rsidRPr="00E363FF">
              <w:rPr>
                <w:b/>
                <w:sz w:val="20"/>
                <w:szCs w:val="20"/>
              </w:rPr>
              <w:t>не отражают</w:t>
            </w:r>
            <w:r w:rsidRPr="00365827">
              <w:rPr>
                <w:sz w:val="20"/>
                <w:szCs w:val="20"/>
              </w:rPr>
              <w:t xml:space="preserve"> сути реализуемых в рамках </w:t>
            </w:r>
            <w:r w:rsidRPr="00365827">
              <w:rPr>
                <w:sz w:val="20"/>
                <w:szCs w:val="20"/>
                <w:lang w:eastAsia="en-US"/>
              </w:rPr>
              <w:t>федерального проекта</w:t>
            </w:r>
            <w:r w:rsidRPr="00365827">
              <w:rPr>
                <w:sz w:val="20"/>
                <w:szCs w:val="20"/>
              </w:rPr>
              <w:t xml:space="preserve"> мероприятий и </w:t>
            </w:r>
            <w:r w:rsidRPr="00E363FF">
              <w:rPr>
                <w:b/>
                <w:sz w:val="20"/>
                <w:szCs w:val="20"/>
              </w:rPr>
              <w:t>слабо с ними связаны</w:t>
            </w:r>
            <w:r w:rsidRPr="00365827">
              <w:rPr>
                <w:sz w:val="20"/>
                <w:szCs w:val="20"/>
              </w:rPr>
              <w:t xml:space="preserve">. При этом на достижение показателей влияет более широкий круг мероприятий, чем предусмотрено в рамках </w:t>
            </w:r>
            <w:r w:rsidRPr="00365827">
              <w:rPr>
                <w:sz w:val="20"/>
                <w:szCs w:val="20"/>
                <w:lang w:eastAsia="en-US"/>
              </w:rPr>
              <w:t>федерального проекта</w:t>
            </w:r>
            <w:r w:rsidRPr="00365827">
              <w:rPr>
                <w:sz w:val="20"/>
                <w:szCs w:val="20"/>
              </w:rPr>
              <w:t>, их достижение обусловлено факторами, неподдающимися управлению (численность женщин в репродуктивном возрасте, репродуктивные установки и т.д.).</w:t>
            </w:r>
          </w:p>
          <w:p w:rsidR="00365827" w:rsidRPr="00365827" w:rsidRDefault="00365827" w:rsidP="000C15B1">
            <w:pPr>
              <w:ind w:left="0" w:right="0" w:firstLine="284"/>
              <w:rPr>
                <w:sz w:val="20"/>
                <w:szCs w:val="20"/>
              </w:rPr>
            </w:pPr>
            <w:r w:rsidRPr="00365827">
              <w:rPr>
                <w:sz w:val="20"/>
                <w:szCs w:val="20"/>
              </w:rPr>
              <w:t xml:space="preserve">Таким образом, отследить по динамике показателей эффективность реализации </w:t>
            </w:r>
            <w:r w:rsidRPr="00365827">
              <w:rPr>
                <w:sz w:val="20"/>
                <w:szCs w:val="20"/>
                <w:lang w:eastAsia="en-US"/>
              </w:rPr>
              <w:t>федерального проекта</w:t>
            </w:r>
            <w:r w:rsidRPr="00365827">
              <w:rPr>
                <w:sz w:val="20"/>
                <w:szCs w:val="20"/>
              </w:rPr>
              <w:t xml:space="preserve"> не представляется возможным.</w:t>
            </w:r>
          </w:p>
          <w:p w:rsidR="00365827" w:rsidRPr="00365827" w:rsidRDefault="00365827" w:rsidP="000C15B1">
            <w:pPr>
              <w:ind w:left="0" w:right="0" w:firstLine="284"/>
              <w:rPr>
                <w:sz w:val="20"/>
                <w:szCs w:val="20"/>
              </w:rPr>
            </w:pPr>
            <w:r w:rsidRPr="00365827">
              <w:rPr>
                <w:sz w:val="20"/>
                <w:szCs w:val="20"/>
              </w:rPr>
              <w:t xml:space="preserve">Ряд субъектов Российской Федерации сообщает о том, что существует риск </w:t>
            </w:r>
            <w:proofErr w:type="spellStart"/>
            <w:r w:rsidRPr="00365827">
              <w:rPr>
                <w:sz w:val="20"/>
                <w:szCs w:val="20"/>
              </w:rPr>
              <w:t>недостижения</w:t>
            </w:r>
            <w:proofErr w:type="spellEnd"/>
            <w:r w:rsidRPr="00365827">
              <w:rPr>
                <w:sz w:val="20"/>
                <w:szCs w:val="20"/>
              </w:rPr>
              <w:t xml:space="preserve"> плановых показателей (аналогичных показателям </w:t>
            </w:r>
            <w:r w:rsidRPr="00365827">
              <w:rPr>
                <w:sz w:val="20"/>
                <w:szCs w:val="20"/>
                <w:lang w:eastAsia="en-US"/>
              </w:rPr>
              <w:t>федерального проекта</w:t>
            </w:r>
            <w:r w:rsidRPr="00365827">
              <w:rPr>
                <w:sz w:val="20"/>
                <w:szCs w:val="20"/>
              </w:rPr>
              <w:t>) при реализации региональных проектов «Финансовая поддержка семей при рождении детей».</w:t>
            </w:r>
          </w:p>
          <w:p w:rsidR="00365827" w:rsidRPr="00365827" w:rsidRDefault="00365827" w:rsidP="000C15B1">
            <w:pPr>
              <w:ind w:left="0" w:right="0" w:firstLine="284"/>
              <w:rPr>
                <w:sz w:val="20"/>
                <w:szCs w:val="20"/>
              </w:rPr>
            </w:pPr>
            <w:r w:rsidRPr="00365827">
              <w:rPr>
                <w:sz w:val="20"/>
                <w:szCs w:val="20"/>
              </w:rPr>
              <w:t xml:space="preserve">В качестве причин рисков указываются </w:t>
            </w:r>
            <w:proofErr w:type="gramStart"/>
            <w:r w:rsidRPr="00365827">
              <w:rPr>
                <w:sz w:val="20"/>
                <w:szCs w:val="20"/>
              </w:rPr>
              <w:t>следующие</w:t>
            </w:r>
            <w:proofErr w:type="gramEnd"/>
            <w:r w:rsidRPr="00365827">
              <w:rPr>
                <w:sz w:val="20"/>
                <w:szCs w:val="20"/>
              </w:rPr>
              <w:t>:</w:t>
            </w:r>
          </w:p>
          <w:p w:rsidR="00365827" w:rsidRPr="00365827" w:rsidRDefault="00365827" w:rsidP="000C15B1">
            <w:pPr>
              <w:ind w:left="0" w:right="0" w:firstLine="284"/>
              <w:rPr>
                <w:sz w:val="20"/>
                <w:szCs w:val="20"/>
              </w:rPr>
            </w:pPr>
            <w:r w:rsidRPr="00365827">
              <w:rPr>
                <w:sz w:val="20"/>
                <w:szCs w:val="20"/>
              </w:rPr>
              <w:t>снижение численности женщин фертильного возраста, в том числе в «пиковом» возрасте (25 - 34 года);</w:t>
            </w:r>
          </w:p>
          <w:p w:rsidR="00365827" w:rsidRPr="00365827" w:rsidRDefault="00365827" w:rsidP="000C15B1">
            <w:pPr>
              <w:ind w:left="0" w:right="0" w:firstLine="284"/>
              <w:rPr>
                <w:sz w:val="20"/>
                <w:szCs w:val="20"/>
              </w:rPr>
            </w:pPr>
            <w:r w:rsidRPr="00365827">
              <w:rPr>
                <w:sz w:val="20"/>
                <w:szCs w:val="20"/>
              </w:rPr>
              <w:t xml:space="preserve">увеличение среднего возраста матери, откладывание рождения детей </w:t>
            </w:r>
            <w:proofErr w:type="gramStart"/>
            <w:r w:rsidRPr="00365827">
              <w:rPr>
                <w:sz w:val="20"/>
                <w:szCs w:val="20"/>
              </w:rPr>
              <w:t>на</w:t>
            </w:r>
            <w:proofErr w:type="gramEnd"/>
            <w:r w:rsidRPr="00365827">
              <w:rPr>
                <w:sz w:val="20"/>
                <w:szCs w:val="20"/>
              </w:rPr>
              <w:t xml:space="preserve"> более поздние возраста;</w:t>
            </w:r>
          </w:p>
          <w:p w:rsidR="00365827" w:rsidRPr="00365827" w:rsidRDefault="00365827" w:rsidP="000C15B1">
            <w:pPr>
              <w:ind w:left="0" w:right="0" w:firstLine="284"/>
              <w:rPr>
                <w:sz w:val="20"/>
                <w:szCs w:val="20"/>
              </w:rPr>
            </w:pPr>
            <w:r w:rsidRPr="00365827">
              <w:rPr>
                <w:sz w:val="20"/>
                <w:szCs w:val="20"/>
              </w:rPr>
              <w:t>снижение числа первых рождений;</w:t>
            </w:r>
          </w:p>
          <w:p w:rsidR="00365827" w:rsidRPr="00365827" w:rsidRDefault="00365827" w:rsidP="000C15B1">
            <w:pPr>
              <w:ind w:left="0" w:right="0" w:firstLine="284"/>
              <w:rPr>
                <w:sz w:val="20"/>
                <w:szCs w:val="20"/>
              </w:rPr>
            </w:pPr>
            <w:r w:rsidRPr="00365827">
              <w:rPr>
                <w:sz w:val="20"/>
                <w:szCs w:val="20"/>
              </w:rPr>
              <w:t>миграционный отток населения, в первую очередь молодежи, в другие субъекты Российской Федерации;</w:t>
            </w:r>
          </w:p>
          <w:p w:rsidR="00365827" w:rsidRPr="00365827" w:rsidRDefault="00365827" w:rsidP="000C15B1">
            <w:pPr>
              <w:ind w:left="0" w:right="0" w:firstLine="284"/>
              <w:rPr>
                <w:sz w:val="20"/>
                <w:szCs w:val="20"/>
              </w:rPr>
            </w:pPr>
            <w:r w:rsidRPr="00365827">
              <w:rPr>
                <w:sz w:val="20"/>
                <w:szCs w:val="20"/>
              </w:rPr>
              <w:t>напряженность доведенных до региона показателей.</w:t>
            </w:r>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федеральном проекте</w:t>
            </w:r>
            <w:r w:rsidRPr="00365827">
              <w:rPr>
                <w:sz w:val="20"/>
                <w:szCs w:val="20"/>
              </w:rPr>
              <w:t xml:space="preserve"> «Содействие занятости женщин» предусмотрено пять показателей, один из которых установлен с 2020 года.</w:t>
            </w:r>
          </w:p>
          <w:p w:rsidR="00365827" w:rsidRPr="00365827" w:rsidRDefault="00365827" w:rsidP="000C15B1">
            <w:pPr>
              <w:ind w:left="0" w:right="0" w:firstLine="284"/>
              <w:rPr>
                <w:sz w:val="20"/>
                <w:szCs w:val="20"/>
              </w:rPr>
            </w:pPr>
            <w:r w:rsidRPr="00365827">
              <w:rPr>
                <w:sz w:val="20"/>
                <w:szCs w:val="20"/>
              </w:rPr>
              <w:t xml:space="preserve">Согласно отчету </w:t>
            </w:r>
            <w:r w:rsidRPr="00365827">
              <w:rPr>
                <w:sz w:val="20"/>
                <w:szCs w:val="20"/>
                <w:lang w:eastAsia="en-US"/>
              </w:rPr>
              <w:t>федерального проекта</w:t>
            </w:r>
            <w:r w:rsidRPr="00365827">
              <w:rPr>
                <w:sz w:val="20"/>
                <w:szCs w:val="20"/>
              </w:rPr>
              <w:t xml:space="preserve"> «Содействие занятости женщин» за 2019 год, размещенному в системе ГИИС «Электронный бюджет», все четыре установленные показатели </w:t>
            </w:r>
            <w:r w:rsidRPr="00365827">
              <w:rPr>
                <w:sz w:val="20"/>
                <w:szCs w:val="20"/>
                <w:lang w:eastAsia="en-US"/>
              </w:rPr>
              <w:t>федерального проекта</w:t>
            </w:r>
            <w:r w:rsidRPr="00365827">
              <w:rPr>
                <w:sz w:val="20"/>
                <w:szCs w:val="20"/>
              </w:rPr>
              <w:t xml:space="preserve"> выполнены.</w:t>
            </w:r>
          </w:p>
          <w:p w:rsidR="00365827" w:rsidRPr="00365827" w:rsidRDefault="00365827" w:rsidP="000C15B1">
            <w:pPr>
              <w:ind w:left="0" w:right="0" w:firstLine="284"/>
              <w:rPr>
                <w:sz w:val="20"/>
                <w:szCs w:val="20"/>
              </w:rPr>
            </w:pPr>
            <w:r w:rsidRPr="00365827">
              <w:rPr>
                <w:sz w:val="20"/>
                <w:szCs w:val="20"/>
              </w:rPr>
              <w:t xml:space="preserve">Анализ 39 региональных отчетов (по состоянию на 24 января 2020 года) за 2019 год показал, что </w:t>
            </w:r>
            <w:r w:rsidRPr="00E363FF">
              <w:rPr>
                <w:b/>
                <w:sz w:val="20"/>
                <w:szCs w:val="20"/>
              </w:rPr>
              <w:t>по отдельным регионам не достигнуты</w:t>
            </w:r>
            <w:r w:rsidRPr="00365827">
              <w:rPr>
                <w:sz w:val="20"/>
                <w:szCs w:val="20"/>
              </w:rPr>
              <w:t xml:space="preserve"> установленные значения показателей.</w:t>
            </w:r>
          </w:p>
          <w:p w:rsidR="00365827" w:rsidRPr="00365827" w:rsidRDefault="00365827" w:rsidP="000C15B1">
            <w:pPr>
              <w:ind w:left="0" w:right="0" w:firstLine="284"/>
              <w:rPr>
                <w:sz w:val="20"/>
                <w:szCs w:val="20"/>
              </w:rPr>
            </w:pPr>
            <w:proofErr w:type="gramStart"/>
            <w:r w:rsidRPr="00365827">
              <w:rPr>
                <w:sz w:val="20"/>
                <w:szCs w:val="20"/>
              </w:rPr>
              <w:t>Так, по показателю «Уровень занятости женщин, имеющих детей дошкольного возраста» не достигнуто значение в 2 регионах, по показателю «Численность воспитанников в возрасте до трех лет, посещающих государственные и муниципальн</w:t>
            </w:r>
            <w:r w:rsidR="002645E9">
              <w:rPr>
                <w:sz w:val="20"/>
                <w:szCs w:val="20"/>
              </w:rPr>
              <w:t>ые организации» - в 10 регионах</w:t>
            </w:r>
            <w:r w:rsidRPr="00365827">
              <w:rPr>
                <w:sz w:val="20"/>
                <w:szCs w:val="20"/>
              </w:rPr>
              <w:t>, по показателю «Численность воспитанников в возрасте до трех лет, посещающих частные организации» - в 4 регионах, по показателю «Доступность дошкольного образования для детей в возрасте от полутора до</w:t>
            </w:r>
            <w:proofErr w:type="gramEnd"/>
            <w:r w:rsidRPr="00365827">
              <w:rPr>
                <w:sz w:val="20"/>
                <w:szCs w:val="20"/>
              </w:rPr>
              <w:t xml:space="preserve"> трех лет» - в 3 регионах.</w:t>
            </w:r>
          </w:p>
          <w:p w:rsidR="00365827" w:rsidRPr="00365827" w:rsidRDefault="00365827" w:rsidP="000C15B1">
            <w:pPr>
              <w:ind w:left="0" w:right="0" w:firstLine="284"/>
              <w:rPr>
                <w:sz w:val="20"/>
                <w:szCs w:val="20"/>
              </w:rPr>
            </w:pPr>
            <w:r w:rsidRPr="00365827">
              <w:rPr>
                <w:sz w:val="20"/>
                <w:szCs w:val="20"/>
              </w:rPr>
              <w:t>В разделе отчета «Общий статус реализации» сообщается о наличии некритических отклонений (желтый индикатор) по критериям «Результаты» и «Контрольные точки».</w:t>
            </w:r>
          </w:p>
          <w:p w:rsidR="00365827" w:rsidRPr="00365827" w:rsidRDefault="00365827" w:rsidP="000C15B1">
            <w:pPr>
              <w:ind w:left="0" w:right="0" w:firstLine="284"/>
              <w:rPr>
                <w:sz w:val="20"/>
                <w:szCs w:val="20"/>
              </w:rPr>
            </w:pPr>
            <w:r w:rsidRPr="00365827">
              <w:rPr>
                <w:sz w:val="20"/>
                <w:szCs w:val="20"/>
              </w:rPr>
              <w:t xml:space="preserve">Так, Минтрудом России отмечен риск </w:t>
            </w:r>
            <w:proofErr w:type="spellStart"/>
            <w:r w:rsidRPr="00365827">
              <w:rPr>
                <w:sz w:val="20"/>
                <w:szCs w:val="20"/>
              </w:rPr>
              <w:t>недостижения</w:t>
            </w:r>
            <w:proofErr w:type="spellEnd"/>
            <w:r w:rsidRPr="00365827">
              <w:rPr>
                <w:sz w:val="20"/>
                <w:szCs w:val="20"/>
              </w:rPr>
              <w:t xml:space="preserve"> результата и соответствующей контрольной точки по созданию в 2019 году не менее 90 тыс. дополнительных мест в дошкольных образовательных организациях для детей в возрасте до 3 лет. Отчет о достижении данного результата будет размещен в ГИИС «Электронный бюджет» 15 февраля 2020 года после получения отчетов регионов об использовании иных межбюджетных трансфертов на указанные цели. </w:t>
            </w:r>
          </w:p>
          <w:p w:rsidR="00365827" w:rsidRPr="00365827" w:rsidRDefault="00365827" w:rsidP="000C15B1">
            <w:pPr>
              <w:ind w:left="0" w:right="0" w:firstLine="284"/>
              <w:rPr>
                <w:sz w:val="20"/>
                <w:szCs w:val="20"/>
              </w:rPr>
            </w:pPr>
            <w:r w:rsidRPr="00365827">
              <w:rPr>
                <w:sz w:val="20"/>
                <w:szCs w:val="20"/>
              </w:rPr>
              <w:lastRenderedPageBreak/>
              <w:t>Согласно отчетам регионов, размещенным в системе ГИИС «Электронный бюджет», 8 регионов не достигли результата по созданию новых мест в яслях, в двух регионах - Кабардино-Балкарской Республике и Новгородской области ни один объект не введен в эксплуатацию.</w:t>
            </w:r>
          </w:p>
          <w:p w:rsidR="00365827" w:rsidRPr="00365827" w:rsidRDefault="00365827" w:rsidP="000C15B1">
            <w:pPr>
              <w:ind w:left="0" w:right="0" w:firstLine="284"/>
              <w:rPr>
                <w:sz w:val="20"/>
                <w:szCs w:val="20"/>
              </w:rPr>
            </w:pPr>
            <w:proofErr w:type="gramStart"/>
            <w:r w:rsidRPr="00365827">
              <w:rPr>
                <w:sz w:val="20"/>
                <w:szCs w:val="20"/>
              </w:rPr>
              <w:t xml:space="preserve">По информации регионов риск </w:t>
            </w:r>
            <w:proofErr w:type="spellStart"/>
            <w:r w:rsidRPr="00365827">
              <w:rPr>
                <w:sz w:val="20"/>
                <w:szCs w:val="20"/>
              </w:rPr>
              <w:t>недостижения</w:t>
            </w:r>
            <w:proofErr w:type="spellEnd"/>
            <w:r w:rsidRPr="00365827">
              <w:rPr>
                <w:sz w:val="20"/>
                <w:szCs w:val="20"/>
              </w:rPr>
              <w:t xml:space="preserve"> результата обусловлен поздним проведением конкурсных процедур на выполнение работ регионами; несоответствием выбранной проектной документации текущим нормам и требованиям; увеличением сроков разработки и проведения государственной экспертизы проектной документации объектов строительства; поздним внесением проектной документации в реестр экономически эффективной проектной документации Минстроя России; несвоевременным заключением контрактов с генеральными подрядчиками.</w:t>
            </w:r>
            <w:proofErr w:type="gramEnd"/>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федеральном проекте</w:t>
            </w:r>
            <w:r w:rsidRPr="00365827">
              <w:rPr>
                <w:sz w:val="20"/>
                <w:szCs w:val="20"/>
              </w:rPr>
              <w:t xml:space="preserve"> «Старшее поколение» предусмотрено семь показателей, на 2019 год установлены плановые значения по пяти показателям.</w:t>
            </w:r>
          </w:p>
          <w:p w:rsidR="00365827" w:rsidRPr="00365827" w:rsidRDefault="00365827" w:rsidP="000C15B1">
            <w:pPr>
              <w:ind w:left="0" w:right="0" w:firstLine="284"/>
              <w:rPr>
                <w:sz w:val="20"/>
                <w:szCs w:val="20"/>
              </w:rPr>
            </w:pPr>
            <w:r w:rsidRPr="00365827">
              <w:rPr>
                <w:sz w:val="20"/>
                <w:szCs w:val="20"/>
              </w:rPr>
              <w:t xml:space="preserve">Согласно отчету </w:t>
            </w:r>
            <w:r w:rsidRPr="00365827">
              <w:rPr>
                <w:sz w:val="20"/>
                <w:szCs w:val="20"/>
                <w:lang w:eastAsia="en-US"/>
              </w:rPr>
              <w:t>федерального проекта</w:t>
            </w:r>
            <w:r w:rsidRPr="00365827">
              <w:rPr>
                <w:sz w:val="20"/>
                <w:szCs w:val="20"/>
              </w:rPr>
              <w:t xml:space="preserve"> «Старшее поколение» за 2019 год, размещенному в системе ГИИС «Электронный бюджет», не достигнуто установленное значение по одному показателю. Прогнозное значение показателя «Ожидаемая продолжительность жизни граждан в возрасте 55 лет» в IV квартале 2019 года составило 23,66 года при плановом значении 24,82 года, уровень исполнения – 95,3 %. </w:t>
            </w:r>
          </w:p>
          <w:p w:rsidR="00365827" w:rsidRPr="00365827" w:rsidRDefault="00365827" w:rsidP="000C15B1">
            <w:pPr>
              <w:ind w:left="0" w:right="0" w:firstLine="284"/>
              <w:rPr>
                <w:sz w:val="20"/>
                <w:szCs w:val="20"/>
              </w:rPr>
            </w:pPr>
            <w:r w:rsidRPr="00365827">
              <w:rPr>
                <w:sz w:val="20"/>
                <w:szCs w:val="20"/>
              </w:rPr>
              <w:t xml:space="preserve">Минтрудом России прогнозируется риск </w:t>
            </w:r>
            <w:proofErr w:type="spellStart"/>
            <w:r w:rsidRPr="00365827">
              <w:rPr>
                <w:sz w:val="20"/>
                <w:szCs w:val="20"/>
              </w:rPr>
              <w:t>недостижения</w:t>
            </w:r>
            <w:proofErr w:type="spellEnd"/>
            <w:r w:rsidRPr="00365827">
              <w:rPr>
                <w:sz w:val="20"/>
                <w:szCs w:val="20"/>
              </w:rPr>
              <w:t xml:space="preserve"> показателя по итогам 2019 года с вероятностью 40 %.</w:t>
            </w:r>
          </w:p>
          <w:p w:rsidR="00365827" w:rsidRPr="00365827" w:rsidRDefault="00365827" w:rsidP="000C15B1">
            <w:pPr>
              <w:ind w:left="0" w:right="0" w:firstLine="284"/>
              <w:rPr>
                <w:sz w:val="20"/>
                <w:szCs w:val="20"/>
              </w:rPr>
            </w:pPr>
            <w:r w:rsidRPr="00365827">
              <w:rPr>
                <w:sz w:val="20"/>
                <w:szCs w:val="20"/>
              </w:rPr>
              <w:t xml:space="preserve">Остальные четыре показателя </w:t>
            </w:r>
            <w:r w:rsidRPr="00365827">
              <w:rPr>
                <w:sz w:val="20"/>
                <w:szCs w:val="20"/>
                <w:lang w:eastAsia="en-US"/>
              </w:rPr>
              <w:t>федерального проекта</w:t>
            </w:r>
            <w:r w:rsidRPr="00365827">
              <w:rPr>
                <w:sz w:val="20"/>
                <w:szCs w:val="20"/>
              </w:rPr>
              <w:t xml:space="preserve"> «Старшее поколение» выполнены, однако анализ 39 региональных отчетов за 2019 год (по состоянию на 24 января 2020 года) показал, что по отдельным регионам не достигнуты установленные значения. </w:t>
            </w:r>
          </w:p>
          <w:p w:rsidR="00365827" w:rsidRPr="00365827" w:rsidRDefault="00365827" w:rsidP="000C15B1">
            <w:pPr>
              <w:ind w:left="0" w:right="0" w:firstLine="284"/>
              <w:rPr>
                <w:sz w:val="20"/>
                <w:szCs w:val="20"/>
              </w:rPr>
            </w:pPr>
            <w:r w:rsidRPr="00365827">
              <w:rPr>
                <w:sz w:val="20"/>
                <w:szCs w:val="20"/>
              </w:rPr>
              <w:t xml:space="preserve">Так, не достигнуты плановые значения по показателям: «Уровень госпитализации на геронтологические койки лиц старше 60 лет на 10 тыс. населения соответствующего возраста» в 3 регионах; «Доля лиц старше трудоспособного возраста, у которых выявлены заболевания и патологические состояния, находящихся под диспансерным наблюдением» в 3 регионах. </w:t>
            </w:r>
          </w:p>
          <w:p w:rsidR="00365827" w:rsidRPr="00365827" w:rsidRDefault="00365827" w:rsidP="000C15B1">
            <w:pPr>
              <w:ind w:left="0" w:right="0" w:firstLine="284"/>
              <w:rPr>
                <w:sz w:val="20"/>
                <w:szCs w:val="20"/>
              </w:rPr>
            </w:pPr>
            <w:r w:rsidRPr="00365827">
              <w:rPr>
                <w:sz w:val="20"/>
                <w:szCs w:val="20"/>
              </w:rPr>
              <w:t xml:space="preserve">В то же время практически во всех региональных отчетах уровень достижения значения отдельных показателей </w:t>
            </w:r>
            <w:r w:rsidRPr="00365827">
              <w:rPr>
                <w:sz w:val="20"/>
                <w:szCs w:val="20"/>
                <w:lang w:eastAsia="en-US"/>
              </w:rPr>
              <w:t>федерального проекта</w:t>
            </w:r>
            <w:r w:rsidRPr="00365827">
              <w:rPr>
                <w:sz w:val="20"/>
                <w:szCs w:val="20"/>
              </w:rPr>
              <w:t xml:space="preserve"> «Старшее поколение» существенно превышает плановые значения на 2019 год, что свидетельствует о необоснованности установления плановых значений. При этом в региональных отчетах, сформированных в подсистеме «Управление национальными проектами» </w:t>
            </w:r>
            <w:r w:rsidR="002645E9">
              <w:rPr>
                <w:sz w:val="20"/>
                <w:szCs w:val="20"/>
              </w:rPr>
              <w:t>ГИИС</w:t>
            </w:r>
            <w:r w:rsidRPr="00365827">
              <w:rPr>
                <w:sz w:val="20"/>
                <w:szCs w:val="20"/>
              </w:rPr>
              <w:t xml:space="preserve"> «Электронный бюджет», указывается процент достижения значения показателя равный 100 %. </w:t>
            </w:r>
          </w:p>
          <w:p w:rsidR="00365827" w:rsidRPr="00365827" w:rsidRDefault="00365827" w:rsidP="000C15B1">
            <w:pPr>
              <w:ind w:left="0" w:right="0" w:firstLine="284"/>
              <w:rPr>
                <w:sz w:val="20"/>
                <w:szCs w:val="20"/>
              </w:rPr>
            </w:pPr>
            <w:r w:rsidRPr="00365827">
              <w:rPr>
                <w:sz w:val="20"/>
                <w:szCs w:val="20"/>
              </w:rPr>
              <w:t xml:space="preserve">Так, согласно отчету Республики Татарстан по всем показателям процент исполнения указан в размере 100 %. При этом руководствуясь рекомендациями пункта 1.7 письма Аппарата Правительства Российской Федерации от 28 декабря 2018 г. </w:t>
            </w:r>
            <w:r w:rsidR="000C15B1">
              <w:rPr>
                <w:sz w:val="20"/>
                <w:szCs w:val="20"/>
              </w:rPr>
              <w:br/>
            </w:r>
            <w:r w:rsidRPr="00365827">
              <w:rPr>
                <w:sz w:val="20"/>
                <w:szCs w:val="20"/>
              </w:rPr>
              <w:t>№ П6-69308, проценты достижения значений показателей РП «Старшее поколение» должны составить:</w:t>
            </w:r>
          </w:p>
          <w:p w:rsidR="00365827" w:rsidRPr="00365827" w:rsidRDefault="00365827" w:rsidP="000C15B1">
            <w:pPr>
              <w:ind w:left="0" w:right="0" w:firstLine="284"/>
              <w:rPr>
                <w:sz w:val="20"/>
                <w:szCs w:val="20"/>
              </w:rPr>
            </w:pPr>
            <w:r w:rsidRPr="00365827">
              <w:rPr>
                <w:sz w:val="20"/>
                <w:szCs w:val="20"/>
              </w:rPr>
              <w:t xml:space="preserve">по показателю «Численность лиц в возрасте от 50-ти лет и старше, а также лиц </w:t>
            </w:r>
            <w:proofErr w:type="spellStart"/>
            <w:r w:rsidRPr="00365827">
              <w:rPr>
                <w:sz w:val="20"/>
                <w:szCs w:val="20"/>
              </w:rPr>
              <w:t>предпенсионного</w:t>
            </w:r>
            <w:proofErr w:type="spellEnd"/>
            <w:r w:rsidRPr="00365827">
              <w:rPr>
                <w:sz w:val="20"/>
                <w:szCs w:val="20"/>
              </w:rPr>
              <w:t xml:space="preserve"> возраста, прошедших профессиональное обучение и дополнительное профессиональное образование (в 2019 году - граждан </w:t>
            </w:r>
            <w:proofErr w:type="spellStart"/>
            <w:r w:rsidRPr="00365827">
              <w:rPr>
                <w:sz w:val="20"/>
                <w:szCs w:val="20"/>
              </w:rPr>
              <w:t>предпенсионного</w:t>
            </w:r>
            <w:proofErr w:type="spellEnd"/>
            <w:r w:rsidRPr="00365827">
              <w:rPr>
                <w:sz w:val="20"/>
                <w:szCs w:val="20"/>
              </w:rPr>
              <w:t xml:space="preserve"> возраста)» - 351,4 %;</w:t>
            </w:r>
          </w:p>
          <w:p w:rsidR="00365827" w:rsidRPr="002645E9" w:rsidRDefault="00365827" w:rsidP="000C15B1">
            <w:pPr>
              <w:ind w:left="0" w:right="0" w:firstLine="284"/>
              <w:rPr>
                <w:sz w:val="20"/>
                <w:szCs w:val="20"/>
              </w:rPr>
            </w:pPr>
            <w:r w:rsidRPr="00365827">
              <w:rPr>
                <w:sz w:val="20"/>
                <w:szCs w:val="20"/>
              </w:rPr>
              <w:t>по показателю «Уровень госпитализации на геронтологические койки лиц старше 60 лет на 10 тыс. населения соо</w:t>
            </w:r>
            <w:r w:rsidR="002645E9">
              <w:rPr>
                <w:sz w:val="20"/>
                <w:szCs w:val="20"/>
              </w:rPr>
              <w:t>тветствующего возраста» - 117 %</w:t>
            </w:r>
            <w:r w:rsidR="002645E9" w:rsidRPr="002645E9">
              <w:rPr>
                <w:sz w:val="20"/>
                <w:szCs w:val="20"/>
              </w:rPr>
              <w:t>;</w:t>
            </w:r>
          </w:p>
          <w:p w:rsidR="00365827" w:rsidRPr="00365827" w:rsidRDefault="00365827" w:rsidP="000C15B1">
            <w:pPr>
              <w:ind w:left="0" w:right="0" w:firstLine="284"/>
              <w:rPr>
                <w:sz w:val="20"/>
                <w:szCs w:val="20"/>
              </w:rPr>
            </w:pPr>
            <w:r w:rsidRPr="00365827">
              <w:rPr>
                <w:sz w:val="20"/>
                <w:szCs w:val="20"/>
              </w:rPr>
              <w:t>по показателю «Доля лиц старше трудоспособного возраста, у которых выявлены заболевания и патологические состояния, находящихся под диспансерным наблюдением» - 108,2 %;</w:t>
            </w:r>
          </w:p>
          <w:p w:rsidR="00365827" w:rsidRPr="00365827" w:rsidRDefault="00365827" w:rsidP="000C15B1">
            <w:pPr>
              <w:ind w:left="0" w:right="0" w:firstLine="284"/>
              <w:rPr>
                <w:sz w:val="20"/>
                <w:szCs w:val="20"/>
              </w:rPr>
            </w:pPr>
            <w:r w:rsidRPr="00365827">
              <w:rPr>
                <w:sz w:val="20"/>
                <w:szCs w:val="20"/>
              </w:rPr>
              <w:t>по показателю «Охват граждан старше трудоспособного возраста профилактическими осмотрами, включая диспансеризацию» - 274,7 %.</w:t>
            </w:r>
          </w:p>
          <w:p w:rsidR="00365827" w:rsidRPr="00365827" w:rsidRDefault="00365827" w:rsidP="000C15B1">
            <w:pPr>
              <w:ind w:left="0" w:right="0" w:firstLine="284"/>
              <w:rPr>
                <w:sz w:val="20"/>
                <w:szCs w:val="20"/>
              </w:rPr>
            </w:pPr>
            <w:r w:rsidRPr="00365827">
              <w:rPr>
                <w:sz w:val="20"/>
                <w:szCs w:val="20"/>
              </w:rPr>
              <w:t xml:space="preserve">Результаты мониторинга реализации </w:t>
            </w:r>
            <w:r w:rsidRPr="00365827">
              <w:rPr>
                <w:sz w:val="20"/>
                <w:szCs w:val="20"/>
                <w:lang w:eastAsia="en-US"/>
              </w:rPr>
              <w:t>федерального проекта</w:t>
            </w:r>
            <w:r w:rsidRPr="00365827">
              <w:rPr>
                <w:sz w:val="20"/>
                <w:szCs w:val="20"/>
              </w:rPr>
              <w:t xml:space="preserve"> «Старшее поколение», проводимого Счетной палатой в 2019 году, выявили ряд проблем и рисков достижения результатов федерального проекта.</w:t>
            </w:r>
          </w:p>
          <w:p w:rsidR="00365827" w:rsidRPr="00365827" w:rsidRDefault="00365827" w:rsidP="000C15B1">
            <w:pPr>
              <w:ind w:left="0" w:right="0" w:firstLine="284"/>
              <w:rPr>
                <w:sz w:val="20"/>
                <w:szCs w:val="20"/>
              </w:rPr>
            </w:pPr>
            <w:r w:rsidRPr="00365827">
              <w:rPr>
                <w:sz w:val="20"/>
                <w:szCs w:val="20"/>
              </w:rPr>
              <w:t xml:space="preserve">Так, термин «старше трудоспособного возраста», используемый в паспортах </w:t>
            </w:r>
            <w:r w:rsidRPr="00365827">
              <w:rPr>
                <w:sz w:val="20"/>
                <w:szCs w:val="20"/>
                <w:lang w:eastAsia="en-US"/>
              </w:rPr>
              <w:t>национального проекта</w:t>
            </w:r>
            <w:r w:rsidRPr="00365827">
              <w:rPr>
                <w:sz w:val="20"/>
                <w:szCs w:val="20"/>
              </w:rPr>
              <w:t xml:space="preserve"> «Демография» и </w:t>
            </w:r>
            <w:r w:rsidRPr="00365827">
              <w:rPr>
                <w:sz w:val="20"/>
                <w:szCs w:val="20"/>
                <w:lang w:eastAsia="en-US"/>
              </w:rPr>
              <w:t>федерального проекта</w:t>
            </w:r>
            <w:r w:rsidRPr="00365827">
              <w:rPr>
                <w:sz w:val="20"/>
                <w:szCs w:val="20"/>
              </w:rPr>
              <w:t xml:space="preserve"> «Старшее поколение», употребляется в отношении женщин, достигших возраста 55 лет и старше, и мужчин, достигших возраста 60 лет и старше, т.е. без учета пенсионных преобразований 2018 </w:t>
            </w:r>
            <w:r w:rsidRPr="00365827">
              <w:rPr>
                <w:sz w:val="20"/>
                <w:szCs w:val="20"/>
              </w:rPr>
              <w:lastRenderedPageBreak/>
              <w:t>года. Это создает риски того, что при принятии управленческих решений будут использоваться данные, не соответствующие реальному положению.</w:t>
            </w:r>
          </w:p>
          <w:p w:rsidR="00365827" w:rsidRPr="00365827" w:rsidRDefault="00365827" w:rsidP="000C15B1">
            <w:pPr>
              <w:ind w:left="0" w:right="0" w:firstLine="284"/>
              <w:rPr>
                <w:sz w:val="20"/>
                <w:szCs w:val="20"/>
              </w:rPr>
            </w:pPr>
            <w:r w:rsidRPr="00365827">
              <w:rPr>
                <w:sz w:val="20"/>
                <w:szCs w:val="20"/>
              </w:rPr>
              <w:t xml:space="preserve">Для достижения результата федерального проекта по созданию системы долговременного ухода за гражданами пожилого возраста и инвалидами существуют риски, связанные с отсутствием нормативного определения понятия «долговременный уход», а также установленного перечня социальных и медицинских услуг. </w:t>
            </w:r>
          </w:p>
          <w:p w:rsidR="00365827" w:rsidRPr="00365827" w:rsidRDefault="00365827" w:rsidP="000C15B1">
            <w:pPr>
              <w:ind w:left="0" w:right="0" w:firstLine="284"/>
              <w:rPr>
                <w:sz w:val="20"/>
                <w:szCs w:val="20"/>
              </w:rPr>
            </w:pPr>
            <w:r w:rsidRPr="00365827">
              <w:rPr>
                <w:sz w:val="20"/>
                <w:szCs w:val="20"/>
              </w:rPr>
              <w:t>В установленные сроки не утверждена типовая модель системы долговременного ухода за гражданами со стойкими ограничениями жизнедеятельности, приводящими к зависимости от посторонней помощи (соответствующий проект приказа Минтруда России находится на согласовании в заинтересованных федеральных органах исполнительной власти).</w:t>
            </w:r>
          </w:p>
          <w:p w:rsidR="00365827" w:rsidRPr="00365827" w:rsidRDefault="00365827" w:rsidP="000C15B1">
            <w:pPr>
              <w:ind w:left="0" w:right="0" w:firstLine="284"/>
              <w:rPr>
                <w:sz w:val="20"/>
                <w:szCs w:val="20"/>
              </w:rPr>
            </w:pPr>
            <w:r w:rsidRPr="00365827">
              <w:rPr>
                <w:sz w:val="20"/>
                <w:szCs w:val="20"/>
              </w:rPr>
              <w:t xml:space="preserve">До настоящего времени не разграничены полномочия, связанные с финансированием услуг в рамках системы долговременного ухода. </w:t>
            </w:r>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федеральном проекте</w:t>
            </w:r>
            <w:r w:rsidRPr="00365827">
              <w:rPr>
                <w:sz w:val="20"/>
                <w:szCs w:val="20"/>
              </w:rPr>
              <w:t xml:space="preserve"> «Укрепление общественного здоровья» предусмотрено семь показателей.</w:t>
            </w:r>
          </w:p>
          <w:p w:rsidR="00365827" w:rsidRPr="00365827" w:rsidRDefault="00365827" w:rsidP="000C15B1">
            <w:pPr>
              <w:ind w:left="0" w:right="0" w:firstLine="284"/>
              <w:rPr>
                <w:sz w:val="20"/>
                <w:szCs w:val="20"/>
              </w:rPr>
            </w:pPr>
            <w:r w:rsidRPr="00365827">
              <w:rPr>
                <w:sz w:val="20"/>
                <w:szCs w:val="20"/>
              </w:rPr>
              <w:t>В разделе отчета «Общий статус реализации» отмечается наличие некритических отклонений (желтый индикатор) по параметрам «Риски» и «Показатели».</w:t>
            </w:r>
          </w:p>
          <w:p w:rsidR="00365827" w:rsidRPr="00365827" w:rsidRDefault="00365827" w:rsidP="000C15B1">
            <w:pPr>
              <w:ind w:left="0" w:right="0" w:firstLine="284"/>
              <w:rPr>
                <w:sz w:val="20"/>
                <w:szCs w:val="20"/>
              </w:rPr>
            </w:pPr>
            <w:r w:rsidRPr="00365827">
              <w:rPr>
                <w:sz w:val="20"/>
                <w:szCs w:val="20"/>
              </w:rPr>
              <w:t xml:space="preserve">Согласно отчету по </w:t>
            </w:r>
            <w:r w:rsidRPr="00365827">
              <w:rPr>
                <w:sz w:val="20"/>
                <w:szCs w:val="20"/>
                <w:lang w:eastAsia="en-US"/>
              </w:rPr>
              <w:t>федеральному проекту</w:t>
            </w:r>
            <w:r w:rsidRPr="00365827">
              <w:rPr>
                <w:sz w:val="20"/>
                <w:szCs w:val="20"/>
              </w:rPr>
              <w:t xml:space="preserve"> «Укрепление общественного здоровья» за 2019 год, размещенному в системе ГИИС «Электронный бюджет», по состоянию на IV квартал 2019 года шесть из семи показателей выполнены, показатель «Смертность мужчин в возрасте 16 - 59 лет» составил 719,3 на 100 тыс. человек при плановом значении 682 (уровень достижения 94,81 %). Минздрав России сообщает о риске превышения (вероятность 100 %) значения прогнозного значения показателя на 2019 год в связи с тем, что по предварительным данным в 2019 году наблюдался рост смертности от алкогольных отравлений. Это может быть связано с повышением экономической доступности алкогольной продукции в сравнении с другими товарами. Фактическое значение за 2019 год будет представлено 21 августа 2020 года.</w:t>
            </w:r>
          </w:p>
          <w:p w:rsidR="00365827" w:rsidRPr="00365827" w:rsidRDefault="00365827" w:rsidP="000C15B1">
            <w:pPr>
              <w:ind w:left="0" w:right="0" w:firstLine="284"/>
              <w:rPr>
                <w:sz w:val="20"/>
                <w:szCs w:val="20"/>
              </w:rPr>
            </w:pPr>
            <w:r w:rsidRPr="00365827">
              <w:rPr>
                <w:sz w:val="20"/>
                <w:szCs w:val="20"/>
              </w:rPr>
              <w:t>В целях минимизации риска Минздравом России осуществляется разработка предложений по снижению доступности алкогольной продукции (срок исполнения 31 декабря 2020 года).</w:t>
            </w:r>
          </w:p>
          <w:p w:rsidR="00365827" w:rsidRPr="00365827" w:rsidRDefault="00365827" w:rsidP="000C15B1">
            <w:pPr>
              <w:ind w:left="0" w:right="0" w:firstLine="284"/>
              <w:rPr>
                <w:sz w:val="20"/>
                <w:szCs w:val="20"/>
              </w:rPr>
            </w:pPr>
            <w:r w:rsidRPr="00365827">
              <w:rPr>
                <w:sz w:val="20"/>
                <w:szCs w:val="20"/>
              </w:rPr>
              <w:t>Анализ 59 утвержденных региональных отчетов (по состоянию на 24 января 2020 года) за 2019 год показал, что по ряду регионов не достигнуты установленные значения показателей.</w:t>
            </w:r>
          </w:p>
          <w:p w:rsidR="00365827" w:rsidRPr="00365827" w:rsidRDefault="00365827" w:rsidP="000C15B1">
            <w:pPr>
              <w:ind w:left="0" w:right="0" w:firstLine="284"/>
              <w:rPr>
                <w:sz w:val="20"/>
                <w:szCs w:val="20"/>
              </w:rPr>
            </w:pPr>
            <w:r w:rsidRPr="00365827">
              <w:rPr>
                <w:sz w:val="20"/>
                <w:szCs w:val="20"/>
              </w:rPr>
              <w:t xml:space="preserve">Так, из 3 показателей, утвержденных регионам, в 31 регионе </w:t>
            </w:r>
            <w:proofErr w:type="gramStart"/>
            <w:r w:rsidRPr="00365827">
              <w:rPr>
                <w:sz w:val="20"/>
                <w:szCs w:val="20"/>
              </w:rPr>
              <w:t>не достигнут показатель</w:t>
            </w:r>
            <w:proofErr w:type="gramEnd"/>
            <w:r w:rsidRPr="00365827">
              <w:rPr>
                <w:sz w:val="20"/>
                <w:szCs w:val="20"/>
              </w:rPr>
              <w:t xml:space="preserve"> «Смертность мужчин в возрасте 16 - 59 лет», в 17 регионах - «Смертность женщин в возрасте 16 - 54 лет», в 12 регионах - «Розничные продажи алкогольной продукции на душу населения (в литрах этанола)». </w:t>
            </w:r>
          </w:p>
          <w:p w:rsidR="00365827" w:rsidRPr="00365827" w:rsidRDefault="00365827" w:rsidP="000C15B1">
            <w:pPr>
              <w:ind w:left="0" w:right="0" w:firstLine="284"/>
              <w:rPr>
                <w:sz w:val="20"/>
                <w:szCs w:val="20"/>
              </w:rPr>
            </w:pPr>
            <w:r w:rsidRPr="00365827">
              <w:rPr>
                <w:sz w:val="20"/>
                <w:szCs w:val="20"/>
              </w:rPr>
              <w:t xml:space="preserve">В </w:t>
            </w:r>
            <w:r w:rsidRPr="00365827">
              <w:rPr>
                <w:sz w:val="20"/>
                <w:szCs w:val="20"/>
                <w:lang w:eastAsia="en-US"/>
              </w:rPr>
              <w:t>федеральном проекте</w:t>
            </w:r>
            <w:r w:rsidRPr="00365827">
              <w:rPr>
                <w:sz w:val="20"/>
                <w:szCs w:val="20"/>
              </w:rPr>
              <w:t xml:space="preserve"> «Спорт – норма жизни» предусмотрено пять показателей, целевые значения на 2019 год установлены по всем показателям. По итогам 2019 года целевые значения всех показателей федерального проекта достигнуты. </w:t>
            </w:r>
          </w:p>
          <w:p w:rsidR="00365827" w:rsidRPr="00365827" w:rsidRDefault="00365827" w:rsidP="000C15B1">
            <w:pPr>
              <w:ind w:left="0" w:right="0" w:firstLine="284"/>
              <w:rPr>
                <w:sz w:val="20"/>
                <w:szCs w:val="20"/>
              </w:rPr>
            </w:pPr>
            <w:r w:rsidRPr="00365827">
              <w:rPr>
                <w:sz w:val="20"/>
                <w:szCs w:val="20"/>
              </w:rPr>
              <w:t xml:space="preserve">Анализ региональных отчетов выявил </w:t>
            </w:r>
            <w:proofErr w:type="spellStart"/>
            <w:r w:rsidRPr="00365827">
              <w:rPr>
                <w:sz w:val="20"/>
                <w:szCs w:val="20"/>
              </w:rPr>
              <w:t>недостижение</w:t>
            </w:r>
            <w:proofErr w:type="spellEnd"/>
            <w:r w:rsidRPr="00365827">
              <w:rPr>
                <w:sz w:val="20"/>
                <w:szCs w:val="20"/>
              </w:rPr>
              <w:t xml:space="preserve"> отдельных показателей РП «Спорт – норма жизни». </w:t>
            </w:r>
          </w:p>
          <w:p w:rsidR="00365827" w:rsidRPr="00365827" w:rsidRDefault="00365827" w:rsidP="000C15B1">
            <w:pPr>
              <w:ind w:left="0" w:right="0" w:firstLine="284"/>
              <w:rPr>
                <w:sz w:val="20"/>
                <w:szCs w:val="20"/>
              </w:rPr>
            </w:pPr>
            <w:r w:rsidRPr="00365827">
              <w:rPr>
                <w:sz w:val="20"/>
                <w:szCs w:val="20"/>
              </w:rPr>
              <w:t xml:space="preserve">Так, по г. Севастополь отмечаются </w:t>
            </w:r>
            <w:r w:rsidRPr="0058251A">
              <w:rPr>
                <w:b/>
                <w:sz w:val="20"/>
                <w:szCs w:val="20"/>
              </w:rPr>
              <w:t>отклонения исполнения</w:t>
            </w:r>
            <w:r w:rsidRPr="00365827">
              <w:rPr>
                <w:sz w:val="20"/>
                <w:szCs w:val="20"/>
              </w:rPr>
              <w:t xml:space="preserve"> следующих целевых показателей:</w:t>
            </w:r>
          </w:p>
          <w:p w:rsidR="00365827" w:rsidRPr="00365827" w:rsidRDefault="00365827" w:rsidP="000C15B1">
            <w:pPr>
              <w:ind w:left="0" w:right="0" w:firstLine="284"/>
              <w:rPr>
                <w:sz w:val="20"/>
                <w:szCs w:val="20"/>
              </w:rPr>
            </w:pPr>
            <w:r w:rsidRPr="00365827">
              <w:rPr>
                <w:sz w:val="20"/>
                <w:szCs w:val="20"/>
              </w:rPr>
              <w:t>доля детей и молодежи (возраст 3 - 29 лет), систематически занимающихся физической культурой и спортом;</w:t>
            </w:r>
          </w:p>
          <w:p w:rsidR="00365827" w:rsidRPr="00365827" w:rsidRDefault="00365827" w:rsidP="000C15B1">
            <w:pPr>
              <w:ind w:left="0" w:right="0" w:firstLine="284"/>
              <w:rPr>
                <w:sz w:val="20"/>
                <w:szCs w:val="20"/>
              </w:rPr>
            </w:pPr>
            <w:r w:rsidRPr="00365827">
              <w:rPr>
                <w:sz w:val="20"/>
                <w:szCs w:val="20"/>
              </w:rPr>
              <w:t>доля граждан среднего возраста (женщины 30 - 54 года; мужчины 30 - 59 лет), систематически занимающихся физической культурой и спортом;</w:t>
            </w:r>
          </w:p>
          <w:p w:rsidR="00365827" w:rsidRPr="00365827" w:rsidRDefault="00365827" w:rsidP="000C15B1">
            <w:pPr>
              <w:ind w:left="0" w:right="0" w:firstLine="284"/>
              <w:rPr>
                <w:sz w:val="20"/>
                <w:szCs w:val="20"/>
              </w:rPr>
            </w:pPr>
            <w:r w:rsidRPr="00365827">
              <w:rPr>
                <w:sz w:val="20"/>
                <w:szCs w:val="20"/>
              </w:rPr>
              <w:t>уровень обеспеченности граждан спортивными сооружениями исходя из единовременной пропускной способности объектов спорта.</w:t>
            </w:r>
          </w:p>
          <w:p w:rsidR="00365827" w:rsidRPr="00365827" w:rsidRDefault="00365827" w:rsidP="000C15B1">
            <w:pPr>
              <w:ind w:left="0" w:right="0" w:firstLine="284"/>
              <w:rPr>
                <w:sz w:val="20"/>
                <w:szCs w:val="20"/>
              </w:rPr>
            </w:pPr>
            <w:r w:rsidRPr="00365827">
              <w:rPr>
                <w:sz w:val="20"/>
                <w:szCs w:val="20"/>
              </w:rPr>
              <w:t xml:space="preserve">Причиной указанных отклонений является невыполнение результата федерального проекта, не введен в эксплуатацию объект в Республике Крым и г. Севастополь (стадион «Горняк») по причине повторной и поздней контрактации и, длительного проведения строительно-монтажных работ. Срок вода в эксплуатацию уточняется, срок исполнения 31 марта 2020 года. </w:t>
            </w:r>
          </w:p>
          <w:p w:rsidR="00365827" w:rsidRPr="00365827" w:rsidRDefault="00365827" w:rsidP="000C15B1">
            <w:pPr>
              <w:ind w:left="0" w:right="0" w:firstLine="284"/>
              <w:rPr>
                <w:sz w:val="20"/>
                <w:szCs w:val="20"/>
              </w:rPr>
            </w:pPr>
            <w:r w:rsidRPr="00365827">
              <w:rPr>
                <w:sz w:val="20"/>
                <w:szCs w:val="20"/>
              </w:rPr>
              <w:t>Также, наличие незначительных отклонений по целевому показателю «Уровень обеспеченности граждан спортивными сооружениями исходя из единовременной пропускной способности объектов спорта» сложилось по Калининградской области и Красноярскому краю.</w:t>
            </w:r>
          </w:p>
          <w:p w:rsidR="00365827" w:rsidRPr="00365827" w:rsidRDefault="00365827" w:rsidP="000C15B1">
            <w:pPr>
              <w:ind w:left="0" w:right="0" w:firstLine="284"/>
              <w:rPr>
                <w:sz w:val="20"/>
                <w:szCs w:val="20"/>
              </w:rPr>
            </w:pPr>
            <w:r w:rsidRPr="00365827">
              <w:rPr>
                <w:sz w:val="20"/>
                <w:szCs w:val="20"/>
              </w:rPr>
              <w:lastRenderedPageBreak/>
              <w:t xml:space="preserve">Общий статус реализации </w:t>
            </w:r>
            <w:r w:rsidRPr="00365827">
              <w:rPr>
                <w:sz w:val="20"/>
                <w:szCs w:val="20"/>
                <w:lang w:eastAsia="en-US"/>
              </w:rPr>
              <w:t>федерального проекта</w:t>
            </w:r>
            <w:r w:rsidRPr="00365827">
              <w:rPr>
                <w:sz w:val="20"/>
                <w:szCs w:val="20"/>
              </w:rPr>
              <w:t xml:space="preserve"> «Спорт-норма жизни» за 2019 год установлен как «наличие некритических отклонений» (желтый индикатор) по параметрам «Результаты» и «Контрольные точки».</w:t>
            </w:r>
          </w:p>
          <w:p w:rsidR="00365827" w:rsidRPr="00365827" w:rsidRDefault="00365827" w:rsidP="000C15B1">
            <w:pPr>
              <w:ind w:left="0" w:right="0" w:firstLine="284"/>
              <w:rPr>
                <w:sz w:val="20"/>
                <w:szCs w:val="20"/>
              </w:rPr>
            </w:pPr>
            <w:proofErr w:type="gramStart"/>
            <w:r w:rsidRPr="00365827">
              <w:rPr>
                <w:sz w:val="20"/>
                <w:szCs w:val="20"/>
              </w:rPr>
              <w:t xml:space="preserve">В соответствии с отчетом руководителя </w:t>
            </w:r>
            <w:r w:rsidRPr="00365827">
              <w:rPr>
                <w:sz w:val="20"/>
                <w:szCs w:val="20"/>
                <w:lang w:eastAsia="en-US"/>
              </w:rPr>
              <w:t>федерального проекта</w:t>
            </w:r>
            <w:r w:rsidRPr="00365827">
              <w:rPr>
                <w:sz w:val="20"/>
                <w:szCs w:val="20"/>
              </w:rPr>
              <w:t xml:space="preserve"> «Спорт – норма жизни» за 2019 год отмечается </w:t>
            </w:r>
            <w:r w:rsidRPr="0058251A">
              <w:rPr>
                <w:b/>
                <w:sz w:val="20"/>
                <w:szCs w:val="20"/>
              </w:rPr>
              <w:t>наличие отклонений в своевременности достижения 30 контрольных точек (от 21 до 177 дней)</w:t>
            </w:r>
            <w:r w:rsidRPr="00365827">
              <w:rPr>
                <w:sz w:val="20"/>
                <w:szCs w:val="20"/>
              </w:rPr>
              <w:t xml:space="preserve"> по 9 результатам, связанным со строительством и вводом в эксплуатацию объектов спорта и поставкой спортивно-технологического оборудования; реализацией проектов государственно-частного партнерства по созданию объектов спорта (в рамках ФЦП);</w:t>
            </w:r>
            <w:proofErr w:type="gramEnd"/>
            <w:r w:rsidRPr="00365827">
              <w:rPr>
                <w:sz w:val="20"/>
                <w:szCs w:val="20"/>
              </w:rPr>
              <w:t xml:space="preserve"> проведением физкультурных и спортивных мероприятий и изготовлением </w:t>
            </w:r>
            <w:proofErr w:type="spellStart"/>
            <w:r w:rsidRPr="00365827">
              <w:rPr>
                <w:sz w:val="20"/>
                <w:szCs w:val="20"/>
              </w:rPr>
              <w:t>медиапродукции</w:t>
            </w:r>
            <w:proofErr w:type="spellEnd"/>
            <w:r w:rsidRPr="00365827">
              <w:rPr>
                <w:sz w:val="20"/>
                <w:szCs w:val="20"/>
              </w:rPr>
              <w:t xml:space="preserve"> по пропаганде физической культуры и спорта. В большинстве случаев причинами отклонений в своевременности достижения контрольных точек являлась несогласованность сроков представления годовой отчетности об использовании субсидий из федерального бюджета и государственными заданиями на указанные мероприятия со сроками реализации контрольных точек.  </w:t>
            </w:r>
          </w:p>
          <w:p w:rsidR="00365827" w:rsidRPr="00365827" w:rsidRDefault="00365827" w:rsidP="000C15B1">
            <w:pPr>
              <w:ind w:left="0" w:right="0" w:firstLine="284"/>
              <w:rPr>
                <w:sz w:val="20"/>
                <w:szCs w:val="20"/>
              </w:rPr>
            </w:pPr>
            <w:r w:rsidRPr="00365827">
              <w:rPr>
                <w:sz w:val="20"/>
                <w:szCs w:val="20"/>
              </w:rPr>
              <w:t xml:space="preserve">К основным причинам (рискам) </w:t>
            </w:r>
            <w:proofErr w:type="spellStart"/>
            <w:r w:rsidRPr="00365827">
              <w:rPr>
                <w:sz w:val="20"/>
                <w:szCs w:val="20"/>
              </w:rPr>
              <w:t>недостижения</w:t>
            </w:r>
            <w:proofErr w:type="spellEnd"/>
            <w:r w:rsidRPr="00365827">
              <w:rPr>
                <w:sz w:val="20"/>
                <w:szCs w:val="20"/>
              </w:rPr>
              <w:t xml:space="preserve"> результатов </w:t>
            </w:r>
            <w:proofErr w:type="gramStart"/>
            <w:r w:rsidRPr="00365827">
              <w:rPr>
                <w:sz w:val="20"/>
                <w:szCs w:val="20"/>
              </w:rPr>
              <w:t>отнесены</w:t>
            </w:r>
            <w:proofErr w:type="gramEnd"/>
            <w:r w:rsidRPr="00365827">
              <w:rPr>
                <w:sz w:val="20"/>
                <w:szCs w:val="20"/>
              </w:rPr>
              <w:t xml:space="preserve">:  </w:t>
            </w:r>
          </w:p>
          <w:p w:rsidR="00365827" w:rsidRPr="00365827" w:rsidRDefault="00365827" w:rsidP="000C15B1">
            <w:pPr>
              <w:ind w:left="0" w:right="0" w:firstLine="284"/>
              <w:rPr>
                <w:sz w:val="20"/>
                <w:szCs w:val="20"/>
              </w:rPr>
            </w:pPr>
            <w:r w:rsidRPr="00365827">
              <w:rPr>
                <w:sz w:val="20"/>
                <w:szCs w:val="20"/>
              </w:rPr>
              <w:t xml:space="preserve">административные (отказ в казначейском сопровождении; длительное (повторное) прохождение государственной экспертизы ПСД; длительность процедур по </w:t>
            </w:r>
            <w:proofErr w:type="spellStart"/>
            <w:r w:rsidRPr="00365827">
              <w:rPr>
                <w:sz w:val="20"/>
                <w:szCs w:val="20"/>
              </w:rPr>
              <w:t>землеотведению</w:t>
            </w:r>
            <w:proofErr w:type="spellEnd"/>
            <w:r w:rsidRPr="00365827">
              <w:rPr>
                <w:sz w:val="20"/>
                <w:szCs w:val="20"/>
              </w:rPr>
              <w:t xml:space="preserve"> и получению разрешительной документации; длительное получение документации, подтверждающей завершение строительства и ввод объекта в эксплуатацию; длительность проведения конкурсных процедур); </w:t>
            </w:r>
          </w:p>
          <w:p w:rsidR="00365827" w:rsidRPr="00365827" w:rsidRDefault="00365827" w:rsidP="000C15B1">
            <w:pPr>
              <w:ind w:left="0" w:right="0" w:firstLine="284"/>
              <w:rPr>
                <w:sz w:val="20"/>
                <w:szCs w:val="20"/>
              </w:rPr>
            </w:pPr>
            <w:r w:rsidRPr="00365827">
              <w:rPr>
                <w:sz w:val="20"/>
                <w:szCs w:val="20"/>
              </w:rPr>
              <w:t xml:space="preserve">управленческие (низкий уровень вовлеченности в управление региональным проектом руководителя/администратора; отсутствие компетенций у региональных проектных команд; дефицит кадров; стремление к «быстрым победам»/неэффективное планирование и управление сроками проекта; отсутствие реестра рисков и стратегий управления ими); </w:t>
            </w:r>
          </w:p>
          <w:p w:rsidR="00365827" w:rsidRPr="00365827" w:rsidRDefault="00365827" w:rsidP="000C15B1">
            <w:pPr>
              <w:ind w:left="0" w:right="0" w:firstLine="284"/>
              <w:rPr>
                <w:sz w:val="20"/>
                <w:szCs w:val="20"/>
              </w:rPr>
            </w:pPr>
            <w:r w:rsidRPr="00365827">
              <w:rPr>
                <w:sz w:val="20"/>
                <w:szCs w:val="20"/>
              </w:rPr>
              <w:t xml:space="preserve">производственные (недобросовестный подрядчик/расторжение договора подряда, длительная поставка спортивно-технологического оборудования, поставка некачественного спортивно-технологического оборудования и нарушение технологических условий его монтажа); </w:t>
            </w:r>
          </w:p>
          <w:p w:rsidR="00365827" w:rsidRPr="00365827" w:rsidRDefault="00365827" w:rsidP="000C15B1">
            <w:pPr>
              <w:ind w:left="0" w:right="0" w:firstLine="284"/>
              <w:rPr>
                <w:sz w:val="20"/>
                <w:szCs w:val="20"/>
              </w:rPr>
            </w:pPr>
            <w:r w:rsidRPr="00365827">
              <w:rPr>
                <w:sz w:val="20"/>
                <w:szCs w:val="20"/>
              </w:rPr>
              <w:t xml:space="preserve">иные (низкая транспортная доступность населенного пункта, чрезвычайные ситуации и стихийные бедствия, несоответствие результатов региональных проектов ожиданиям ключевых </w:t>
            </w:r>
            <w:proofErr w:type="spellStart"/>
            <w:r w:rsidRPr="00365827">
              <w:rPr>
                <w:sz w:val="20"/>
                <w:szCs w:val="20"/>
              </w:rPr>
              <w:t>стейкхолдеров</w:t>
            </w:r>
            <w:proofErr w:type="spellEnd"/>
            <w:r w:rsidRPr="00365827">
              <w:rPr>
                <w:sz w:val="20"/>
                <w:szCs w:val="20"/>
              </w:rPr>
              <w:t>: население, руководство региона).</w:t>
            </w:r>
          </w:p>
          <w:p w:rsidR="00365827" w:rsidRPr="00365827" w:rsidRDefault="00365827" w:rsidP="000C15B1">
            <w:pPr>
              <w:ind w:left="0" w:right="0" w:firstLine="284"/>
              <w:rPr>
                <w:sz w:val="20"/>
                <w:szCs w:val="20"/>
              </w:rPr>
            </w:pPr>
            <w:r w:rsidRPr="00365827">
              <w:rPr>
                <w:sz w:val="20"/>
                <w:szCs w:val="20"/>
              </w:rPr>
              <w:t xml:space="preserve">К предлагаемым решениям по минимизации рисков </w:t>
            </w:r>
            <w:proofErr w:type="spellStart"/>
            <w:r w:rsidRPr="00365827">
              <w:rPr>
                <w:sz w:val="20"/>
                <w:szCs w:val="20"/>
              </w:rPr>
              <w:t>Минспортом</w:t>
            </w:r>
            <w:proofErr w:type="spellEnd"/>
            <w:r w:rsidRPr="00365827">
              <w:rPr>
                <w:sz w:val="20"/>
                <w:szCs w:val="20"/>
              </w:rPr>
              <w:t xml:space="preserve"> России относится: перенос сроков строительства; корректировка плана мероприятий </w:t>
            </w:r>
            <w:r w:rsidRPr="00365827">
              <w:rPr>
                <w:sz w:val="20"/>
                <w:szCs w:val="20"/>
                <w:lang w:eastAsia="en-US"/>
              </w:rPr>
              <w:t>федерального проекта</w:t>
            </w:r>
            <w:r w:rsidRPr="00365827">
              <w:rPr>
                <w:sz w:val="20"/>
                <w:szCs w:val="20"/>
              </w:rPr>
              <w:t xml:space="preserve"> с переносом значений результатов на более поздние сроки; синхронизация сроков представления годовой отчетности об использовании субсидий, определенных соглашениями /государственными заданиями, со сроками реализации обеспечивающих контрольных точек; разработка проекта постановления Правительства Российской Федерации об исключении объектов из ФЦП «Развитие физической культуры и спорта в Российской Федерации на 2016 - 2020 годы» и включении </w:t>
            </w:r>
            <w:proofErr w:type="gramStart"/>
            <w:r w:rsidRPr="00365827">
              <w:rPr>
                <w:sz w:val="20"/>
                <w:szCs w:val="20"/>
              </w:rPr>
              <w:t>в непрограммную</w:t>
            </w:r>
            <w:proofErr w:type="gramEnd"/>
            <w:r w:rsidRPr="00365827">
              <w:rPr>
                <w:sz w:val="20"/>
                <w:szCs w:val="20"/>
              </w:rPr>
              <w:t xml:space="preserve"> часть ФАИП; организация процедуры по возврату неиспользованных остатков средств федерального бюджета 2019 года на исполнение обязательств по ранее заключенным контрактам; </w:t>
            </w:r>
            <w:proofErr w:type="gramStart"/>
            <w:r w:rsidRPr="00365827">
              <w:rPr>
                <w:sz w:val="20"/>
                <w:szCs w:val="20"/>
              </w:rPr>
              <w:t>формирование дорожной карты завершения строительства объектов спорта (например, «Центр водных и гребных видов спорта» по адресу:</w:t>
            </w:r>
            <w:proofErr w:type="gramEnd"/>
            <w:r w:rsidRPr="00365827">
              <w:rPr>
                <w:sz w:val="20"/>
                <w:szCs w:val="20"/>
              </w:rPr>
              <w:t xml:space="preserve"> Астраханская область Приволжского района, с. </w:t>
            </w:r>
            <w:proofErr w:type="spellStart"/>
            <w:r w:rsidRPr="00365827">
              <w:rPr>
                <w:sz w:val="20"/>
                <w:szCs w:val="20"/>
              </w:rPr>
              <w:t>Яксатово</w:t>
            </w:r>
            <w:proofErr w:type="spellEnd"/>
            <w:r w:rsidRPr="00365827">
              <w:rPr>
                <w:sz w:val="20"/>
                <w:szCs w:val="20"/>
              </w:rPr>
              <w:t xml:space="preserve">» I этап»); применение в установленном порядке штрафных санкции в отношении отдельных субъектов за невыполнение обязательств (например, к Курганской области по объектам «Физкультурно-оздоровительный комплекс в </w:t>
            </w:r>
            <w:proofErr w:type="spellStart"/>
            <w:r w:rsidRPr="00365827">
              <w:rPr>
                <w:sz w:val="20"/>
                <w:szCs w:val="20"/>
              </w:rPr>
              <w:t>р.п</w:t>
            </w:r>
            <w:proofErr w:type="spellEnd"/>
            <w:r w:rsidRPr="00365827">
              <w:rPr>
                <w:sz w:val="20"/>
                <w:szCs w:val="20"/>
              </w:rPr>
              <w:t xml:space="preserve">. </w:t>
            </w:r>
            <w:proofErr w:type="gramStart"/>
            <w:r w:rsidRPr="00365827">
              <w:rPr>
                <w:sz w:val="20"/>
                <w:szCs w:val="20"/>
              </w:rPr>
              <w:t>Мишкино» и «Физкультурный комплекс в г. Петухово» в случае если в срок до 1 апреля 2020 года указанные объекты спорта не будут введены в эксплуатацию) и другие.</w:t>
            </w:r>
            <w:proofErr w:type="gramEnd"/>
          </w:p>
          <w:p w:rsidR="00365827" w:rsidRPr="00365827" w:rsidRDefault="00365827" w:rsidP="000C15B1">
            <w:pPr>
              <w:ind w:left="0" w:right="0" w:firstLine="284"/>
              <w:rPr>
                <w:sz w:val="20"/>
                <w:szCs w:val="20"/>
              </w:rPr>
            </w:pPr>
            <w:r w:rsidRPr="00365827">
              <w:rPr>
                <w:sz w:val="20"/>
                <w:szCs w:val="20"/>
              </w:rPr>
              <w:t>При реализации РП «Спорт - норма жизни» регионы отмечали, в том числе, риски, связанные с недостаточностью финансовых ресурсов, а также несовершенством методологии</w:t>
            </w:r>
          </w:p>
        </w:tc>
      </w:tr>
      <w:tr w:rsidR="00D62563" w:rsidTr="00D46E03">
        <w:tc>
          <w:tcPr>
            <w:tcW w:w="568" w:type="dxa"/>
          </w:tcPr>
          <w:p w:rsidR="00D62563" w:rsidRPr="00D62563" w:rsidRDefault="00D62563" w:rsidP="000C15B1">
            <w:pPr>
              <w:ind w:left="0" w:right="0" w:firstLine="0"/>
              <w:rPr>
                <w:b/>
                <w:sz w:val="20"/>
                <w:szCs w:val="20"/>
              </w:rPr>
            </w:pPr>
            <w:r>
              <w:rPr>
                <w:b/>
                <w:sz w:val="20"/>
                <w:szCs w:val="20"/>
              </w:rPr>
              <w:lastRenderedPageBreak/>
              <w:t>2</w:t>
            </w:r>
            <w:r w:rsidRPr="00D62563">
              <w:rPr>
                <w:b/>
                <w:sz w:val="20"/>
                <w:szCs w:val="20"/>
              </w:rPr>
              <w:t>.</w:t>
            </w:r>
          </w:p>
        </w:tc>
        <w:tc>
          <w:tcPr>
            <w:tcW w:w="2268" w:type="dxa"/>
          </w:tcPr>
          <w:p w:rsidR="00D62563" w:rsidRPr="00D62563" w:rsidRDefault="00D62563" w:rsidP="000C15B1">
            <w:pPr>
              <w:ind w:left="0" w:right="0" w:firstLine="0"/>
              <w:rPr>
                <w:b/>
                <w:sz w:val="20"/>
                <w:szCs w:val="20"/>
              </w:rPr>
            </w:pPr>
            <w:r w:rsidRPr="00D62563">
              <w:rPr>
                <w:b/>
                <w:sz w:val="20"/>
                <w:szCs w:val="20"/>
              </w:rPr>
              <w:t>Здравоохранение</w:t>
            </w:r>
          </w:p>
        </w:tc>
        <w:tc>
          <w:tcPr>
            <w:tcW w:w="7796" w:type="dxa"/>
          </w:tcPr>
          <w:p w:rsidR="00D62563" w:rsidRPr="00D62563" w:rsidRDefault="00D62563" w:rsidP="000C15B1">
            <w:pPr>
              <w:widowControl w:val="0"/>
              <w:overflowPunct/>
              <w:autoSpaceDE/>
              <w:autoSpaceDN/>
              <w:adjustRightInd/>
              <w:ind w:left="0" w:right="0" w:firstLine="284"/>
              <w:textAlignment w:val="auto"/>
              <w:rPr>
                <w:sz w:val="20"/>
                <w:szCs w:val="20"/>
                <w:lang w:eastAsia="en-US"/>
              </w:rPr>
            </w:pPr>
            <w:r w:rsidRPr="00D62563">
              <w:rPr>
                <w:sz w:val="20"/>
                <w:szCs w:val="20"/>
                <w:lang w:eastAsia="en-US"/>
              </w:rPr>
              <w:t xml:space="preserve">В рамках реализации </w:t>
            </w:r>
            <w:r w:rsidRPr="00D62563">
              <w:rPr>
                <w:b/>
                <w:sz w:val="20"/>
                <w:szCs w:val="20"/>
                <w:lang w:eastAsia="en-US"/>
              </w:rPr>
              <w:t>национального проекта «</w:t>
            </w:r>
            <w:r w:rsidRPr="00D62563">
              <w:rPr>
                <w:b/>
                <w:sz w:val="20"/>
                <w:szCs w:val="20"/>
              </w:rPr>
              <w:t>Здравоохранение</w:t>
            </w:r>
            <w:r w:rsidRPr="00D62563">
              <w:rPr>
                <w:b/>
                <w:sz w:val="20"/>
                <w:szCs w:val="20"/>
                <w:lang w:eastAsia="en-US"/>
              </w:rPr>
              <w:t xml:space="preserve">» </w:t>
            </w:r>
            <w:r w:rsidRPr="00D62563">
              <w:rPr>
                <w:sz w:val="20"/>
                <w:szCs w:val="20"/>
                <w:lang w:eastAsia="en-US"/>
              </w:rPr>
              <w:t>уровень исполнения бюджетных ассигнований составил 98 % показателя сводной росписи с изменениями.</w:t>
            </w:r>
            <w:r w:rsidRPr="00D62563">
              <w:rPr>
                <w:bCs/>
                <w:sz w:val="20"/>
                <w:szCs w:val="20"/>
                <w:lang w:eastAsia="en-US"/>
              </w:rPr>
              <w:t xml:space="preserve"> По итогам 2019 года бюджетные ассигнования в рамках указанного национального проекта не исполнены в сумме 3 195,0 млн. рублей, или 2 %.</w:t>
            </w:r>
          </w:p>
          <w:p w:rsidR="00D62563" w:rsidRPr="00D62563" w:rsidRDefault="00D62563" w:rsidP="000C15B1">
            <w:pPr>
              <w:ind w:left="0" w:right="0" w:firstLine="284"/>
              <w:rPr>
                <w:sz w:val="20"/>
                <w:szCs w:val="20"/>
              </w:rPr>
            </w:pPr>
            <w:r w:rsidRPr="00D62563">
              <w:rPr>
                <w:sz w:val="20"/>
                <w:szCs w:val="20"/>
              </w:rPr>
              <w:t xml:space="preserve">По итогам 2019 года исполнение расходов по федеральным проектам </w:t>
            </w:r>
            <w:r w:rsidRPr="00D62563">
              <w:rPr>
                <w:sz w:val="20"/>
                <w:szCs w:val="20"/>
              </w:rPr>
              <w:lastRenderedPageBreak/>
              <w:t>осуществлялось следующим образом.</w:t>
            </w:r>
          </w:p>
          <w:p w:rsidR="00D62563" w:rsidRPr="00D62563" w:rsidRDefault="00D62563" w:rsidP="000C15B1">
            <w:pPr>
              <w:ind w:left="0" w:right="0" w:firstLine="284"/>
              <w:rPr>
                <w:sz w:val="20"/>
                <w:szCs w:val="20"/>
              </w:rPr>
            </w:pPr>
            <w:r w:rsidRPr="00D62563">
              <w:rPr>
                <w:sz w:val="20"/>
                <w:szCs w:val="20"/>
              </w:rPr>
              <w:t>В полном объеме (100 % показателя сводной росписи с изменениями) исполнены расходы по 3 федеральным проектам «Обеспечение медицинских организаций системы здравоохранения квалифицированными кадрами», «Развитие сети национальных медицинских исследовательских центров и внедрение инновационных медицинских технологий» и «Разви</w:t>
            </w:r>
            <w:r w:rsidR="0058251A">
              <w:rPr>
                <w:sz w:val="20"/>
                <w:szCs w:val="20"/>
              </w:rPr>
              <w:t>тие экспорта медицинских услуг»</w:t>
            </w:r>
            <w:r w:rsidRPr="00D62563">
              <w:rPr>
                <w:sz w:val="20"/>
                <w:szCs w:val="20"/>
              </w:rPr>
              <w:t xml:space="preserve">. </w:t>
            </w:r>
          </w:p>
          <w:p w:rsidR="00D62563" w:rsidRPr="00D62563" w:rsidRDefault="00D62563" w:rsidP="000C15B1">
            <w:pPr>
              <w:ind w:left="0" w:right="0" w:firstLine="284"/>
              <w:rPr>
                <w:sz w:val="20"/>
                <w:szCs w:val="20"/>
              </w:rPr>
            </w:pPr>
            <w:r w:rsidRPr="00D62563">
              <w:rPr>
                <w:sz w:val="20"/>
                <w:szCs w:val="20"/>
              </w:rPr>
              <w:t xml:space="preserve">На уровне более 95 % исполнены расходы по федеральным проектам «Борьба с онкологическими заболеваниями» – 98,5 % показателя сводной росписи с изменениями; «Борьба с </w:t>
            </w:r>
            <w:proofErr w:type="gramStart"/>
            <w:r w:rsidRPr="00D62563">
              <w:rPr>
                <w:sz w:val="20"/>
                <w:szCs w:val="20"/>
              </w:rPr>
              <w:t>сердечно-сосудистыми</w:t>
            </w:r>
            <w:proofErr w:type="gramEnd"/>
            <w:r w:rsidRPr="00D62563">
              <w:rPr>
                <w:sz w:val="20"/>
                <w:szCs w:val="20"/>
              </w:rPr>
              <w:t xml:space="preserve"> заболеваниями» – 97,9 %; «Развитие системы оказания первичной медико-санитарной помощи» – 97,8 %; «Создание единого цифрового контура в здравоохранении на основе единой государственной информационной системы здравоохранения (ЕГИСЗ)» – 97,3 %.</w:t>
            </w:r>
          </w:p>
          <w:p w:rsidR="00D62563" w:rsidRPr="00D62563" w:rsidRDefault="00D62563" w:rsidP="000C15B1">
            <w:pPr>
              <w:ind w:left="0" w:right="0" w:firstLine="284"/>
              <w:rPr>
                <w:sz w:val="20"/>
                <w:szCs w:val="20"/>
              </w:rPr>
            </w:pPr>
            <w:r w:rsidRPr="00D62563">
              <w:rPr>
                <w:sz w:val="20"/>
                <w:szCs w:val="20"/>
              </w:rPr>
              <w:t xml:space="preserve">По федеральному проекту «Борьба с онкологическими заболеваниями» причиной указанного уровня исполнения расходов является перечисление в полном объеме межбюджетного трансферта бюджету ФОМС на оказание медицинской помощи больным с онкологическими заболеваниями в соответствии с клиническими рекомендациями (протоколами лечения). Следует отметить, что межбюджетный трансферт ФОМС в общем объеме финансирования </w:t>
            </w:r>
            <w:r w:rsidRPr="00D62563">
              <w:rPr>
                <w:sz w:val="20"/>
                <w:szCs w:val="20"/>
                <w:lang w:eastAsia="en-US"/>
              </w:rPr>
              <w:t>национального проекта</w:t>
            </w:r>
            <w:r w:rsidRPr="00D62563">
              <w:rPr>
                <w:sz w:val="20"/>
                <w:szCs w:val="20"/>
              </w:rPr>
              <w:t xml:space="preserve"> составляет более 40 % и порядка 70 % объема финансирования утвержденного указанного </w:t>
            </w:r>
            <w:r w:rsidRPr="00D62563">
              <w:rPr>
                <w:sz w:val="20"/>
                <w:szCs w:val="20"/>
                <w:lang w:eastAsia="en-US"/>
              </w:rPr>
              <w:t>федерального проекта</w:t>
            </w:r>
            <w:r w:rsidRPr="00D62563">
              <w:rPr>
                <w:sz w:val="20"/>
                <w:szCs w:val="20"/>
              </w:rPr>
              <w:t>, в рамках которого реализуется данное мероприятие.</w:t>
            </w:r>
          </w:p>
          <w:p w:rsidR="00D62563" w:rsidRPr="00D62563" w:rsidRDefault="00D62563" w:rsidP="000C15B1">
            <w:pPr>
              <w:ind w:left="0" w:right="0" w:firstLine="284"/>
              <w:rPr>
                <w:sz w:val="20"/>
                <w:szCs w:val="20"/>
              </w:rPr>
            </w:pPr>
            <w:r w:rsidRPr="00D62563">
              <w:rPr>
                <w:sz w:val="20"/>
                <w:szCs w:val="20"/>
              </w:rPr>
              <w:t xml:space="preserve">Следует отметить, что в рамках указанного федерального проекта в отчетном периоде на низком уровне (84,3 %) исполнены расходы по субсидии, предусмотренной на </w:t>
            </w:r>
            <w:proofErr w:type="spellStart"/>
            <w:r w:rsidRPr="00D62563">
              <w:rPr>
                <w:sz w:val="20"/>
                <w:szCs w:val="20"/>
              </w:rPr>
              <w:t>софинансирование</w:t>
            </w:r>
            <w:proofErr w:type="spellEnd"/>
            <w:r w:rsidRPr="00D62563">
              <w:rPr>
                <w:sz w:val="20"/>
                <w:szCs w:val="20"/>
              </w:rPr>
              <w:t xml:space="preserve"> мероприятия (результата) «Новое строительство и реконструкция» (01</w:t>
            </w:r>
            <w:proofErr w:type="gramStart"/>
            <w:r w:rsidRPr="00D62563">
              <w:rPr>
                <w:sz w:val="20"/>
                <w:szCs w:val="20"/>
              </w:rPr>
              <w:t xml:space="preserve"> К</w:t>
            </w:r>
            <w:proofErr w:type="gramEnd"/>
            <w:r w:rsidRPr="00D62563">
              <w:rPr>
                <w:sz w:val="20"/>
                <w:szCs w:val="20"/>
              </w:rPr>
              <w:t xml:space="preserve"> N3 52270 522). Причиной является низкий уровень технической готовности объектов строительства (реконструкции) в 8 субъектах Российской Федерации.  </w:t>
            </w:r>
          </w:p>
          <w:p w:rsidR="00D62563" w:rsidRPr="00D62563" w:rsidRDefault="00D62563" w:rsidP="000C15B1">
            <w:pPr>
              <w:ind w:left="0" w:right="0" w:firstLine="284"/>
              <w:rPr>
                <w:sz w:val="20"/>
                <w:szCs w:val="20"/>
              </w:rPr>
            </w:pPr>
            <w:r w:rsidRPr="00D62563">
              <w:rPr>
                <w:sz w:val="20"/>
                <w:szCs w:val="20"/>
              </w:rPr>
              <w:t>В рамках федерального проекта «Борьба с сердечно-сосудистыми заболеваниями» бюджетам субъектов Российской Федерации не представлен в полном объеме межбюджетный трансферт на оснащение оборудованием региональных сосудистых центров и первичных сосудистых отделений (01</w:t>
            </w:r>
            <w:proofErr w:type="gramStart"/>
            <w:r w:rsidRPr="00D62563">
              <w:rPr>
                <w:sz w:val="20"/>
                <w:szCs w:val="20"/>
              </w:rPr>
              <w:t xml:space="preserve"> К</w:t>
            </w:r>
            <w:proofErr w:type="gramEnd"/>
            <w:r w:rsidRPr="00D62563">
              <w:rPr>
                <w:sz w:val="20"/>
                <w:szCs w:val="20"/>
              </w:rPr>
              <w:t xml:space="preserve"> N2 51920 540), что связано с оплатой по фактически исполненным объемам работ в рамках реализации мероприятий по закупке оборудования для обеспечения государственных (муниципальных) нужд. </w:t>
            </w:r>
          </w:p>
          <w:p w:rsidR="00D62563" w:rsidRPr="00D62563" w:rsidRDefault="00D62563" w:rsidP="000C15B1">
            <w:pPr>
              <w:ind w:left="0" w:right="0" w:firstLine="284"/>
              <w:rPr>
                <w:sz w:val="20"/>
                <w:szCs w:val="20"/>
              </w:rPr>
            </w:pPr>
            <w:r w:rsidRPr="00D62563">
              <w:rPr>
                <w:sz w:val="20"/>
                <w:szCs w:val="20"/>
              </w:rPr>
              <w:t xml:space="preserve">По </w:t>
            </w:r>
            <w:r w:rsidRPr="00D62563">
              <w:rPr>
                <w:sz w:val="20"/>
                <w:szCs w:val="20"/>
                <w:lang w:eastAsia="en-US"/>
              </w:rPr>
              <w:t>федеральному проекту</w:t>
            </w:r>
            <w:r w:rsidRPr="00D62563">
              <w:rPr>
                <w:sz w:val="20"/>
                <w:szCs w:val="20"/>
              </w:rPr>
              <w:t xml:space="preserve"> «Развитие системы оказания первичной медико-санитарной помощи» уровень исполнения расходов составил 97,8 % показателя сводной росписи с изменениями. В рамках указанного </w:t>
            </w:r>
            <w:r w:rsidRPr="00D62563">
              <w:rPr>
                <w:sz w:val="20"/>
                <w:szCs w:val="20"/>
                <w:lang w:eastAsia="en-US"/>
              </w:rPr>
              <w:t>федерального проекта</w:t>
            </w:r>
            <w:r w:rsidRPr="00D62563">
              <w:rPr>
                <w:sz w:val="20"/>
                <w:szCs w:val="20"/>
              </w:rPr>
              <w:t xml:space="preserve"> не в полном объеме исполнены расходы на мероприятия по созданию и замене фельдшерских, фельдшерско-акушерских пунктов и врачебных амбулаторий для населенных пунктов с численностью населения от 100 до 2 000 человек (01</w:t>
            </w:r>
            <w:proofErr w:type="gramStart"/>
            <w:r w:rsidRPr="00D62563">
              <w:rPr>
                <w:sz w:val="20"/>
                <w:szCs w:val="20"/>
              </w:rPr>
              <w:t xml:space="preserve"> К</w:t>
            </w:r>
            <w:proofErr w:type="gramEnd"/>
            <w:r w:rsidRPr="00D62563">
              <w:rPr>
                <w:sz w:val="20"/>
                <w:szCs w:val="20"/>
              </w:rPr>
              <w:t xml:space="preserve"> N1 51960 540) – 96,5 %, на обеспечение закупки авиационных работ органами государственной власти субъектов Российской Федерации в целях оказания медицинской помощи (01 К N1 55540 521) – 96,5 %. В представленном Минздравом России отчете по данному </w:t>
            </w:r>
            <w:r w:rsidRPr="00D62563">
              <w:rPr>
                <w:sz w:val="20"/>
                <w:szCs w:val="20"/>
                <w:lang w:eastAsia="en-US"/>
              </w:rPr>
              <w:t>федеральному проекту</w:t>
            </w:r>
            <w:r w:rsidRPr="00D62563">
              <w:rPr>
                <w:sz w:val="20"/>
                <w:szCs w:val="20"/>
              </w:rPr>
              <w:t xml:space="preserve"> указаны риски невыполнения результата и, как следствие, риски </w:t>
            </w:r>
            <w:proofErr w:type="spellStart"/>
            <w:r w:rsidRPr="00D62563">
              <w:rPr>
                <w:sz w:val="20"/>
                <w:szCs w:val="20"/>
              </w:rPr>
              <w:t>неосвоения</w:t>
            </w:r>
            <w:proofErr w:type="spellEnd"/>
            <w:r w:rsidRPr="00D62563">
              <w:rPr>
                <w:sz w:val="20"/>
                <w:szCs w:val="20"/>
              </w:rPr>
              <w:t xml:space="preserve"> бюджетных ассигнований, связанные с оплатой по фактическому выполнению объема работ (предусмотрено условиями контракта), невыполнением </w:t>
            </w:r>
            <w:proofErr w:type="gramStart"/>
            <w:r w:rsidRPr="00D62563">
              <w:rPr>
                <w:sz w:val="20"/>
                <w:szCs w:val="20"/>
              </w:rPr>
              <w:t>строительно- монтажных</w:t>
            </w:r>
            <w:proofErr w:type="gramEnd"/>
            <w:r w:rsidRPr="00D62563">
              <w:rPr>
                <w:sz w:val="20"/>
                <w:szCs w:val="20"/>
              </w:rPr>
              <w:t xml:space="preserve"> работ, либо поздним их завершением. </w:t>
            </w:r>
          </w:p>
          <w:p w:rsidR="00D62563" w:rsidRPr="00D62563" w:rsidRDefault="00D62563" w:rsidP="000C15B1">
            <w:pPr>
              <w:ind w:left="0" w:right="0" w:firstLine="284"/>
              <w:rPr>
                <w:sz w:val="20"/>
                <w:szCs w:val="20"/>
              </w:rPr>
            </w:pPr>
            <w:r w:rsidRPr="00D62563">
              <w:rPr>
                <w:sz w:val="20"/>
                <w:szCs w:val="20"/>
              </w:rPr>
              <w:t xml:space="preserve">В рамках </w:t>
            </w:r>
            <w:r w:rsidRPr="00D62563">
              <w:rPr>
                <w:sz w:val="20"/>
                <w:szCs w:val="20"/>
                <w:lang w:eastAsia="en-US"/>
              </w:rPr>
              <w:t>федерального проекта</w:t>
            </w:r>
            <w:r w:rsidRPr="00D62563">
              <w:rPr>
                <w:sz w:val="20"/>
                <w:szCs w:val="20"/>
              </w:rPr>
              <w:t xml:space="preserve"> «Создание единого цифрового контура в здравоохранении на основе единой государственной информационной системы здравоохранения (ЕГИСЗ)» не в полном объеме исполнены расходы </w:t>
            </w:r>
            <w:proofErr w:type="gramStart"/>
            <w:r w:rsidRPr="00D62563">
              <w:rPr>
                <w:sz w:val="20"/>
                <w:szCs w:val="20"/>
              </w:rPr>
              <w:t>по</w:t>
            </w:r>
            <w:proofErr w:type="gramEnd"/>
            <w:r w:rsidRPr="00D62563">
              <w:rPr>
                <w:sz w:val="20"/>
                <w:szCs w:val="20"/>
              </w:rPr>
              <w:t>:</w:t>
            </w:r>
          </w:p>
          <w:p w:rsidR="00D62563" w:rsidRPr="00D62563" w:rsidRDefault="00D62563" w:rsidP="000C15B1">
            <w:pPr>
              <w:ind w:left="0" w:right="0" w:firstLine="284"/>
              <w:rPr>
                <w:sz w:val="20"/>
                <w:szCs w:val="20"/>
              </w:rPr>
            </w:pPr>
            <w:r w:rsidRPr="00D62563">
              <w:rPr>
                <w:sz w:val="20"/>
                <w:szCs w:val="20"/>
              </w:rPr>
              <w:t xml:space="preserve">закупке работ (услуг) на мероприятия по внедрению современных информационных систем в здравоохранение (01 Г N7 52350 242) – 95,6 %, что связано с проведением закупочных процедур медицинскими организациями самостоятельно, длительное согласование при проведении закупочных процедур и, как следствие, позднее </w:t>
            </w:r>
            <w:proofErr w:type="spellStart"/>
            <w:r w:rsidRPr="00D62563">
              <w:rPr>
                <w:sz w:val="20"/>
                <w:szCs w:val="20"/>
              </w:rPr>
              <w:t>контрактование</w:t>
            </w:r>
            <w:proofErr w:type="spellEnd"/>
            <w:r w:rsidRPr="00D62563">
              <w:rPr>
                <w:sz w:val="20"/>
                <w:szCs w:val="20"/>
              </w:rPr>
              <w:t xml:space="preserve">; </w:t>
            </w:r>
          </w:p>
          <w:p w:rsidR="00D62563" w:rsidRPr="00D62563" w:rsidRDefault="00D62563" w:rsidP="000C15B1">
            <w:pPr>
              <w:ind w:left="0" w:right="0" w:firstLine="284"/>
              <w:rPr>
                <w:sz w:val="20"/>
                <w:szCs w:val="20"/>
              </w:rPr>
            </w:pPr>
            <w:r w:rsidRPr="00D62563">
              <w:rPr>
                <w:sz w:val="20"/>
                <w:szCs w:val="20"/>
              </w:rPr>
              <w:t>субсидии на реализацию региональных проектов по созданию единого цифрового контура в здравоохранении на основе единой государственной информационной системы здравоохранения (ЕГИСЗ) (01 Г N7 51140 521) – 97,1 %, в связи с не заключением контрактов в 2 субъектах Российской Федерации (на региональном уровне длительный процесс межведомственного согласования закупочных процедур).</w:t>
            </w:r>
          </w:p>
          <w:p w:rsidR="00D62563" w:rsidRPr="00D62563" w:rsidRDefault="00D62563" w:rsidP="000C15B1">
            <w:pPr>
              <w:ind w:left="0" w:right="0" w:firstLine="284"/>
              <w:rPr>
                <w:sz w:val="20"/>
                <w:szCs w:val="20"/>
              </w:rPr>
            </w:pPr>
            <w:r w:rsidRPr="00D62563">
              <w:rPr>
                <w:sz w:val="20"/>
                <w:szCs w:val="20"/>
              </w:rPr>
              <w:t xml:space="preserve">Согласно отчетным данным Минздрава России по итогам 2019 года результат </w:t>
            </w:r>
            <w:r w:rsidRPr="00D62563">
              <w:rPr>
                <w:sz w:val="20"/>
                <w:szCs w:val="20"/>
                <w:lang w:eastAsia="en-US"/>
              </w:rPr>
              <w:lastRenderedPageBreak/>
              <w:t>федерального проекта</w:t>
            </w:r>
            <w:r w:rsidRPr="00D62563">
              <w:rPr>
                <w:sz w:val="20"/>
                <w:szCs w:val="20"/>
              </w:rPr>
              <w:t xml:space="preserve"> «100 %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в том числе с учреждениями </w:t>
            </w:r>
            <w:proofErr w:type="gramStart"/>
            <w:r w:rsidRPr="00D62563">
              <w:rPr>
                <w:sz w:val="20"/>
                <w:szCs w:val="20"/>
              </w:rPr>
              <w:t>медико-социальной</w:t>
            </w:r>
            <w:proofErr w:type="gramEnd"/>
            <w:r w:rsidRPr="00D62563">
              <w:rPr>
                <w:sz w:val="20"/>
                <w:szCs w:val="20"/>
              </w:rPr>
              <w:t xml:space="preserve"> экспертизы» не достигнут (фактически сложившееся значение по Российской Федерации – 14 %, при плане – 20 %). </w:t>
            </w:r>
          </w:p>
          <w:p w:rsidR="00D62563" w:rsidRPr="00D62563" w:rsidRDefault="00D62563" w:rsidP="000C15B1">
            <w:pPr>
              <w:ind w:left="0" w:right="0" w:firstLine="284"/>
              <w:rPr>
                <w:sz w:val="20"/>
                <w:szCs w:val="20"/>
              </w:rPr>
            </w:pPr>
            <w:r w:rsidRPr="00D62563">
              <w:rPr>
                <w:sz w:val="20"/>
                <w:szCs w:val="20"/>
              </w:rPr>
              <w:t xml:space="preserve">Сложившийся уровень исполнения (93,6 % показателя сводной росписи с изменениями) по </w:t>
            </w:r>
            <w:r w:rsidRPr="00D62563">
              <w:rPr>
                <w:sz w:val="20"/>
                <w:szCs w:val="20"/>
                <w:lang w:eastAsia="en-US"/>
              </w:rPr>
              <w:t>федеральному проекту</w:t>
            </w:r>
            <w:r w:rsidRPr="00D62563">
              <w:rPr>
                <w:sz w:val="20"/>
                <w:szCs w:val="20"/>
              </w:rPr>
              <w:t xml:space="preserve"> «Развитие детского здравоохранения, включая создание современной инфраструктуры оказания медицинской помощи детям» обусловлен неисполнением расходов по предоставлению субсидии на </w:t>
            </w:r>
            <w:proofErr w:type="spellStart"/>
            <w:r w:rsidRPr="00D62563">
              <w:rPr>
                <w:sz w:val="20"/>
                <w:szCs w:val="20"/>
              </w:rPr>
              <w:t>софинансирование</w:t>
            </w:r>
            <w:proofErr w:type="spellEnd"/>
            <w:r w:rsidRPr="00D62563">
              <w:rPr>
                <w:sz w:val="20"/>
                <w:szCs w:val="20"/>
              </w:rPr>
              <w:t xml:space="preserve"> мероприятия «Новое строительство или реконструкция детских больниц (корпусов)» (01</w:t>
            </w:r>
            <w:proofErr w:type="gramStart"/>
            <w:r w:rsidRPr="00D62563">
              <w:rPr>
                <w:sz w:val="20"/>
                <w:szCs w:val="20"/>
              </w:rPr>
              <w:t xml:space="preserve"> К</w:t>
            </w:r>
            <w:proofErr w:type="gramEnd"/>
            <w:r w:rsidRPr="00D62563">
              <w:rPr>
                <w:sz w:val="20"/>
                <w:szCs w:val="20"/>
              </w:rPr>
              <w:t xml:space="preserve"> N4 52460 522) - 77,2 % показателя сводной росписи с изменениями.</w:t>
            </w:r>
          </w:p>
          <w:p w:rsidR="00D62563" w:rsidRPr="00D62563" w:rsidRDefault="00D62563" w:rsidP="000C15B1">
            <w:pPr>
              <w:ind w:left="0" w:right="0" w:firstLine="284"/>
              <w:rPr>
                <w:sz w:val="20"/>
                <w:szCs w:val="20"/>
              </w:rPr>
            </w:pPr>
            <w:r w:rsidRPr="00D62563">
              <w:rPr>
                <w:sz w:val="20"/>
                <w:szCs w:val="20"/>
              </w:rPr>
              <w:t xml:space="preserve">По данным Минздрава России соглашения по предоставлению субсидии на </w:t>
            </w:r>
            <w:proofErr w:type="spellStart"/>
            <w:r w:rsidRPr="00D62563">
              <w:rPr>
                <w:sz w:val="20"/>
                <w:szCs w:val="20"/>
              </w:rPr>
              <w:t>софинансирование</w:t>
            </w:r>
            <w:proofErr w:type="spellEnd"/>
            <w:r w:rsidRPr="00D62563">
              <w:rPr>
                <w:sz w:val="20"/>
                <w:szCs w:val="20"/>
              </w:rPr>
              <w:t xml:space="preserve"> мероприятий по строительству и реконструкции детских больниц (корпусов) заключены с исполнительными органами государственной власти 8 субъектов Российской Федерации. По состоянию на 2 сентября 2019 года заключено 76 % контрактов. Согласно отчетным данным результат достижения представлен только по Белгородской области. Таким образом, сложившийся уровень кассового исполнения не подтверждает достижение результата по данному мероприятию.</w:t>
            </w:r>
          </w:p>
          <w:p w:rsidR="00D62563" w:rsidRPr="00D62563" w:rsidRDefault="00D62563" w:rsidP="000C15B1">
            <w:pPr>
              <w:ind w:left="0" w:right="0" w:firstLine="284"/>
              <w:rPr>
                <w:sz w:val="20"/>
                <w:szCs w:val="20"/>
              </w:rPr>
            </w:pPr>
            <w:proofErr w:type="gramStart"/>
            <w:r w:rsidRPr="00D62563">
              <w:rPr>
                <w:sz w:val="20"/>
                <w:szCs w:val="20"/>
              </w:rPr>
              <w:t xml:space="preserve">Согласно данным, представленным ФСО России о проблемах реализации </w:t>
            </w:r>
            <w:r w:rsidRPr="00D62563">
              <w:rPr>
                <w:sz w:val="20"/>
                <w:szCs w:val="20"/>
                <w:lang w:eastAsia="en-US"/>
              </w:rPr>
              <w:t>национального проекта</w:t>
            </w:r>
            <w:r w:rsidRPr="00D62563">
              <w:rPr>
                <w:sz w:val="20"/>
                <w:szCs w:val="20"/>
              </w:rPr>
              <w:t xml:space="preserve"> «Здравоохранение» (декабрь 2019 года), отмечены следующие наиболее значимые проблемы: затягивание сроков сдачи медицинских объектов; низкое качество медицинской помощи; нехватка медицинского персонала, особенно среднего и младшего звена; устаревшее оборудование и аварийное состояние зданий больниц и ряда других медицинских объектов.</w:t>
            </w:r>
            <w:proofErr w:type="gramEnd"/>
          </w:p>
          <w:p w:rsidR="00D62563" w:rsidRPr="00D62563" w:rsidRDefault="00D62563" w:rsidP="000C15B1">
            <w:pPr>
              <w:ind w:left="0" w:right="0" w:firstLine="284"/>
              <w:rPr>
                <w:sz w:val="20"/>
                <w:szCs w:val="20"/>
              </w:rPr>
            </w:pPr>
            <w:proofErr w:type="gramStart"/>
            <w:r w:rsidRPr="00D62563">
              <w:rPr>
                <w:sz w:val="20"/>
                <w:szCs w:val="20"/>
              </w:rPr>
              <w:t>Согласно данным паспортов федеральных проектов (с учетом внесенных изменений) к реализации в 2019 году предусмотрено 46 результатов в рамках задач утвержденных паспортами указанных проектов, из них по итогам 2019 года выполнено 44 (95,6 % планового количества результатов), из которых 1 – с нарушением срока реализации результата («В 85 субъектах Российской Федерации разработаны и утверждены региональные программы «Борьба с сердечно-сосудистыми заболеваниями» плановый срок</w:t>
            </w:r>
            <w:proofErr w:type="gramEnd"/>
            <w:r w:rsidRPr="00D62563">
              <w:rPr>
                <w:sz w:val="20"/>
                <w:szCs w:val="20"/>
              </w:rPr>
              <w:t xml:space="preserve"> реализации – 1 июля 2019 года, фактически – 29 октября 2019 года, просрочка составила 120 дней). </w:t>
            </w:r>
          </w:p>
          <w:p w:rsidR="00D62563" w:rsidRPr="00D62563" w:rsidRDefault="00D62563" w:rsidP="000C15B1">
            <w:pPr>
              <w:ind w:left="0" w:right="0" w:firstLine="284"/>
              <w:rPr>
                <w:sz w:val="20"/>
                <w:szCs w:val="20"/>
              </w:rPr>
            </w:pPr>
            <w:r w:rsidRPr="00D62563">
              <w:rPr>
                <w:sz w:val="20"/>
                <w:szCs w:val="20"/>
              </w:rPr>
              <w:t xml:space="preserve">В отчете Минздрава России, по </w:t>
            </w:r>
            <w:r w:rsidRPr="00D62563">
              <w:rPr>
                <w:sz w:val="20"/>
                <w:szCs w:val="20"/>
                <w:lang w:eastAsia="en-US"/>
              </w:rPr>
              <w:t>федеральному проекту</w:t>
            </w:r>
            <w:r w:rsidRPr="00D62563">
              <w:rPr>
                <w:sz w:val="20"/>
                <w:szCs w:val="20"/>
              </w:rPr>
              <w:t xml:space="preserve"> «Развитие системы оказания первичной медико-санитарной помощи», информация по достижению результата «В 85 субъектах Российской Федерации созданы региональные проектные офисы по созданию и внедрению «Новой модели медицинской организации, оказывающей первичную медико-санитарную помощь» (срок реализации – 30 мая 2019 года) отсутствует. Вместе с тем, согласно данным программного комплекса «Консультант Плюс Регион», в 9 субъектах Российской Федерации в рамках региональных проектов утверждены нормативные правовые акты по созданию проектных офисов, участвующих в «Новой модели медицинской организации, оказывающей первичную медико-санитарную помощь». Таким образом, по итогам 2019 года – результат не достигнут.  </w:t>
            </w:r>
          </w:p>
          <w:p w:rsidR="00D62563" w:rsidRPr="00D62563" w:rsidRDefault="00D62563" w:rsidP="000C15B1">
            <w:pPr>
              <w:ind w:left="0" w:right="0" w:firstLine="284"/>
              <w:rPr>
                <w:sz w:val="20"/>
                <w:szCs w:val="20"/>
              </w:rPr>
            </w:pPr>
            <w:proofErr w:type="gramStart"/>
            <w:r w:rsidRPr="00D62563">
              <w:rPr>
                <w:sz w:val="20"/>
                <w:szCs w:val="20"/>
              </w:rPr>
              <w:t xml:space="preserve">По </w:t>
            </w:r>
            <w:r w:rsidRPr="00D62563">
              <w:rPr>
                <w:sz w:val="20"/>
                <w:szCs w:val="20"/>
                <w:lang w:eastAsia="en-US"/>
              </w:rPr>
              <w:t>федеральному проекту</w:t>
            </w:r>
            <w:r w:rsidRPr="00D62563">
              <w:rPr>
                <w:sz w:val="20"/>
                <w:szCs w:val="20"/>
              </w:rPr>
              <w:t xml:space="preserve"> «Создание единого цифрового контура в здравоохранении на основе единой государственной информационной с</w:t>
            </w:r>
            <w:r w:rsidR="0058251A">
              <w:rPr>
                <w:sz w:val="20"/>
                <w:szCs w:val="20"/>
              </w:rPr>
              <w:t>истемы здравоохранения (ЕГИСЗ)»</w:t>
            </w:r>
            <w:r w:rsidRPr="00D62563">
              <w:rPr>
                <w:sz w:val="20"/>
                <w:szCs w:val="20"/>
              </w:rPr>
              <w:t>, согласно отчету Минздрава России, результат «100 % медицинских организаций государственной и муниципальной систем здравоохранения субъектов Российской Федерации обеспечивают межведомственное информационное взаимодействие, в том числе с учреждениями медико-социальной экспертизы» не выполнен (по данным отчета контрольная точка не достигнута в 48 субъектах Российской Федерации).</w:t>
            </w:r>
            <w:proofErr w:type="gramEnd"/>
          </w:p>
          <w:p w:rsidR="00D62563" w:rsidRPr="00D62563" w:rsidRDefault="00D62563" w:rsidP="000C15B1">
            <w:pPr>
              <w:ind w:left="0" w:right="0" w:firstLine="284"/>
              <w:rPr>
                <w:sz w:val="20"/>
                <w:szCs w:val="20"/>
              </w:rPr>
            </w:pPr>
            <w:proofErr w:type="gramStart"/>
            <w:r w:rsidRPr="00D62563">
              <w:rPr>
                <w:sz w:val="20"/>
                <w:szCs w:val="20"/>
              </w:rPr>
              <w:t xml:space="preserve">Кроме того, по результату «Организовано не менее 820 тысяч автоматизированных рабочих мест медицинских работников при внедрении и эксплуатации медицинских информационных систем, соответствующих требованиям Минздрава России в медицинских организациях государственной и муниципальной систем здравоохранения субъектов Российской Федерации», плановый показатель перевыполнен (факт 2019 года – 720 тыс. АРМ при плановом показателе – 700 тыс.), но вместе с тем отчеты о реализации результата указанного </w:t>
            </w:r>
            <w:r w:rsidRPr="00D62563">
              <w:rPr>
                <w:sz w:val="20"/>
                <w:szCs w:val="20"/>
                <w:lang w:eastAsia="en-US"/>
              </w:rPr>
              <w:t>федерального</w:t>
            </w:r>
            <w:proofErr w:type="gramEnd"/>
            <w:r w:rsidRPr="00D62563">
              <w:rPr>
                <w:sz w:val="20"/>
                <w:szCs w:val="20"/>
                <w:lang w:eastAsia="en-US"/>
              </w:rPr>
              <w:t xml:space="preserve"> проекта</w:t>
            </w:r>
            <w:r w:rsidRPr="00D62563">
              <w:rPr>
                <w:sz w:val="20"/>
                <w:szCs w:val="20"/>
              </w:rPr>
              <w:t xml:space="preserve"> в 6 субъектах Российской </w:t>
            </w:r>
            <w:r w:rsidRPr="00D62563">
              <w:rPr>
                <w:sz w:val="20"/>
                <w:szCs w:val="20"/>
              </w:rPr>
              <w:lastRenderedPageBreak/>
              <w:t xml:space="preserve">Федерации в Минздрав России по состоянию на 9 января 2020 года не представлены. </w:t>
            </w:r>
          </w:p>
          <w:p w:rsidR="00D62563" w:rsidRPr="00D62563" w:rsidRDefault="00D62563" w:rsidP="000C15B1">
            <w:pPr>
              <w:ind w:left="0" w:right="0" w:firstLine="284"/>
              <w:rPr>
                <w:sz w:val="20"/>
                <w:szCs w:val="20"/>
              </w:rPr>
            </w:pPr>
            <w:r w:rsidRPr="00D62563">
              <w:rPr>
                <w:sz w:val="20"/>
                <w:szCs w:val="20"/>
              </w:rPr>
              <w:t xml:space="preserve">По </w:t>
            </w:r>
            <w:r w:rsidRPr="00D62563">
              <w:rPr>
                <w:sz w:val="20"/>
                <w:szCs w:val="20"/>
                <w:lang w:eastAsia="en-US"/>
              </w:rPr>
              <w:t>федеральному проекту</w:t>
            </w:r>
            <w:r w:rsidRPr="00D62563">
              <w:rPr>
                <w:sz w:val="20"/>
                <w:szCs w:val="20"/>
              </w:rPr>
              <w:t xml:space="preserve"> «Борьба с сердечно-сосудистыми заболеваниями» – результат «</w:t>
            </w:r>
            <w:proofErr w:type="gramStart"/>
            <w:r w:rsidRPr="00D62563">
              <w:rPr>
                <w:sz w:val="20"/>
                <w:szCs w:val="20"/>
              </w:rPr>
              <w:t>Переоснащено</w:t>
            </w:r>
            <w:proofErr w:type="gramEnd"/>
            <w:r w:rsidRPr="00D62563">
              <w:rPr>
                <w:sz w:val="20"/>
                <w:szCs w:val="20"/>
              </w:rPr>
              <w:t>/дооснащено медицинским оборудованием не менее 140 региональных сосудистых центров и 469 первичных сосудистых отделений в 85 субъектах Российской Федерации (срок реализации – 31 декабря 2024 года) по данным отчета – в настоящее время в работе. Необходимо отметить, что для достижения данного результата к 2024 году Минздравом России в 2019 году проведена работа по включению в программу по оснащению медицинским оборудованием 297 медицинских организаций (105 – региональных сосудистых центра, 192 – первичных сосудистых отделения).</w:t>
            </w:r>
          </w:p>
          <w:p w:rsidR="00D62563" w:rsidRPr="00D62563" w:rsidRDefault="00D62563" w:rsidP="000C15B1">
            <w:pPr>
              <w:ind w:left="0" w:right="0" w:firstLine="284"/>
              <w:rPr>
                <w:sz w:val="20"/>
                <w:szCs w:val="20"/>
              </w:rPr>
            </w:pPr>
            <w:r w:rsidRPr="00D62563">
              <w:rPr>
                <w:sz w:val="20"/>
                <w:szCs w:val="20"/>
              </w:rPr>
              <w:t xml:space="preserve">Согласно годовому отчету о ходе реализации </w:t>
            </w:r>
            <w:r w:rsidRPr="00D62563">
              <w:rPr>
                <w:sz w:val="20"/>
                <w:szCs w:val="20"/>
                <w:lang w:eastAsia="en-US"/>
              </w:rPr>
              <w:t>национального проекта</w:t>
            </w:r>
            <w:r w:rsidRPr="00D62563">
              <w:rPr>
                <w:sz w:val="20"/>
                <w:szCs w:val="20"/>
              </w:rPr>
              <w:t xml:space="preserve"> «Здравоохранение» за 2019 год (отчет утвержден администратором </w:t>
            </w:r>
            <w:r w:rsidRPr="00D62563">
              <w:rPr>
                <w:sz w:val="20"/>
                <w:szCs w:val="20"/>
                <w:lang w:eastAsia="en-US"/>
              </w:rPr>
              <w:t>национального проекта</w:t>
            </w:r>
            <w:r w:rsidRPr="00D62563">
              <w:rPr>
                <w:sz w:val="20"/>
                <w:szCs w:val="20"/>
              </w:rPr>
              <w:t xml:space="preserve"> 22 января 2019 года) по всем 15 целевым показателям (5 показателей – основные; 10 – дополнительные) представлены прогнозные результаты на основании оперативного мониторинга.</w:t>
            </w:r>
          </w:p>
          <w:p w:rsidR="00D62563" w:rsidRPr="00D62563" w:rsidRDefault="00D62563" w:rsidP="000C15B1">
            <w:pPr>
              <w:ind w:left="0" w:right="0" w:firstLine="284"/>
              <w:rPr>
                <w:sz w:val="20"/>
                <w:szCs w:val="20"/>
              </w:rPr>
            </w:pPr>
            <w:r w:rsidRPr="00D62563">
              <w:rPr>
                <w:sz w:val="20"/>
                <w:szCs w:val="20"/>
              </w:rPr>
              <w:t xml:space="preserve">По итогам 2019 года в соответствии с данными отчета Минздрава России результаты </w:t>
            </w:r>
            <w:r w:rsidRPr="0058251A">
              <w:rPr>
                <w:b/>
                <w:sz w:val="20"/>
                <w:szCs w:val="20"/>
              </w:rPr>
              <w:t>не достигнуты</w:t>
            </w:r>
            <w:r w:rsidRPr="00D62563">
              <w:rPr>
                <w:sz w:val="20"/>
                <w:szCs w:val="20"/>
              </w:rPr>
              <w:t xml:space="preserve"> по основным 3 показателям («Снижение смертности населения трудоспособного возраста (до 350 случаев на 100 тыс. населения)»; </w:t>
            </w:r>
            <w:proofErr w:type="gramStart"/>
            <w:r w:rsidRPr="00D62563">
              <w:rPr>
                <w:sz w:val="20"/>
                <w:szCs w:val="20"/>
              </w:rPr>
              <w:t>«Снижение смертности от болезней системы кровообращения (до 450 случаев на 100 тыс. населения)», «Снижение смертности от новообразований, в том числе от злокачественных (до 185 случаев на 100 тыс. населения)» и по 4 дополнительным – «Укомплектованность медицинских организаций, оказывающих медицинскую помощь в амбулаторных условиях (доля занятых физическими лицами должностей в медицинских учреждениях, оказывающих медицинскую помощь в амбулаторных условиях), в % нарастающим итогом средними</w:t>
            </w:r>
            <w:proofErr w:type="gramEnd"/>
            <w:r w:rsidRPr="00D62563">
              <w:rPr>
                <w:sz w:val="20"/>
                <w:szCs w:val="20"/>
              </w:rPr>
              <w:t xml:space="preserve"> медицинскими работниками»; «Снижена больничная летальность от инфаркта миокарда, %»</w:t>
            </w:r>
            <w:proofErr w:type="gramStart"/>
            <w:r w:rsidRPr="00D62563">
              <w:rPr>
                <w:sz w:val="20"/>
                <w:szCs w:val="20"/>
              </w:rPr>
              <w:t>; «</w:t>
            </w:r>
            <w:proofErr w:type="gramEnd"/>
            <w:r w:rsidRPr="00D62563">
              <w:rPr>
                <w:sz w:val="20"/>
                <w:szCs w:val="20"/>
              </w:rPr>
              <w:t xml:space="preserve">Количество </w:t>
            </w:r>
            <w:proofErr w:type="spellStart"/>
            <w:r w:rsidRPr="00D62563">
              <w:rPr>
                <w:sz w:val="20"/>
                <w:szCs w:val="20"/>
              </w:rPr>
              <w:t>рентгенэндоваскулярных</w:t>
            </w:r>
            <w:proofErr w:type="spellEnd"/>
            <w:r w:rsidRPr="00D62563">
              <w:rPr>
                <w:sz w:val="20"/>
                <w:szCs w:val="20"/>
              </w:rPr>
              <w:t xml:space="preserve"> вмешательств в лечебных целях, в тыс. единиц»; «Увеличена доля новообразований, выявленных на ранних стадиях (I и II стадии), %».</w:t>
            </w:r>
          </w:p>
          <w:p w:rsidR="00D62563" w:rsidRPr="00D62563" w:rsidRDefault="00D62563" w:rsidP="000C15B1">
            <w:pPr>
              <w:ind w:left="0" w:right="0" w:firstLine="284"/>
              <w:rPr>
                <w:sz w:val="20"/>
                <w:szCs w:val="20"/>
              </w:rPr>
            </w:pPr>
            <w:proofErr w:type="gramStart"/>
            <w:r w:rsidRPr="00D62563">
              <w:rPr>
                <w:sz w:val="20"/>
                <w:szCs w:val="20"/>
              </w:rPr>
              <w:t xml:space="preserve">Следует отметить, что по итогам мониторинга за I полугодие и 9 месяцев 2019 года  можно было сделать вывод о </w:t>
            </w:r>
            <w:proofErr w:type="spellStart"/>
            <w:r w:rsidRPr="00D62563">
              <w:rPr>
                <w:sz w:val="20"/>
                <w:szCs w:val="20"/>
              </w:rPr>
              <w:t>недостижении</w:t>
            </w:r>
            <w:proofErr w:type="spellEnd"/>
            <w:r w:rsidRPr="00D62563">
              <w:rPr>
                <w:sz w:val="20"/>
                <w:szCs w:val="20"/>
              </w:rPr>
              <w:t xml:space="preserve"> (невыполнении) плановых значений основных показателей «Снижение смертности от болезней системы кровообращения (до 450 случаев на 100 тыс. населения)», «Снижение смертности от новообразований, в том числе от злокачественных (до 185 случаев на 100 тыс. населения), «Снижение смертности населения трудоспособного возраста (до</w:t>
            </w:r>
            <w:proofErr w:type="gramEnd"/>
            <w:r w:rsidRPr="00D62563">
              <w:rPr>
                <w:sz w:val="20"/>
                <w:szCs w:val="20"/>
              </w:rPr>
              <w:t xml:space="preserve"> </w:t>
            </w:r>
            <w:proofErr w:type="gramStart"/>
            <w:r w:rsidRPr="00D62563">
              <w:rPr>
                <w:sz w:val="20"/>
                <w:szCs w:val="20"/>
              </w:rPr>
              <w:t>350 случаев на 100 тыс. населения)» по фактически сложившимся (прогнозным) значениям.</w:t>
            </w:r>
            <w:proofErr w:type="gramEnd"/>
          </w:p>
          <w:p w:rsidR="00D62563" w:rsidRPr="00D62563" w:rsidRDefault="00D62563" w:rsidP="000C15B1">
            <w:pPr>
              <w:ind w:left="0" w:right="0" w:firstLine="284"/>
              <w:rPr>
                <w:sz w:val="20"/>
                <w:szCs w:val="20"/>
              </w:rPr>
            </w:pPr>
            <w:r w:rsidRPr="00D62563">
              <w:rPr>
                <w:sz w:val="20"/>
                <w:szCs w:val="20"/>
              </w:rPr>
              <w:t xml:space="preserve">Фактические значения указанных целевых показателей (данные мониторинга без учета окончательных медицинских свидетельств о смерти по состоянию на 30 ноября 2019 года) составили </w:t>
            </w:r>
            <w:proofErr w:type="gramStart"/>
            <w:r w:rsidRPr="00D62563">
              <w:rPr>
                <w:sz w:val="20"/>
                <w:szCs w:val="20"/>
              </w:rPr>
              <w:t>по</w:t>
            </w:r>
            <w:proofErr w:type="gramEnd"/>
            <w:r w:rsidRPr="00D62563">
              <w:rPr>
                <w:sz w:val="20"/>
                <w:szCs w:val="20"/>
              </w:rPr>
              <w:t>:</w:t>
            </w:r>
          </w:p>
          <w:p w:rsidR="00D62563" w:rsidRPr="00D62563" w:rsidRDefault="00D62563" w:rsidP="000C15B1">
            <w:pPr>
              <w:ind w:left="0" w:right="0" w:firstLine="284"/>
              <w:rPr>
                <w:sz w:val="20"/>
                <w:szCs w:val="20"/>
              </w:rPr>
            </w:pPr>
            <w:r w:rsidRPr="00D62563">
              <w:rPr>
                <w:sz w:val="20"/>
                <w:szCs w:val="20"/>
              </w:rPr>
              <w:t>смертности от болезней системы кровообращения 575,7 случая на 100 тыс. населения при плановом значении на 2019 год – 545 случая;</w:t>
            </w:r>
          </w:p>
          <w:p w:rsidR="00D62563" w:rsidRPr="00D62563" w:rsidRDefault="00D62563" w:rsidP="000C15B1">
            <w:pPr>
              <w:ind w:left="0" w:right="0" w:firstLine="284"/>
              <w:rPr>
                <w:sz w:val="20"/>
                <w:szCs w:val="20"/>
              </w:rPr>
            </w:pPr>
            <w:r w:rsidRPr="00D62563">
              <w:rPr>
                <w:sz w:val="20"/>
                <w:szCs w:val="20"/>
              </w:rPr>
              <w:t>показателю смертности от новообразований фактическое значение 202 случаев на 100 тыс. населения при плановом значении – 199,5;</w:t>
            </w:r>
          </w:p>
          <w:p w:rsidR="00D62563" w:rsidRPr="00D62563" w:rsidRDefault="00D62563" w:rsidP="000C15B1">
            <w:pPr>
              <w:ind w:left="0" w:right="0" w:firstLine="284"/>
              <w:rPr>
                <w:sz w:val="20"/>
                <w:szCs w:val="20"/>
              </w:rPr>
            </w:pPr>
            <w:r w:rsidRPr="00D62563">
              <w:rPr>
                <w:sz w:val="20"/>
                <w:szCs w:val="20"/>
              </w:rPr>
              <w:t>показателю «Снижение смертности населения трудоспособного возраста (до 350 случаев на 100 тыс. населения)» - 475,5 случаев при плановом значении – 437.</w:t>
            </w:r>
          </w:p>
          <w:p w:rsidR="00D62563" w:rsidRPr="00D62563" w:rsidRDefault="00D62563" w:rsidP="000C15B1">
            <w:pPr>
              <w:ind w:left="0" w:right="0" w:firstLine="284"/>
              <w:rPr>
                <w:sz w:val="20"/>
                <w:szCs w:val="20"/>
              </w:rPr>
            </w:pPr>
            <w:r w:rsidRPr="00D62563">
              <w:rPr>
                <w:sz w:val="20"/>
                <w:szCs w:val="20"/>
              </w:rPr>
              <w:t>По 4 дополнительным показателям фактически достигнутые результаты также представлены на основании оперативного мониторинга за 11 месяцев 2019 года:</w:t>
            </w:r>
          </w:p>
          <w:p w:rsidR="00D62563" w:rsidRPr="00D62563" w:rsidRDefault="00D62563" w:rsidP="000C15B1">
            <w:pPr>
              <w:ind w:left="0" w:right="0" w:firstLine="284"/>
              <w:rPr>
                <w:sz w:val="20"/>
                <w:szCs w:val="20"/>
              </w:rPr>
            </w:pPr>
            <w:proofErr w:type="gramStart"/>
            <w:r w:rsidRPr="00D62563">
              <w:rPr>
                <w:sz w:val="20"/>
                <w:szCs w:val="20"/>
              </w:rPr>
              <w:t>показатель «Укомплектованность медицинских организаций, оказывающих медицинскую помощь в амбулаторных условиях (доля занятых физическими лицами должностей в медицинских учреждениях, оказывающих медицинскую помощь в амбулаторных условиях), в % нарастающим итогом средними медицинскими работниками» - 86,7 % при плановом значении 90 % (уточненное фактическое значение по итогам года будет сформировано по форме федерального статистического наблюдения №</w:t>
            </w:r>
            <w:r w:rsidR="0058251A">
              <w:rPr>
                <w:sz w:val="20"/>
                <w:szCs w:val="20"/>
              </w:rPr>
              <w:t> </w:t>
            </w:r>
            <w:r w:rsidRPr="00D62563">
              <w:rPr>
                <w:sz w:val="20"/>
                <w:szCs w:val="20"/>
              </w:rPr>
              <w:t>30 (сведения о медицинской организации) до 25 марта года, следующего за отчетным);</w:t>
            </w:r>
            <w:proofErr w:type="gramEnd"/>
          </w:p>
          <w:p w:rsidR="00D62563" w:rsidRPr="00D62563" w:rsidRDefault="00D62563" w:rsidP="000C15B1">
            <w:pPr>
              <w:ind w:left="0" w:right="0" w:firstLine="284"/>
              <w:rPr>
                <w:sz w:val="20"/>
                <w:szCs w:val="20"/>
              </w:rPr>
            </w:pPr>
            <w:r w:rsidRPr="00D62563">
              <w:rPr>
                <w:sz w:val="20"/>
                <w:szCs w:val="20"/>
              </w:rPr>
              <w:t xml:space="preserve">по показателям «Снижена больничная летальность от инфаркта миокарда, %» (факт – 11,8 % при плане – 11,7 %); «Количество </w:t>
            </w:r>
            <w:proofErr w:type="spellStart"/>
            <w:r w:rsidRPr="00D62563">
              <w:rPr>
                <w:sz w:val="20"/>
                <w:szCs w:val="20"/>
              </w:rPr>
              <w:t>рентгенэндоваскулярных</w:t>
            </w:r>
            <w:proofErr w:type="spellEnd"/>
            <w:r w:rsidRPr="00D62563">
              <w:rPr>
                <w:sz w:val="20"/>
                <w:szCs w:val="20"/>
              </w:rPr>
              <w:t xml:space="preserve"> вмешательств в лечебных целях, в тыс. единиц» (факт – 211,5 при плане – 238,1 тыс. ед.); «Увеличена доля новообразований, выявленных на ранних стадиях (I и II стадии), %» (57 % при плановом значении – 57,9 %). Данные представлены также по </w:t>
            </w:r>
            <w:r w:rsidRPr="00D62563">
              <w:rPr>
                <w:sz w:val="20"/>
                <w:szCs w:val="20"/>
              </w:rPr>
              <w:lastRenderedPageBreak/>
              <w:t xml:space="preserve">результатам мониторинга за 11 месяцев 2019 года </w:t>
            </w:r>
          </w:p>
        </w:tc>
      </w:tr>
      <w:tr w:rsidR="00D62563" w:rsidTr="00D46E03">
        <w:tc>
          <w:tcPr>
            <w:tcW w:w="568" w:type="dxa"/>
          </w:tcPr>
          <w:p w:rsidR="00D62563" w:rsidRPr="00D62563" w:rsidRDefault="00D62563" w:rsidP="000C15B1">
            <w:pPr>
              <w:ind w:left="0" w:right="0" w:firstLine="0"/>
              <w:rPr>
                <w:b/>
                <w:sz w:val="20"/>
                <w:szCs w:val="20"/>
              </w:rPr>
            </w:pPr>
            <w:r>
              <w:rPr>
                <w:b/>
                <w:sz w:val="20"/>
                <w:szCs w:val="20"/>
              </w:rPr>
              <w:lastRenderedPageBreak/>
              <w:t>3</w:t>
            </w:r>
            <w:r w:rsidRPr="00D62563">
              <w:rPr>
                <w:b/>
                <w:sz w:val="20"/>
                <w:szCs w:val="20"/>
              </w:rPr>
              <w:t>.</w:t>
            </w:r>
          </w:p>
        </w:tc>
        <w:tc>
          <w:tcPr>
            <w:tcW w:w="2268" w:type="dxa"/>
          </w:tcPr>
          <w:p w:rsidR="00D62563" w:rsidRPr="00D62563" w:rsidRDefault="00D62563" w:rsidP="000C15B1">
            <w:pPr>
              <w:ind w:left="0" w:right="0" w:firstLine="0"/>
              <w:rPr>
                <w:b/>
                <w:sz w:val="20"/>
                <w:szCs w:val="20"/>
              </w:rPr>
            </w:pPr>
            <w:r w:rsidRPr="00D62563">
              <w:rPr>
                <w:b/>
                <w:sz w:val="20"/>
                <w:szCs w:val="20"/>
              </w:rPr>
              <w:t>Образование</w:t>
            </w:r>
          </w:p>
        </w:tc>
        <w:tc>
          <w:tcPr>
            <w:tcW w:w="7796" w:type="dxa"/>
          </w:tcPr>
          <w:p w:rsidR="00D62563" w:rsidRPr="00D62563" w:rsidRDefault="00D62563" w:rsidP="000C15B1">
            <w:pPr>
              <w:ind w:left="0" w:right="0" w:firstLine="284"/>
              <w:rPr>
                <w:sz w:val="20"/>
                <w:szCs w:val="20"/>
              </w:rPr>
            </w:pPr>
            <w:r w:rsidRPr="00D62563">
              <w:rPr>
                <w:sz w:val="20"/>
                <w:szCs w:val="20"/>
              </w:rPr>
              <w:t xml:space="preserve">В рамках реализации </w:t>
            </w:r>
            <w:r w:rsidRPr="00D62563">
              <w:rPr>
                <w:b/>
                <w:sz w:val="20"/>
                <w:szCs w:val="20"/>
              </w:rPr>
              <w:t xml:space="preserve">национального проекта «Образование» </w:t>
            </w:r>
            <w:r w:rsidRPr="00D62563">
              <w:rPr>
                <w:sz w:val="20"/>
                <w:szCs w:val="20"/>
              </w:rPr>
              <w:t>уровень исполнения бюджетных ассигнований составил 91 % показателя сводной росписи с изменениями.</w:t>
            </w:r>
            <w:r w:rsidRPr="00D62563">
              <w:rPr>
                <w:bCs/>
                <w:sz w:val="20"/>
                <w:szCs w:val="20"/>
              </w:rPr>
              <w:t xml:space="preserve"> По итогам 2019 года бюджетные ассигнования в рамках указанного национального проекта не исполнены в сумме 9 784,8 млн. рублей, или 9 %.</w:t>
            </w:r>
          </w:p>
          <w:p w:rsidR="00D62563" w:rsidRPr="00D62563" w:rsidRDefault="00D62563" w:rsidP="000C15B1">
            <w:pPr>
              <w:ind w:left="0" w:right="0" w:firstLine="284"/>
              <w:rPr>
                <w:sz w:val="20"/>
                <w:szCs w:val="20"/>
              </w:rPr>
            </w:pPr>
            <w:r w:rsidRPr="00D62563">
              <w:rPr>
                <w:sz w:val="20"/>
                <w:szCs w:val="20"/>
              </w:rPr>
              <w:t xml:space="preserve">В отчетном периоде из 10 </w:t>
            </w:r>
            <w:r w:rsidRPr="00D62563">
              <w:rPr>
                <w:sz w:val="20"/>
                <w:szCs w:val="20"/>
                <w:lang w:eastAsia="en-US"/>
              </w:rPr>
              <w:t>федеральных проектов</w:t>
            </w:r>
            <w:r w:rsidRPr="00D62563">
              <w:rPr>
                <w:sz w:val="20"/>
                <w:szCs w:val="20"/>
              </w:rPr>
              <w:t xml:space="preserve"> в полном объеме профинансированы 3: </w:t>
            </w:r>
            <w:r w:rsidRPr="00D62563">
              <w:rPr>
                <w:sz w:val="20"/>
                <w:szCs w:val="20"/>
                <w:lang w:eastAsia="en-US"/>
              </w:rPr>
              <w:t>федеральный проект</w:t>
            </w:r>
            <w:r w:rsidRPr="00D62563">
              <w:rPr>
                <w:sz w:val="20"/>
                <w:szCs w:val="20"/>
              </w:rPr>
              <w:t xml:space="preserve"> «Поддержка семей, имеющих детей», </w:t>
            </w:r>
            <w:r w:rsidRPr="00D62563">
              <w:rPr>
                <w:sz w:val="20"/>
                <w:szCs w:val="20"/>
                <w:lang w:eastAsia="en-US"/>
              </w:rPr>
              <w:t>федеральный проект</w:t>
            </w:r>
            <w:r w:rsidRPr="00D62563">
              <w:rPr>
                <w:sz w:val="20"/>
                <w:szCs w:val="20"/>
              </w:rPr>
              <w:t xml:space="preserve"> «Учитель будущего» и </w:t>
            </w:r>
            <w:r w:rsidRPr="00D62563">
              <w:rPr>
                <w:sz w:val="20"/>
                <w:szCs w:val="20"/>
                <w:lang w:eastAsia="en-US"/>
              </w:rPr>
              <w:t>федеральный проект</w:t>
            </w:r>
            <w:r w:rsidR="0058251A">
              <w:rPr>
                <w:sz w:val="20"/>
                <w:szCs w:val="20"/>
              </w:rPr>
              <w:t xml:space="preserve"> «Социальные лифты для каждого»</w:t>
            </w:r>
            <w:r w:rsidRPr="00D62563">
              <w:rPr>
                <w:sz w:val="20"/>
                <w:szCs w:val="20"/>
              </w:rPr>
              <w:t>.</w:t>
            </w:r>
          </w:p>
          <w:p w:rsidR="00D62563" w:rsidRPr="00D62563" w:rsidRDefault="00D62563" w:rsidP="000C15B1">
            <w:pPr>
              <w:ind w:left="0" w:right="0" w:firstLine="284"/>
              <w:rPr>
                <w:sz w:val="20"/>
                <w:szCs w:val="20"/>
              </w:rPr>
            </w:pPr>
            <w:r w:rsidRPr="00D62563">
              <w:rPr>
                <w:sz w:val="20"/>
                <w:szCs w:val="20"/>
              </w:rPr>
              <w:t>На достаточно высоком уровне (более 95 %) исполнены расходы на мероприятия по 5 федеральным проектам:</w:t>
            </w:r>
          </w:p>
          <w:p w:rsidR="00D62563" w:rsidRPr="00D62563" w:rsidRDefault="00D62563" w:rsidP="000C15B1">
            <w:pPr>
              <w:ind w:left="0" w:right="0" w:firstLine="284"/>
              <w:rPr>
                <w:sz w:val="20"/>
                <w:szCs w:val="20"/>
              </w:rPr>
            </w:pPr>
            <w:r w:rsidRPr="00D62563">
              <w:rPr>
                <w:sz w:val="20"/>
                <w:szCs w:val="20"/>
                <w:lang w:eastAsia="en-US"/>
              </w:rPr>
              <w:t>по федеральному проекту</w:t>
            </w:r>
            <w:r w:rsidRPr="00D62563">
              <w:rPr>
                <w:sz w:val="20"/>
                <w:szCs w:val="20"/>
              </w:rPr>
              <w:t xml:space="preserve"> «Молодые профессионалы» исполнение составило 99,2 % показателя сводной росписи с изменениями; </w:t>
            </w:r>
          </w:p>
          <w:p w:rsidR="00D62563" w:rsidRPr="00D62563" w:rsidRDefault="00D62563" w:rsidP="000C15B1">
            <w:pPr>
              <w:ind w:left="0" w:right="0" w:firstLine="284"/>
              <w:rPr>
                <w:sz w:val="20"/>
                <w:szCs w:val="20"/>
              </w:rPr>
            </w:pPr>
            <w:r w:rsidRPr="00D62563">
              <w:rPr>
                <w:sz w:val="20"/>
                <w:szCs w:val="20"/>
                <w:lang w:eastAsia="en-US"/>
              </w:rPr>
              <w:t>по федеральному проекту</w:t>
            </w:r>
            <w:r w:rsidRPr="00D62563">
              <w:rPr>
                <w:sz w:val="20"/>
                <w:szCs w:val="20"/>
              </w:rPr>
              <w:t xml:space="preserve"> «Успех каждого ребенка» исполнение сложилось на уровне 98,6 % показателя сводной росписи с изменениями. </w:t>
            </w:r>
            <w:proofErr w:type="gramStart"/>
            <w:r w:rsidRPr="00D62563">
              <w:rPr>
                <w:sz w:val="20"/>
                <w:szCs w:val="20"/>
              </w:rPr>
              <w:t xml:space="preserve">При этом в рамках </w:t>
            </w:r>
            <w:r w:rsidRPr="00D62563">
              <w:rPr>
                <w:sz w:val="20"/>
                <w:szCs w:val="20"/>
                <w:lang w:eastAsia="en-US"/>
              </w:rPr>
              <w:t>федерального проекта</w:t>
            </w:r>
            <w:r w:rsidRPr="00D62563">
              <w:rPr>
                <w:sz w:val="20"/>
                <w:szCs w:val="20"/>
              </w:rPr>
              <w:t xml:space="preserve"> наиболее низкий уровень исполнения отмечен по мероприятиям, связанным с закупками товаров и услуг на обеспечение условий для освоения общеобразовательных программ детьми с ограниченными возможностями (50,2 %), а также по выплатам персоналу в рамках проведения российских и международных олимпиад, в том числе Международной математической олимпиады в Санкт-Петербурге (74 %);</w:t>
            </w:r>
            <w:proofErr w:type="gramEnd"/>
          </w:p>
          <w:p w:rsidR="00D62563" w:rsidRPr="00D62563" w:rsidRDefault="00D62563" w:rsidP="000C15B1">
            <w:pPr>
              <w:ind w:left="0" w:right="0" w:firstLine="284"/>
              <w:rPr>
                <w:sz w:val="20"/>
                <w:szCs w:val="20"/>
              </w:rPr>
            </w:pPr>
            <w:r w:rsidRPr="00D62563">
              <w:rPr>
                <w:sz w:val="20"/>
                <w:szCs w:val="20"/>
                <w:lang w:eastAsia="en-US"/>
              </w:rPr>
              <w:t>по федеральному проекту</w:t>
            </w:r>
            <w:r w:rsidRPr="00D62563">
              <w:rPr>
                <w:sz w:val="20"/>
                <w:szCs w:val="20"/>
              </w:rPr>
              <w:t xml:space="preserve"> «Новые возможности для каждого» исполнение составило 95,7 % показателя сводной росписи с изменениями. В отчетном периоде по указанному </w:t>
            </w:r>
            <w:r w:rsidRPr="00D62563">
              <w:rPr>
                <w:sz w:val="20"/>
                <w:szCs w:val="20"/>
                <w:lang w:eastAsia="en-US"/>
              </w:rPr>
              <w:t>федеральному проекту</w:t>
            </w:r>
            <w:r w:rsidRPr="00D62563">
              <w:rPr>
                <w:sz w:val="20"/>
                <w:szCs w:val="20"/>
              </w:rPr>
              <w:t xml:space="preserve"> не в полном объеме исполнены расходы по предоставлению грантов в форме субсидии бюджетным учреждениям на осуществление подготовки научно-педагогических работников и работников организаций-работодателей к реализации современных программ непрерывного образования (97,3 % показателя сводной росписи с изменениями);</w:t>
            </w:r>
          </w:p>
          <w:p w:rsidR="00D62563" w:rsidRPr="00D62563" w:rsidRDefault="00D62563" w:rsidP="000C15B1">
            <w:pPr>
              <w:ind w:left="0" w:right="0" w:firstLine="284"/>
              <w:rPr>
                <w:sz w:val="20"/>
                <w:szCs w:val="20"/>
              </w:rPr>
            </w:pPr>
            <w:r w:rsidRPr="00D62563">
              <w:rPr>
                <w:sz w:val="20"/>
                <w:szCs w:val="20"/>
                <w:lang w:eastAsia="en-US"/>
              </w:rPr>
              <w:t>по федеральному проекту</w:t>
            </w:r>
            <w:r w:rsidRPr="00D62563">
              <w:rPr>
                <w:sz w:val="20"/>
                <w:szCs w:val="20"/>
              </w:rPr>
              <w:t xml:space="preserve"> «Цифровая образовательная среда» мероприятия профинансированы на 95,2 % показателя сводной росписи с изменениями. По итогам 2019 года по данному </w:t>
            </w:r>
            <w:r w:rsidRPr="00D62563">
              <w:rPr>
                <w:sz w:val="20"/>
                <w:szCs w:val="20"/>
                <w:lang w:eastAsia="en-US"/>
              </w:rPr>
              <w:t>федеральному проекту</w:t>
            </w:r>
            <w:r w:rsidRPr="00D62563">
              <w:rPr>
                <w:sz w:val="20"/>
                <w:szCs w:val="20"/>
              </w:rPr>
              <w:t xml:space="preserve"> исполнение расходов на закупку товаров, работ и услуг для разработки программ профессиональной подготовки руководителей осуществляющих государственное управление в сфере образования по внедрению в образовательных организациях целевой модели цифровой образовательной среды составило 29,8 %.</w:t>
            </w:r>
          </w:p>
          <w:p w:rsidR="00D62563" w:rsidRPr="00D62563" w:rsidRDefault="00D62563" w:rsidP="000C15B1">
            <w:pPr>
              <w:ind w:left="0" w:right="0" w:firstLine="284"/>
              <w:rPr>
                <w:sz w:val="20"/>
                <w:szCs w:val="20"/>
              </w:rPr>
            </w:pPr>
            <w:r w:rsidRPr="00D62563">
              <w:rPr>
                <w:sz w:val="20"/>
                <w:szCs w:val="20"/>
              </w:rPr>
              <w:t xml:space="preserve">На уровне более 90 % показателя сводной росписи с изменениями в отчетном периоде исполнены расходы по 2 </w:t>
            </w:r>
            <w:r w:rsidRPr="00D62563">
              <w:rPr>
                <w:sz w:val="20"/>
                <w:szCs w:val="20"/>
                <w:lang w:eastAsia="en-US"/>
              </w:rPr>
              <w:t>федеральным проектам</w:t>
            </w:r>
            <w:r w:rsidRPr="00D62563">
              <w:rPr>
                <w:sz w:val="20"/>
                <w:szCs w:val="20"/>
              </w:rPr>
              <w:t>:</w:t>
            </w:r>
          </w:p>
          <w:p w:rsidR="00D62563" w:rsidRPr="00D62563" w:rsidRDefault="00D62563" w:rsidP="000C15B1">
            <w:pPr>
              <w:ind w:left="0" w:right="0" w:firstLine="284"/>
              <w:rPr>
                <w:sz w:val="20"/>
                <w:szCs w:val="20"/>
              </w:rPr>
            </w:pPr>
            <w:r w:rsidRPr="00D62563">
              <w:rPr>
                <w:sz w:val="20"/>
                <w:szCs w:val="20"/>
              </w:rPr>
              <w:t xml:space="preserve">«Экспорт образования» – 94,3 % показателя сводной росписи с изменениями. В рамках указанного </w:t>
            </w:r>
            <w:r w:rsidRPr="00D62563">
              <w:rPr>
                <w:sz w:val="20"/>
                <w:szCs w:val="20"/>
                <w:lang w:eastAsia="en-US"/>
              </w:rPr>
              <w:t>федерального проекта</w:t>
            </w:r>
            <w:r w:rsidRPr="00D62563">
              <w:rPr>
                <w:sz w:val="20"/>
                <w:szCs w:val="20"/>
              </w:rPr>
              <w:t xml:space="preserve"> исполнение расходов на осуществление конкурсных процедур по мероприятию, связанному с увеличением количества иностранных граждан, обучающихся по программа</w:t>
            </w:r>
            <w:r w:rsidR="0058251A">
              <w:rPr>
                <w:sz w:val="20"/>
                <w:szCs w:val="20"/>
              </w:rPr>
              <w:t>м</w:t>
            </w:r>
            <w:r w:rsidRPr="00D62563">
              <w:rPr>
                <w:sz w:val="20"/>
                <w:szCs w:val="20"/>
              </w:rPr>
              <w:t xml:space="preserve"> высшего образования, составило лишь 25 % показателя сводной росписи с изменениями.</w:t>
            </w:r>
          </w:p>
          <w:p w:rsidR="00D62563" w:rsidRPr="00D62563" w:rsidRDefault="00D62563" w:rsidP="000C15B1">
            <w:pPr>
              <w:ind w:left="0" w:right="0" w:firstLine="284"/>
              <w:rPr>
                <w:sz w:val="20"/>
                <w:szCs w:val="20"/>
              </w:rPr>
            </w:pPr>
            <w:r w:rsidRPr="00D62563">
              <w:rPr>
                <w:sz w:val="20"/>
                <w:szCs w:val="20"/>
              </w:rPr>
              <w:t>«Социальная активность» - 91,9 % показателя сводной росписи с изменениями, что связано с не предоставлением в полном объеме субсидий на создание и эксплуатацию образовательных центров для молодых деятелей культуры и искусства «Арт-резиденция «Таврида» (0,6 %) и подмосковного образовательного центра (74,4 %), а также на проведение на его базе образовательных мероприятий (69,2 %).</w:t>
            </w:r>
          </w:p>
          <w:p w:rsidR="00D62563" w:rsidRPr="00D62563" w:rsidRDefault="00D62563" w:rsidP="000C15B1">
            <w:pPr>
              <w:ind w:left="0" w:right="0" w:firstLine="284"/>
              <w:rPr>
                <w:sz w:val="20"/>
                <w:szCs w:val="20"/>
              </w:rPr>
            </w:pPr>
            <w:proofErr w:type="gramStart"/>
            <w:r w:rsidRPr="00D62563">
              <w:rPr>
                <w:sz w:val="20"/>
                <w:szCs w:val="20"/>
              </w:rPr>
              <w:t xml:space="preserve">Низкий уровень исполнения сложился по </w:t>
            </w:r>
            <w:r w:rsidRPr="00D62563">
              <w:rPr>
                <w:sz w:val="20"/>
                <w:szCs w:val="20"/>
                <w:lang w:eastAsia="en-US"/>
              </w:rPr>
              <w:t>федеральному проекту</w:t>
            </w:r>
            <w:r w:rsidRPr="00D62563">
              <w:rPr>
                <w:sz w:val="20"/>
                <w:szCs w:val="20"/>
              </w:rPr>
              <w:t xml:space="preserve"> «Современная школа» - 83,5 % показателя сводной росписи с изменениями, что связано с уровнем предоставления межбюджетных трансфертов бюджетам субъектов Российской Федерации на мероприятия по созданию новых мест в общеобразовательных организациях (68,8 %), ликвидации третьей смены обучения (67 %), а также по исполнению расходов, связанных с проведением конкурсных процедур для обеспечения государственных (муниципальных) нужд на мероприятия в рамках</w:t>
            </w:r>
            <w:proofErr w:type="gramEnd"/>
            <w:r w:rsidRPr="00D62563">
              <w:rPr>
                <w:sz w:val="20"/>
                <w:szCs w:val="20"/>
              </w:rPr>
              <w:t xml:space="preserve"> социально-экономического развития субъектов Российской Федерации, входящих в состав СКФО - 66,5 %.</w:t>
            </w:r>
          </w:p>
          <w:p w:rsidR="00D62563" w:rsidRPr="00D62563" w:rsidRDefault="00D62563" w:rsidP="000C15B1">
            <w:pPr>
              <w:ind w:left="0" w:right="0" w:firstLine="284"/>
              <w:rPr>
                <w:sz w:val="20"/>
                <w:szCs w:val="20"/>
              </w:rPr>
            </w:pPr>
            <w:proofErr w:type="gramStart"/>
            <w:r w:rsidRPr="00D62563">
              <w:rPr>
                <w:sz w:val="20"/>
                <w:szCs w:val="20"/>
              </w:rPr>
              <w:t xml:space="preserve">Согласно отчету </w:t>
            </w:r>
            <w:proofErr w:type="spellStart"/>
            <w:r w:rsidRPr="00D62563">
              <w:rPr>
                <w:sz w:val="20"/>
                <w:szCs w:val="20"/>
              </w:rPr>
              <w:t>Минпросвещения</w:t>
            </w:r>
            <w:proofErr w:type="spellEnd"/>
            <w:r w:rsidRPr="00D62563">
              <w:rPr>
                <w:sz w:val="20"/>
                <w:szCs w:val="20"/>
              </w:rPr>
              <w:t xml:space="preserve"> России, основными причинами низкого уровня исполнения расходов по мероприятиям «Создание новых мест в общеобразовательных организациях, расположенных в сельской местности и поселках городского типа», и </w:t>
            </w:r>
            <w:r w:rsidRPr="00D62563">
              <w:rPr>
                <w:sz w:val="20"/>
                <w:szCs w:val="20"/>
              </w:rPr>
              <w:lastRenderedPageBreak/>
              <w:t>«Создание не менее 230 тыс. новых мест в общеобразовательных организациях (продолжение реализации приоритетного проекта «Современная образовательная среда для школьников») являются: несоответствие выбранной проектной документации текущим нормам и требованиям, увеличение сроков разработки и проведения</w:t>
            </w:r>
            <w:proofErr w:type="gramEnd"/>
            <w:r w:rsidRPr="00D62563">
              <w:rPr>
                <w:sz w:val="20"/>
                <w:szCs w:val="20"/>
              </w:rPr>
              <w:t xml:space="preserve"> государственной экспертизы проектной документации объектов строительства, позднее внесение проектной документации в реестр экономически эффективной проектной документации Минстроя России, а также несвоевременное заключение контрактов с генеральными подрядчиками.</w:t>
            </w:r>
          </w:p>
          <w:p w:rsidR="00D62563" w:rsidRPr="00D62563" w:rsidRDefault="00D62563" w:rsidP="000C15B1">
            <w:pPr>
              <w:ind w:left="0" w:right="0" w:firstLine="284"/>
              <w:rPr>
                <w:sz w:val="20"/>
                <w:szCs w:val="20"/>
              </w:rPr>
            </w:pPr>
            <w:r w:rsidRPr="00D62563">
              <w:rPr>
                <w:sz w:val="20"/>
                <w:szCs w:val="20"/>
              </w:rPr>
              <w:t xml:space="preserve">Нарушение срока реализации мероприятия «Обеспечение возможности изучать предметную область «Технология» и других предметных областей на базе организаций, имеющих </w:t>
            </w:r>
            <w:proofErr w:type="spellStart"/>
            <w:r w:rsidRPr="00D62563">
              <w:rPr>
                <w:sz w:val="20"/>
                <w:szCs w:val="20"/>
              </w:rPr>
              <w:t>высокооснащенные</w:t>
            </w:r>
            <w:proofErr w:type="spellEnd"/>
            <w:r w:rsidRPr="00D62563">
              <w:rPr>
                <w:sz w:val="20"/>
                <w:szCs w:val="20"/>
              </w:rPr>
              <w:t xml:space="preserve"> </w:t>
            </w:r>
            <w:proofErr w:type="spellStart"/>
            <w:r w:rsidRPr="00D62563">
              <w:rPr>
                <w:sz w:val="20"/>
                <w:szCs w:val="20"/>
              </w:rPr>
              <w:t>ученико</w:t>
            </w:r>
            <w:proofErr w:type="spellEnd"/>
            <w:r w:rsidRPr="00D62563">
              <w:rPr>
                <w:sz w:val="20"/>
                <w:szCs w:val="20"/>
              </w:rPr>
              <w:t>-места, в т. ч. детских технопарков «</w:t>
            </w:r>
            <w:proofErr w:type="spellStart"/>
            <w:r w:rsidRPr="00D62563">
              <w:rPr>
                <w:sz w:val="20"/>
                <w:szCs w:val="20"/>
              </w:rPr>
              <w:t>Кванториум</w:t>
            </w:r>
            <w:proofErr w:type="spellEnd"/>
            <w:r w:rsidRPr="00D62563">
              <w:rPr>
                <w:sz w:val="20"/>
                <w:szCs w:val="20"/>
              </w:rPr>
              <w:t xml:space="preserve">», связано с перераспределением средств федерального бюджета. При этом лимиты бюджетных обязательств по состоянию на 1 января 2020 года до </w:t>
            </w:r>
            <w:proofErr w:type="spellStart"/>
            <w:r w:rsidRPr="00D62563">
              <w:rPr>
                <w:sz w:val="20"/>
                <w:szCs w:val="20"/>
              </w:rPr>
              <w:t>Минпросвещения</w:t>
            </w:r>
            <w:proofErr w:type="spellEnd"/>
            <w:r w:rsidRPr="00D62563">
              <w:rPr>
                <w:sz w:val="20"/>
                <w:szCs w:val="20"/>
              </w:rPr>
              <w:t xml:space="preserve"> России не были доведены. Поэтому осуществление конкурсных процедур в рамках реализации мероприятия по апробации системы профилактики трудностей в обучении у обучающихся, согласно отчету </w:t>
            </w:r>
            <w:proofErr w:type="spellStart"/>
            <w:r w:rsidRPr="00D62563">
              <w:rPr>
                <w:sz w:val="20"/>
                <w:szCs w:val="20"/>
              </w:rPr>
              <w:t>Минпросвещения</w:t>
            </w:r>
            <w:proofErr w:type="spellEnd"/>
            <w:r w:rsidRPr="00D62563">
              <w:rPr>
                <w:sz w:val="20"/>
                <w:szCs w:val="20"/>
              </w:rPr>
              <w:t xml:space="preserve"> России по </w:t>
            </w:r>
            <w:r w:rsidRPr="00D62563">
              <w:rPr>
                <w:sz w:val="20"/>
                <w:szCs w:val="20"/>
                <w:lang w:eastAsia="en-US"/>
              </w:rPr>
              <w:t>федеральному проекту</w:t>
            </w:r>
            <w:r w:rsidRPr="00D62563">
              <w:rPr>
                <w:sz w:val="20"/>
                <w:szCs w:val="20"/>
              </w:rPr>
              <w:t xml:space="preserve"> «Современная школа» (Е</w:t>
            </w:r>
            <w:proofErr w:type="gramStart"/>
            <w:r w:rsidRPr="00D62563">
              <w:rPr>
                <w:sz w:val="20"/>
                <w:szCs w:val="20"/>
              </w:rPr>
              <w:t>1</w:t>
            </w:r>
            <w:proofErr w:type="gramEnd"/>
            <w:r w:rsidRPr="00D62563">
              <w:rPr>
                <w:sz w:val="20"/>
                <w:szCs w:val="20"/>
              </w:rPr>
              <w:t>), запланировано в 2020 год.</w:t>
            </w:r>
          </w:p>
          <w:p w:rsidR="00D62563" w:rsidRPr="00D62563" w:rsidRDefault="00D62563" w:rsidP="000C15B1">
            <w:pPr>
              <w:ind w:left="0" w:right="0" w:firstLine="284"/>
              <w:rPr>
                <w:sz w:val="20"/>
                <w:szCs w:val="20"/>
              </w:rPr>
            </w:pPr>
            <w:proofErr w:type="gramStart"/>
            <w:r w:rsidRPr="00D62563">
              <w:rPr>
                <w:sz w:val="20"/>
                <w:szCs w:val="20"/>
              </w:rPr>
              <w:t>Низкий уровень исполнения расходов по мероприятию «Разработка методологии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связан с уровнем объема консолидированной субсидии.</w:t>
            </w:r>
            <w:proofErr w:type="gramEnd"/>
          </w:p>
          <w:p w:rsidR="00D62563" w:rsidRPr="00D62563" w:rsidRDefault="00D62563" w:rsidP="000C15B1">
            <w:pPr>
              <w:ind w:left="0" w:right="0" w:firstLine="284"/>
              <w:rPr>
                <w:sz w:val="20"/>
                <w:szCs w:val="20"/>
              </w:rPr>
            </w:pPr>
            <w:proofErr w:type="spellStart"/>
            <w:r w:rsidRPr="00D62563">
              <w:rPr>
                <w:sz w:val="20"/>
                <w:szCs w:val="20"/>
              </w:rPr>
              <w:t>Минпросвещения</w:t>
            </w:r>
            <w:proofErr w:type="spellEnd"/>
            <w:r w:rsidRPr="00D62563">
              <w:rPr>
                <w:sz w:val="20"/>
                <w:szCs w:val="20"/>
              </w:rPr>
              <w:t xml:space="preserve"> России были </w:t>
            </w:r>
            <w:r w:rsidRPr="00A80F80">
              <w:rPr>
                <w:b/>
                <w:sz w:val="20"/>
                <w:szCs w:val="20"/>
              </w:rPr>
              <w:t>выявлены риски</w:t>
            </w:r>
            <w:r w:rsidRPr="00D62563">
              <w:rPr>
                <w:sz w:val="20"/>
                <w:szCs w:val="20"/>
              </w:rPr>
              <w:t xml:space="preserve"> в проведении мероприятий по заключению соглашений (контрактов) по реализации </w:t>
            </w:r>
            <w:r w:rsidRPr="00D62563">
              <w:rPr>
                <w:sz w:val="20"/>
                <w:szCs w:val="20"/>
                <w:lang w:eastAsia="en-US"/>
              </w:rPr>
              <w:t>федерального проекта</w:t>
            </w:r>
            <w:r w:rsidRPr="00D62563">
              <w:rPr>
                <w:sz w:val="20"/>
                <w:szCs w:val="20"/>
              </w:rPr>
              <w:t xml:space="preserve"> и национального проекта в целом на региональном уровне, а также риски в обеспечении своевременного расходования средств на реализацию проектов:</w:t>
            </w:r>
          </w:p>
          <w:p w:rsidR="00D62563" w:rsidRPr="00D62563" w:rsidRDefault="00D62563" w:rsidP="000C15B1">
            <w:pPr>
              <w:ind w:left="0" w:right="0" w:firstLine="284"/>
              <w:rPr>
                <w:sz w:val="20"/>
                <w:szCs w:val="20"/>
              </w:rPr>
            </w:pPr>
            <w:r w:rsidRPr="00D62563">
              <w:rPr>
                <w:sz w:val="20"/>
                <w:szCs w:val="20"/>
              </w:rPr>
              <w:t xml:space="preserve">сложность при заключении </w:t>
            </w:r>
            <w:proofErr w:type="spellStart"/>
            <w:r w:rsidRPr="00D62563">
              <w:rPr>
                <w:sz w:val="20"/>
                <w:szCs w:val="20"/>
              </w:rPr>
              <w:t>госконтрактов</w:t>
            </w:r>
            <w:proofErr w:type="spellEnd"/>
            <w:r w:rsidRPr="00D62563">
              <w:rPr>
                <w:sz w:val="20"/>
                <w:szCs w:val="20"/>
              </w:rPr>
              <w:t xml:space="preserve"> - отсутствуют согласованные </w:t>
            </w:r>
            <w:proofErr w:type="spellStart"/>
            <w:r w:rsidRPr="00D62563">
              <w:rPr>
                <w:sz w:val="20"/>
                <w:szCs w:val="20"/>
              </w:rPr>
              <w:t>Минпросвещения</w:t>
            </w:r>
            <w:proofErr w:type="spellEnd"/>
            <w:r w:rsidRPr="00D62563">
              <w:rPr>
                <w:sz w:val="20"/>
                <w:szCs w:val="20"/>
              </w:rPr>
              <w:t xml:space="preserve"> России, ведомственным проектным офисом перечни оборудования в рамках реализации ряда мероприятий </w:t>
            </w:r>
            <w:r w:rsidRPr="00D62563">
              <w:rPr>
                <w:sz w:val="20"/>
                <w:szCs w:val="20"/>
                <w:lang w:eastAsia="en-US"/>
              </w:rPr>
              <w:t>национального проекта</w:t>
            </w:r>
            <w:r w:rsidRPr="00D62563">
              <w:rPr>
                <w:sz w:val="20"/>
                <w:szCs w:val="20"/>
              </w:rPr>
              <w:t xml:space="preserve"> «Образование»;</w:t>
            </w:r>
          </w:p>
          <w:p w:rsidR="00D62563" w:rsidRPr="00D62563" w:rsidRDefault="00D62563" w:rsidP="000C15B1">
            <w:pPr>
              <w:ind w:left="0" w:right="0" w:firstLine="284"/>
              <w:rPr>
                <w:sz w:val="20"/>
                <w:szCs w:val="20"/>
              </w:rPr>
            </w:pPr>
            <w:r w:rsidRPr="00D62563">
              <w:rPr>
                <w:sz w:val="20"/>
                <w:szCs w:val="20"/>
              </w:rPr>
              <w:t>отмечается сложность и длительность процедур, предусмотренных законодательством по контрактной системе;</w:t>
            </w:r>
          </w:p>
          <w:p w:rsidR="00D62563" w:rsidRPr="00D62563" w:rsidRDefault="00D62563" w:rsidP="000C15B1">
            <w:pPr>
              <w:ind w:left="0" w:right="0" w:firstLine="284"/>
              <w:rPr>
                <w:sz w:val="20"/>
                <w:szCs w:val="20"/>
              </w:rPr>
            </w:pPr>
            <w:r w:rsidRPr="00D62563">
              <w:rPr>
                <w:sz w:val="20"/>
                <w:szCs w:val="20"/>
              </w:rPr>
              <w:t xml:space="preserve">в связи с технической особенностью </w:t>
            </w:r>
            <w:r w:rsidR="00A80F80">
              <w:rPr>
                <w:sz w:val="20"/>
                <w:szCs w:val="20"/>
              </w:rPr>
              <w:t>ГИИС</w:t>
            </w:r>
            <w:r w:rsidRPr="00D62563">
              <w:rPr>
                <w:sz w:val="20"/>
                <w:szCs w:val="20"/>
              </w:rPr>
              <w:t xml:space="preserve"> «Электронный бюджет» проставить реальный срок нет возможности. В связи с этим установлен максимальный срок достижения контрольной точки.</w:t>
            </w:r>
          </w:p>
          <w:p w:rsidR="00D62563" w:rsidRPr="00D62563" w:rsidRDefault="00D62563" w:rsidP="000C15B1">
            <w:pPr>
              <w:ind w:left="0" w:right="0" w:firstLine="284"/>
              <w:rPr>
                <w:sz w:val="20"/>
                <w:szCs w:val="20"/>
              </w:rPr>
            </w:pPr>
            <w:proofErr w:type="gramStart"/>
            <w:r w:rsidRPr="00D62563">
              <w:rPr>
                <w:sz w:val="20"/>
                <w:szCs w:val="20"/>
              </w:rPr>
              <w:t xml:space="preserve">Согласно данным, представленным ФСО России о проблемах реализации </w:t>
            </w:r>
            <w:r w:rsidRPr="00D62563">
              <w:rPr>
                <w:sz w:val="20"/>
                <w:szCs w:val="20"/>
                <w:lang w:eastAsia="en-US"/>
              </w:rPr>
              <w:t>национального проекта</w:t>
            </w:r>
            <w:r w:rsidRPr="00D62563">
              <w:rPr>
                <w:sz w:val="20"/>
                <w:szCs w:val="20"/>
              </w:rPr>
              <w:t xml:space="preserve"> «Образование» (декабрь 2019 года), отмечены следующие наиболее </w:t>
            </w:r>
            <w:r w:rsidRPr="00A80F80">
              <w:rPr>
                <w:b/>
                <w:sz w:val="20"/>
                <w:szCs w:val="20"/>
              </w:rPr>
              <w:t>значимые проблемы</w:t>
            </w:r>
            <w:r w:rsidRPr="00D62563">
              <w:rPr>
                <w:sz w:val="20"/>
                <w:szCs w:val="20"/>
              </w:rPr>
              <w:t>: несовершенство законодательства; отставание от первоначального графика выполнения работ, несвоевременная оплата выполненных работ по строительству и отсутствие необходимого количества подрядных организаций на региональном уровне, что подтверждает информацию о причинах низкого исполнения бюджета НПО;</w:t>
            </w:r>
            <w:proofErr w:type="gramEnd"/>
            <w:r w:rsidRPr="00D62563">
              <w:rPr>
                <w:sz w:val="20"/>
                <w:szCs w:val="20"/>
              </w:rPr>
              <w:t xml:space="preserve"> дефицит педагогических кадров и, как следствие, чрезмерная интенсификация педагогического труда.</w:t>
            </w:r>
          </w:p>
          <w:p w:rsidR="00D62563" w:rsidRPr="00D62563" w:rsidRDefault="00D62563" w:rsidP="000C15B1">
            <w:pPr>
              <w:ind w:left="0" w:right="0" w:firstLine="284"/>
              <w:rPr>
                <w:sz w:val="20"/>
                <w:szCs w:val="20"/>
              </w:rPr>
            </w:pPr>
            <w:r w:rsidRPr="00D62563">
              <w:rPr>
                <w:sz w:val="20"/>
                <w:szCs w:val="20"/>
              </w:rPr>
              <w:t xml:space="preserve">Согласно паспорту </w:t>
            </w:r>
            <w:r w:rsidRPr="00D62563">
              <w:rPr>
                <w:sz w:val="20"/>
                <w:szCs w:val="20"/>
                <w:lang w:eastAsia="en-US"/>
              </w:rPr>
              <w:t>национального проекта</w:t>
            </w:r>
            <w:r w:rsidRPr="00D62563">
              <w:rPr>
                <w:sz w:val="20"/>
                <w:szCs w:val="20"/>
              </w:rPr>
              <w:t xml:space="preserve"> «Образование» в 2019 году запланированы к реализации 20 мероприятий с достижением 69 результатов. </w:t>
            </w:r>
          </w:p>
          <w:p w:rsidR="00D62563" w:rsidRPr="00D62563" w:rsidRDefault="00D62563" w:rsidP="000C15B1">
            <w:pPr>
              <w:ind w:left="0" w:right="0" w:firstLine="284"/>
              <w:rPr>
                <w:sz w:val="20"/>
                <w:szCs w:val="20"/>
              </w:rPr>
            </w:pPr>
            <w:proofErr w:type="gramStart"/>
            <w:r w:rsidRPr="00D62563">
              <w:rPr>
                <w:sz w:val="20"/>
                <w:szCs w:val="20"/>
              </w:rPr>
              <w:t xml:space="preserve">В соответствии со сводным отчетом </w:t>
            </w:r>
            <w:proofErr w:type="spellStart"/>
            <w:r w:rsidRPr="00D62563">
              <w:rPr>
                <w:sz w:val="20"/>
                <w:szCs w:val="20"/>
              </w:rPr>
              <w:t>Минпросвещения</w:t>
            </w:r>
            <w:proofErr w:type="spellEnd"/>
            <w:r w:rsidRPr="00D62563">
              <w:rPr>
                <w:sz w:val="20"/>
                <w:szCs w:val="20"/>
              </w:rPr>
              <w:t xml:space="preserve"> России по </w:t>
            </w:r>
            <w:r w:rsidRPr="00D62563">
              <w:rPr>
                <w:sz w:val="20"/>
                <w:szCs w:val="20"/>
                <w:lang w:eastAsia="en-US"/>
              </w:rPr>
              <w:t>национальному проекту</w:t>
            </w:r>
            <w:r w:rsidRPr="00D62563">
              <w:rPr>
                <w:sz w:val="20"/>
                <w:szCs w:val="20"/>
              </w:rPr>
              <w:t xml:space="preserve"> «Образование» за 2019 год, к достижению был запланирован 71 результат, из которых полностью достигнуты 58 (81,7 % планового показателя), 12 результатов (16,9 %) исполнены </w:t>
            </w:r>
            <w:r w:rsidRPr="00A80F80">
              <w:rPr>
                <w:b/>
                <w:sz w:val="20"/>
                <w:szCs w:val="20"/>
              </w:rPr>
              <w:t>с отклонением по срокам</w:t>
            </w:r>
            <w:r w:rsidRPr="00D62563">
              <w:rPr>
                <w:sz w:val="20"/>
                <w:szCs w:val="20"/>
              </w:rPr>
              <w:t xml:space="preserve"> (либо существуют </w:t>
            </w:r>
            <w:r w:rsidRPr="00A80F80">
              <w:rPr>
                <w:b/>
                <w:sz w:val="20"/>
                <w:szCs w:val="20"/>
              </w:rPr>
              <w:t>риски невыполнения</w:t>
            </w:r>
            <w:r w:rsidRPr="00D62563">
              <w:rPr>
                <w:sz w:val="20"/>
                <w:szCs w:val="20"/>
              </w:rPr>
              <w:t>).</w:t>
            </w:r>
            <w:proofErr w:type="gramEnd"/>
          </w:p>
          <w:p w:rsidR="00D62563" w:rsidRPr="00D62563" w:rsidRDefault="00D62563" w:rsidP="000C15B1">
            <w:pPr>
              <w:ind w:left="0" w:right="0" w:firstLine="284"/>
              <w:rPr>
                <w:sz w:val="20"/>
                <w:szCs w:val="20"/>
              </w:rPr>
            </w:pPr>
            <w:r w:rsidRPr="00D62563">
              <w:rPr>
                <w:sz w:val="20"/>
                <w:szCs w:val="20"/>
              </w:rPr>
              <w:t xml:space="preserve">Следует отметить, что количество запланированных показателей к достижению в 2019 году, отраженное в паспорте национального проекта «Образование» размещенного в подсистеме управления национальными проектами </w:t>
            </w:r>
            <w:r w:rsidR="00A80F80">
              <w:rPr>
                <w:sz w:val="20"/>
                <w:szCs w:val="20"/>
              </w:rPr>
              <w:t>ГИИС</w:t>
            </w:r>
            <w:r w:rsidR="00A80F80" w:rsidRPr="00D62563">
              <w:rPr>
                <w:sz w:val="20"/>
                <w:szCs w:val="20"/>
              </w:rPr>
              <w:t xml:space="preserve"> «Электронный бюджет» </w:t>
            </w:r>
            <w:r w:rsidRPr="00D62563">
              <w:rPr>
                <w:sz w:val="20"/>
                <w:szCs w:val="20"/>
              </w:rPr>
              <w:t xml:space="preserve">не соответствует данным отчета по указанному национальному проекту, представленного </w:t>
            </w:r>
            <w:proofErr w:type="spellStart"/>
            <w:r w:rsidRPr="00D62563">
              <w:rPr>
                <w:sz w:val="20"/>
                <w:szCs w:val="20"/>
              </w:rPr>
              <w:t>Минпросвещения</w:t>
            </w:r>
            <w:proofErr w:type="spellEnd"/>
            <w:r w:rsidRPr="00D62563">
              <w:rPr>
                <w:sz w:val="20"/>
                <w:szCs w:val="20"/>
              </w:rPr>
              <w:t xml:space="preserve"> России по итогам 2019 года (</w:t>
            </w:r>
            <w:r w:rsidRPr="00D62563">
              <w:rPr>
                <w:sz w:val="20"/>
                <w:szCs w:val="20"/>
                <w:lang w:eastAsia="en-US"/>
              </w:rPr>
              <w:t>федеральные проекты</w:t>
            </w:r>
            <w:r w:rsidRPr="00D62563">
              <w:rPr>
                <w:sz w:val="20"/>
                <w:szCs w:val="20"/>
              </w:rPr>
              <w:t xml:space="preserve"> «Молодые профессионалы», «Социальная активность»).    </w:t>
            </w:r>
          </w:p>
          <w:p w:rsidR="00D62563" w:rsidRPr="00D62563" w:rsidRDefault="00D62563" w:rsidP="000C15B1">
            <w:pPr>
              <w:ind w:left="0" w:right="0" w:firstLine="284"/>
              <w:rPr>
                <w:sz w:val="20"/>
                <w:szCs w:val="20"/>
              </w:rPr>
            </w:pPr>
            <w:r w:rsidRPr="00D62563">
              <w:rPr>
                <w:sz w:val="20"/>
                <w:szCs w:val="20"/>
              </w:rPr>
              <w:t xml:space="preserve">Результат «Введена национальная система учительского роста педагогических работников, в том числе внесены изменения в номенклатуру должностей педагогических работников, должностей руководителей образовательных организаций» </w:t>
            </w:r>
            <w:r w:rsidRPr="00D62563">
              <w:rPr>
                <w:sz w:val="20"/>
                <w:szCs w:val="20"/>
              </w:rPr>
              <w:lastRenderedPageBreak/>
              <w:t xml:space="preserve">в соответствии с отчетом </w:t>
            </w:r>
            <w:proofErr w:type="spellStart"/>
            <w:r w:rsidRPr="00D62563">
              <w:rPr>
                <w:sz w:val="20"/>
                <w:szCs w:val="20"/>
              </w:rPr>
              <w:t>Минпросвещения</w:t>
            </w:r>
            <w:proofErr w:type="spellEnd"/>
            <w:r w:rsidRPr="00D62563">
              <w:rPr>
                <w:sz w:val="20"/>
                <w:szCs w:val="20"/>
              </w:rPr>
              <w:t xml:space="preserve"> России </w:t>
            </w:r>
            <w:r w:rsidRPr="00A80F80">
              <w:rPr>
                <w:b/>
                <w:sz w:val="20"/>
                <w:szCs w:val="20"/>
              </w:rPr>
              <w:t>не выполнен</w:t>
            </w:r>
            <w:r w:rsidRPr="00D62563">
              <w:rPr>
                <w:sz w:val="20"/>
                <w:szCs w:val="20"/>
              </w:rPr>
              <w:t xml:space="preserve">. По решению проектного комитета (протокол № 6 от 25 ноября 2019 года) подготовлен соответствующий запрос на изменение результата </w:t>
            </w:r>
            <w:r w:rsidRPr="00D62563">
              <w:rPr>
                <w:sz w:val="20"/>
                <w:szCs w:val="20"/>
                <w:lang w:eastAsia="en-US"/>
              </w:rPr>
              <w:t>федерального проекта</w:t>
            </w:r>
            <w:r w:rsidRPr="00D62563">
              <w:rPr>
                <w:sz w:val="20"/>
                <w:szCs w:val="20"/>
              </w:rPr>
              <w:t xml:space="preserve"> «Учитель будущего». </w:t>
            </w:r>
          </w:p>
          <w:p w:rsidR="00D62563" w:rsidRPr="00D62563" w:rsidRDefault="00D62563" w:rsidP="000C15B1">
            <w:pPr>
              <w:ind w:left="0" w:right="0" w:firstLine="284"/>
              <w:rPr>
                <w:sz w:val="20"/>
                <w:szCs w:val="20"/>
              </w:rPr>
            </w:pPr>
            <w:r w:rsidRPr="00D62563">
              <w:rPr>
                <w:sz w:val="20"/>
                <w:szCs w:val="20"/>
              </w:rPr>
              <w:t xml:space="preserve">В 2019 году к реализации запланированы мероприятия по всем федеральным проектам </w:t>
            </w:r>
            <w:r w:rsidRPr="00D62563">
              <w:rPr>
                <w:sz w:val="20"/>
                <w:szCs w:val="20"/>
                <w:lang w:eastAsia="en-US"/>
              </w:rPr>
              <w:t>национального проекта</w:t>
            </w:r>
            <w:r w:rsidRPr="00D62563">
              <w:rPr>
                <w:sz w:val="20"/>
                <w:szCs w:val="20"/>
              </w:rPr>
              <w:t xml:space="preserve"> «Образование». Согласно отчету </w:t>
            </w:r>
            <w:proofErr w:type="spellStart"/>
            <w:r w:rsidRPr="00D62563">
              <w:rPr>
                <w:sz w:val="20"/>
                <w:szCs w:val="20"/>
              </w:rPr>
              <w:t>Минпросвещения</w:t>
            </w:r>
            <w:proofErr w:type="spellEnd"/>
            <w:r w:rsidRPr="00D62563">
              <w:rPr>
                <w:sz w:val="20"/>
                <w:szCs w:val="20"/>
              </w:rPr>
              <w:t xml:space="preserve"> России, в полном объеме достигнуты результаты лишь по 3 </w:t>
            </w:r>
            <w:r w:rsidRPr="00D62563">
              <w:rPr>
                <w:sz w:val="20"/>
                <w:szCs w:val="20"/>
                <w:lang w:eastAsia="en-US"/>
              </w:rPr>
              <w:t>федеральным проектам:</w:t>
            </w:r>
            <w:r w:rsidRPr="00D62563">
              <w:rPr>
                <w:sz w:val="20"/>
                <w:szCs w:val="20"/>
              </w:rPr>
              <w:t xml:space="preserve"> «Успех каждого ребенка», «Социальная активность» и «Социальные лифты для каждого». </w:t>
            </w:r>
          </w:p>
          <w:p w:rsidR="00D62563" w:rsidRPr="00D62563" w:rsidRDefault="00D62563" w:rsidP="000C15B1">
            <w:pPr>
              <w:ind w:left="0" w:right="0" w:firstLine="284"/>
              <w:rPr>
                <w:sz w:val="20"/>
                <w:szCs w:val="20"/>
              </w:rPr>
            </w:pPr>
            <w:r w:rsidRPr="00D62563">
              <w:rPr>
                <w:sz w:val="20"/>
                <w:szCs w:val="20"/>
              </w:rPr>
              <w:t xml:space="preserve">Паспортом </w:t>
            </w:r>
            <w:r w:rsidRPr="00D62563">
              <w:rPr>
                <w:sz w:val="20"/>
                <w:szCs w:val="20"/>
                <w:lang w:eastAsia="en-US"/>
              </w:rPr>
              <w:t>федерального проекта</w:t>
            </w:r>
            <w:r w:rsidRPr="00D62563">
              <w:rPr>
                <w:sz w:val="20"/>
                <w:szCs w:val="20"/>
              </w:rPr>
              <w:t xml:space="preserve"> «Современная школа» запланировано к реализации в 2019 году 4 мероприятия с достижением 14 результатов. Согласно данным отчета из запланированного количества фактически достигнуто 9, </w:t>
            </w:r>
            <w:r w:rsidRPr="00A80F80">
              <w:rPr>
                <w:b/>
                <w:sz w:val="20"/>
                <w:szCs w:val="20"/>
              </w:rPr>
              <w:t>не достигнуто</w:t>
            </w:r>
            <w:r w:rsidRPr="00D62563">
              <w:rPr>
                <w:sz w:val="20"/>
                <w:szCs w:val="20"/>
              </w:rPr>
              <w:t xml:space="preserve"> – 5 результатов в связи с переносом сроков проведения конкурсных процедур по апробации целевой модели на 2020 год.</w:t>
            </w:r>
          </w:p>
          <w:p w:rsidR="00D62563" w:rsidRPr="00D62563" w:rsidRDefault="00D62563" w:rsidP="000C15B1">
            <w:pPr>
              <w:ind w:left="0" w:right="0" w:firstLine="284"/>
              <w:rPr>
                <w:sz w:val="20"/>
                <w:szCs w:val="20"/>
              </w:rPr>
            </w:pPr>
            <w:r w:rsidRPr="00D62563">
              <w:rPr>
                <w:sz w:val="20"/>
                <w:szCs w:val="20"/>
              </w:rPr>
              <w:t xml:space="preserve">По федеральному проекту «Поддержка семей, имеющих детей» запланировано к реализации 2 мероприятия, по которым запланировано достижение 2 результатов. Фактически в отчетном периоде достигнут 1 результат по функционированию федерального портала информационно-просветительской поддержки родителей. </w:t>
            </w:r>
            <w:proofErr w:type="spellStart"/>
            <w:proofErr w:type="gramStart"/>
            <w:r w:rsidRPr="00A80F80">
              <w:rPr>
                <w:b/>
                <w:sz w:val="20"/>
                <w:szCs w:val="20"/>
              </w:rPr>
              <w:t>Недостижение</w:t>
            </w:r>
            <w:proofErr w:type="spellEnd"/>
            <w:r w:rsidRPr="00D62563">
              <w:rPr>
                <w:sz w:val="20"/>
                <w:szCs w:val="20"/>
              </w:rPr>
              <w:t xml:space="preserve"> по результату «Оказано не менее 20 млн. услуг психолого-педагогической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НКО» связано с  доработкой проекта приказа по общим требованиям к содержанию и формированию базовых нормативных затрат для каждой из услуг (работ) в целях</w:t>
            </w:r>
            <w:proofErr w:type="gramEnd"/>
            <w:r w:rsidRPr="00D62563">
              <w:rPr>
                <w:sz w:val="20"/>
                <w:szCs w:val="20"/>
              </w:rPr>
              <w:t xml:space="preserve"> реализации указанного </w:t>
            </w:r>
            <w:r w:rsidRPr="00D62563">
              <w:rPr>
                <w:sz w:val="20"/>
                <w:szCs w:val="20"/>
                <w:lang w:eastAsia="en-US"/>
              </w:rPr>
              <w:t>федерального проекта</w:t>
            </w:r>
            <w:r w:rsidRPr="00D62563">
              <w:rPr>
                <w:sz w:val="20"/>
                <w:szCs w:val="20"/>
              </w:rPr>
              <w:t>. Срок перенесен на 2020 год.</w:t>
            </w:r>
          </w:p>
          <w:p w:rsidR="00D62563" w:rsidRPr="00D62563" w:rsidRDefault="00D62563" w:rsidP="000C15B1">
            <w:pPr>
              <w:ind w:left="0" w:right="0" w:firstLine="284"/>
              <w:rPr>
                <w:sz w:val="20"/>
                <w:szCs w:val="20"/>
              </w:rPr>
            </w:pPr>
            <w:r w:rsidRPr="00D62563">
              <w:rPr>
                <w:sz w:val="20"/>
                <w:szCs w:val="20"/>
              </w:rPr>
              <w:t xml:space="preserve">По федеральному проекту «Цифровая образовательная среда» запланировано к реализации 3 мероприятия с достижением 8 результатов. Согласно отчетным данным </w:t>
            </w:r>
            <w:proofErr w:type="spellStart"/>
            <w:r w:rsidRPr="00D62563">
              <w:rPr>
                <w:sz w:val="20"/>
                <w:szCs w:val="20"/>
              </w:rPr>
              <w:t>Минпросвещения</w:t>
            </w:r>
            <w:proofErr w:type="spellEnd"/>
            <w:r w:rsidRPr="00D62563">
              <w:rPr>
                <w:sz w:val="20"/>
                <w:szCs w:val="20"/>
              </w:rPr>
              <w:t xml:space="preserve"> России в 2019 году достигнуто 7 результатов, по результату «Разработана и утверждена целевая модель цифровой образовательной среды» причиной </w:t>
            </w:r>
            <w:proofErr w:type="spellStart"/>
            <w:r w:rsidRPr="00D62563">
              <w:rPr>
                <w:sz w:val="20"/>
                <w:szCs w:val="20"/>
              </w:rPr>
              <w:t>недостижения</w:t>
            </w:r>
            <w:proofErr w:type="spellEnd"/>
            <w:r w:rsidRPr="00D62563">
              <w:rPr>
                <w:sz w:val="20"/>
                <w:szCs w:val="20"/>
              </w:rPr>
              <w:t xml:space="preserve"> является изменение порядка утверждения целевой модели цифровой образовательной среды, сроки достижения перенесены на январь 2020 года.</w:t>
            </w:r>
          </w:p>
          <w:p w:rsidR="00D62563" w:rsidRPr="00D62563" w:rsidRDefault="00D62563" w:rsidP="000C15B1">
            <w:pPr>
              <w:ind w:left="0" w:right="0" w:firstLine="284"/>
              <w:rPr>
                <w:sz w:val="20"/>
                <w:szCs w:val="20"/>
              </w:rPr>
            </w:pPr>
            <w:r w:rsidRPr="00D62563">
              <w:rPr>
                <w:sz w:val="20"/>
                <w:szCs w:val="20"/>
              </w:rPr>
              <w:t xml:space="preserve">По федеральному проекту «Молодые профессионалы (Повышение конкурентоспособности профессионального образования)» запланировано к выполнению 4 мероприятия с достижением 11 результатов. Фактически достигнуто 9. Сроки выполнения по 2 результатам «Сформирован </w:t>
            </w:r>
            <w:proofErr w:type="gramStart"/>
            <w:r w:rsidRPr="00D62563">
              <w:rPr>
                <w:sz w:val="20"/>
                <w:szCs w:val="20"/>
              </w:rPr>
              <w:t>перечень</w:t>
            </w:r>
            <w:proofErr w:type="gramEnd"/>
            <w:r w:rsidRPr="00D62563">
              <w:rPr>
                <w:sz w:val="20"/>
                <w:szCs w:val="20"/>
              </w:rPr>
              <w:t xml:space="preserve"> включающий не менее 890 образовательных организаций высшего образования не менее чем из 40 субъектов Российской Федерации, обеспечивающих подготовку кадров для базовых отраслей экономики и социальной сферы, в том числе в целях предоставления государственной поддержки» и «Обеспечено информационное сопровождение национального проекта «Образование» в рамках данного </w:t>
            </w:r>
            <w:r w:rsidRPr="00D62563">
              <w:rPr>
                <w:sz w:val="20"/>
                <w:szCs w:val="20"/>
                <w:lang w:eastAsia="en-US"/>
              </w:rPr>
              <w:t>федерального проекта</w:t>
            </w:r>
            <w:r w:rsidRPr="00D62563">
              <w:rPr>
                <w:sz w:val="20"/>
                <w:szCs w:val="20"/>
              </w:rPr>
              <w:t xml:space="preserve"> перенесены на 2020 год по причине несвоевременной оплаты работ. </w:t>
            </w:r>
          </w:p>
          <w:p w:rsidR="00D62563" w:rsidRPr="00D62563" w:rsidRDefault="00D62563" w:rsidP="000C15B1">
            <w:pPr>
              <w:ind w:left="0" w:right="0" w:firstLine="284"/>
              <w:rPr>
                <w:sz w:val="20"/>
                <w:szCs w:val="20"/>
              </w:rPr>
            </w:pPr>
            <w:r w:rsidRPr="00D62563">
              <w:rPr>
                <w:sz w:val="20"/>
                <w:szCs w:val="20"/>
              </w:rPr>
              <w:t xml:space="preserve">По федеральному проекту «Новые возможности для каждого» запланировано 1 </w:t>
            </w:r>
            <w:proofErr w:type="gramStart"/>
            <w:r w:rsidRPr="00D62563">
              <w:rPr>
                <w:sz w:val="20"/>
                <w:szCs w:val="20"/>
              </w:rPr>
              <w:t>мероприятие</w:t>
            </w:r>
            <w:proofErr w:type="gramEnd"/>
            <w:r w:rsidRPr="00D62563">
              <w:rPr>
                <w:sz w:val="20"/>
                <w:szCs w:val="20"/>
              </w:rPr>
              <w:t xml:space="preserve"> по которому к достижению запланировано 3 результата. </w:t>
            </w:r>
          </w:p>
          <w:p w:rsidR="00D62563" w:rsidRPr="00D62563" w:rsidRDefault="00D62563" w:rsidP="000C15B1">
            <w:pPr>
              <w:ind w:left="0" w:right="0" w:firstLine="284"/>
              <w:rPr>
                <w:sz w:val="20"/>
                <w:szCs w:val="20"/>
              </w:rPr>
            </w:pPr>
            <w:proofErr w:type="gramStart"/>
            <w:r w:rsidRPr="00D62563">
              <w:rPr>
                <w:sz w:val="20"/>
                <w:szCs w:val="20"/>
              </w:rPr>
              <w:t xml:space="preserve">Согласно отчету о реализации указанного </w:t>
            </w:r>
            <w:r w:rsidRPr="00D62563">
              <w:rPr>
                <w:sz w:val="20"/>
                <w:szCs w:val="20"/>
                <w:lang w:eastAsia="en-US"/>
              </w:rPr>
              <w:t>федерального проекта</w:t>
            </w:r>
            <w:r w:rsidRPr="00D62563">
              <w:rPr>
                <w:sz w:val="20"/>
                <w:szCs w:val="20"/>
              </w:rPr>
              <w:t xml:space="preserve"> по всем 3  («Разработана и внедрена система </w:t>
            </w:r>
            <w:proofErr w:type="spellStart"/>
            <w:r w:rsidRPr="00D62563">
              <w:rPr>
                <w:sz w:val="20"/>
                <w:szCs w:val="20"/>
              </w:rPr>
              <w:t>грантовой</w:t>
            </w:r>
            <w:proofErr w:type="spellEnd"/>
            <w:r w:rsidRPr="00D62563">
              <w:rPr>
                <w:sz w:val="20"/>
                <w:szCs w:val="20"/>
              </w:rPr>
              <w:t xml:space="preserve"> поддержки образовательных организаций высшего образования с целью формирования и внедрения современных программ непрерывного образования (дополнительных образовательных программ и программ профессионального обучения), обеспечивающих личностный рост, расширение и обновление профессиональных знаний граждан и приобретения ими новых профессиональных навыков в соответствии с быстроменяющимися технологиями и условиями»;</w:t>
            </w:r>
            <w:proofErr w:type="gramEnd"/>
            <w:r w:rsidRPr="00D62563">
              <w:rPr>
                <w:sz w:val="20"/>
                <w:szCs w:val="20"/>
              </w:rPr>
              <w:t xml:space="preserve"> «Осуществлена подготовка научно-педагогических работников и работников организаций-работодателей к реализации современных программ непрерывного образования (обучения по программам повышения квалификации прошли не менее 30 тыс. человек), в том числе по годам нарастающим итогом»; «Прошли обучения по программам непрерывного образования в образовательных организациях высшего образования, реализующих дополнительные образовательные программы и программы профессионального обучения») </w:t>
            </w:r>
            <w:proofErr w:type="gramStart"/>
            <w:r w:rsidRPr="00A80F80">
              <w:rPr>
                <w:b/>
                <w:sz w:val="20"/>
                <w:szCs w:val="20"/>
              </w:rPr>
              <w:t>результат</w:t>
            </w:r>
            <w:proofErr w:type="gramEnd"/>
            <w:r w:rsidRPr="00A80F80">
              <w:rPr>
                <w:b/>
                <w:sz w:val="20"/>
                <w:szCs w:val="20"/>
              </w:rPr>
              <w:t xml:space="preserve"> не достигнут</w:t>
            </w:r>
            <w:r w:rsidRPr="00D62563">
              <w:rPr>
                <w:sz w:val="20"/>
                <w:szCs w:val="20"/>
              </w:rPr>
              <w:t xml:space="preserve">. Причинами неисполнения результатов является длительность конкурсных процедур. Сроки выполнения перенесены на февраль 2020 года.     </w:t>
            </w:r>
          </w:p>
          <w:p w:rsidR="00D62563" w:rsidRPr="00D62563" w:rsidRDefault="00D62563" w:rsidP="000C15B1">
            <w:pPr>
              <w:ind w:left="0" w:right="0" w:firstLine="284"/>
              <w:rPr>
                <w:sz w:val="20"/>
                <w:szCs w:val="20"/>
              </w:rPr>
            </w:pPr>
            <w:proofErr w:type="gramStart"/>
            <w:r w:rsidRPr="00D62563">
              <w:rPr>
                <w:sz w:val="20"/>
                <w:szCs w:val="20"/>
              </w:rPr>
              <w:lastRenderedPageBreak/>
              <w:t>По федеральному проекту «Экспорт образования» (запланировано 5 мероприятий с достижением 10 результатов.</w:t>
            </w:r>
            <w:proofErr w:type="gramEnd"/>
          </w:p>
          <w:p w:rsidR="00D62563" w:rsidRPr="00D62563" w:rsidRDefault="00D62563" w:rsidP="000C15B1">
            <w:pPr>
              <w:ind w:left="0" w:right="0" w:firstLine="284"/>
              <w:rPr>
                <w:sz w:val="20"/>
                <w:szCs w:val="20"/>
              </w:rPr>
            </w:pPr>
            <w:r w:rsidRPr="00D62563">
              <w:rPr>
                <w:sz w:val="20"/>
                <w:szCs w:val="20"/>
              </w:rPr>
              <w:t xml:space="preserve">Согласно отчету </w:t>
            </w:r>
            <w:proofErr w:type="spellStart"/>
            <w:r w:rsidRPr="00D62563">
              <w:rPr>
                <w:sz w:val="20"/>
                <w:szCs w:val="20"/>
              </w:rPr>
              <w:t>Минпросвещения</w:t>
            </w:r>
            <w:proofErr w:type="spellEnd"/>
            <w:r w:rsidRPr="00D62563">
              <w:rPr>
                <w:sz w:val="20"/>
                <w:szCs w:val="20"/>
              </w:rPr>
              <w:t xml:space="preserve"> России достигнуты значения по 8 результатам. По 2 выявлены отклонения: «Обеспечены комфортные условия проживания, возможность проведения учебных занятий и организаций самостоятельной работы обучающихся, проведение культурно-массовых, досуговых мероприятий и занятий спортом» - по причине сдачи всего 2 объектов строительства (студенческие общежития) из 24 профинансированных в 2019 году; </w:t>
            </w:r>
          </w:p>
          <w:p w:rsidR="00D62563" w:rsidRPr="00D62563" w:rsidRDefault="00D62563" w:rsidP="000C15B1">
            <w:pPr>
              <w:ind w:left="0" w:right="0" w:firstLine="284"/>
              <w:rPr>
                <w:sz w:val="20"/>
                <w:szCs w:val="20"/>
              </w:rPr>
            </w:pPr>
            <w:r w:rsidRPr="00D62563">
              <w:rPr>
                <w:sz w:val="20"/>
                <w:szCs w:val="20"/>
              </w:rPr>
              <w:t xml:space="preserve">«Увеличено не менее чем в 2 раза по сравнению с 2017 годом количество иностранных граждан, обучающихся в организациях, осуществляющих образовательную деятельность нарастающим итогом» - что связано </w:t>
            </w:r>
            <w:r w:rsidRPr="00242AF8">
              <w:rPr>
                <w:b/>
                <w:sz w:val="20"/>
                <w:szCs w:val="20"/>
              </w:rPr>
              <w:t>с</w:t>
            </w:r>
            <w:r w:rsidRPr="00D62563">
              <w:rPr>
                <w:sz w:val="20"/>
                <w:szCs w:val="20"/>
              </w:rPr>
              <w:t xml:space="preserve"> </w:t>
            </w:r>
            <w:r w:rsidRPr="00242AF8">
              <w:rPr>
                <w:b/>
                <w:sz w:val="20"/>
                <w:szCs w:val="20"/>
              </w:rPr>
              <w:t>длительностью</w:t>
            </w:r>
            <w:r w:rsidRPr="00D62563">
              <w:rPr>
                <w:sz w:val="20"/>
                <w:szCs w:val="20"/>
              </w:rPr>
              <w:t xml:space="preserve"> </w:t>
            </w:r>
            <w:r w:rsidRPr="00242AF8">
              <w:rPr>
                <w:b/>
                <w:sz w:val="20"/>
                <w:szCs w:val="20"/>
              </w:rPr>
              <w:t>процедур по приемке результатов</w:t>
            </w:r>
            <w:r w:rsidRPr="00D62563">
              <w:rPr>
                <w:sz w:val="20"/>
                <w:szCs w:val="20"/>
              </w:rPr>
              <w:t xml:space="preserve"> работ в рамках соглашений с юридическими лицами и иными некоммерческими организациями. </w:t>
            </w:r>
            <w:r w:rsidRPr="00242AF8">
              <w:rPr>
                <w:b/>
                <w:sz w:val="20"/>
                <w:szCs w:val="20"/>
              </w:rPr>
              <w:t>Срок перенесен на 2020 год</w:t>
            </w:r>
          </w:p>
        </w:tc>
      </w:tr>
      <w:tr w:rsidR="00563192" w:rsidTr="00D46E03">
        <w:tc>
          <w:tcPr>
            <w:tcW w:w="568" w:type="dxa"/>
          </w:tcPr>
          <w:p w:rsidR="00563192" w:rsidRPr="00563192" w:rsidRDefault="00563192" w:rsidP="000C15B1">
            <w:pPr>
              <w:overflowPunct/>
              <w:autoSpaceDE/>
              <w:autoSpaceDN/>
              <w:adjustRightInd/>
              <w:ind w:left="0" w:right="0" w:firstLine="0"/>
              <w:jc w:val="center"/>
              <w:textAlignment w:val="auto"/>
              <w:rPr>
                <w:rFonts w:eastAsia="Times New Roman"/>
                <w:b/>
                <w:sz w:val="20"/>
                <w:szCs w:val="20"/>
              </w:rPr>
            </w:pPr>
            <w:r>
              <w:rPr>
                <w:rFonts w:eastAsia="Times New Roman"/>
                <w:b/>
                <w:sz w:val="20"/>
                <w:szCs w:val="20"/>
              </w:rPr>
              <w:lastRenderedPageBreak/>
              <w:t>4</w:t>
            </w:r>
            <w:r w:rsidRPr="00563192">
              <w:rPr>
                <w:rFonts w:eastAsia="Times New Roman"/>
                <w:b/>
                <w:sz w:val="20"/>
                <w:szCs w:val="20"/>
              </w:rPr>
              <w:t>.</w:t>
            </w:r>
          </w:p>
        </w:tc>
        <w:tc>
          <w:tcPr>
            <w:tcW w:w="2268" w:type="dxa"/>
          </w:tcPr>
          <w:p w:rsidR="00563192" w:rsidRPr="00563192" w:rsidRDefault="00563192" w:rsidP="000C15B1">
            <w:pPr>
              <w:ind w:left="0" w:right="0" w:firstLine="0"/>
              <w:rPr>
                <w:b/>
                <w:sz w:val="20"/>
                <w:szCs w:val="20"/>
                <w:lang w:eastAsia="en-US"/>
              </w:rPr>
            </w:pPr>
            <w:r w:rsidRPr="00563192">
              <w:rPr>
                <w:b/>
                <w:sz w:val="20"/>
                <w:szCs w:val="20"/>
                <w:lang w:eastAsia="en-US"/>
              </w:rPr>
              <w:t>Жилье и городская среда</w:t>
            </w:r>
          </w:p>
        </w:tc>
        <w:tc>
          <w:tcPr>
            <w:tcW w:w="7796" w:type="dxa"/>
          </w:tcPr>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 xml:space="preserve">В рамках реализации </w:t>
            </w:r>
            <w:r w:rsidRPr="00563192">
              <w:rPr>
                <w:b/>
                <w:sz w:val="20"/>
                <w:szCs w:val="20"/>
                <w:lang w:eastAsia="en-US"/>
              </w:rPr>
              <w:t xml:space="preserve">национального проекта «Жилье и городская среда» </w:t>
            </w:r>
            <w:r w:rsidRPr="00563192">
              <w:rPr>
                <w:sz w:val="20"/>
                <w:szCs w:val="20"/>
                <w:lang w:eastAsia="en-US"/>
              </w:rPr>
              <w:t>уровень исполнения бюджетных ассигнований составил 93,8 % показателя сводной росписи с изменениями.</w:t>
            </w:r>
            <w:r w:rsidRPr="00563192">
              <w:rPr>
                <w:bCs/>
                <w:sz w:val="20"/>
                <w:szCs w:val="20"/>
                <w:lang w:eastAsia="en-US"/>
              </w:rPr>
              <w:t xml:space="preserve"> По итогам 2019 года бюджетные ассигнования в рамках указанного национального проекта не исполнены в сумме 6 515,7 млн. рублей, или 6,2 %.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proofErr w:type="gramStart"/>
            <w:r w:rsidRPr="00563192">
              <w:rPr>
                <w:sz w:val="20"/>
                <w:szCs w:val="20"/>
                <w:lang w:eastAsia="en-US"/>
              </w:rPr>
              <w:t>В отчетном периоде в рамках федерального проекта «Жилье» заключено 81 соглашение с субъектами Российской Федерации о реализации регионального проекта «Жилье» сроком до 31 декабря 2024 года, в которых установлены целевые и дополнительных показатели, в соответствии с паспортом указанного федерального проекта (кроме республики Крым, Астраханской области, Еврейского автономного округа и г. Санкт-Петербурга).</w:t>
            </w:r>
            <w:proofErr w:type="gramEnd"/>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Минстроем России по состоянию на 15 февраля 2019 года заключено 42 соглашения о предоставлении субсидии из федерального бюджета субъектам Российской Федерации на общую сумму 22 460,0 млн. рублей, в соответствии с распределением, утвержденным в Федеральном законе № 459-ФЗ (с изменениями).</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По федеральному проекту «Формирование комфортной городской среды» Минстроем России заключено 84 соглашения с субъектами Российской Федерации о реализации регионального проекта «Формирование комфортной городской среды» сроком до 31 декабря 2024 года, в </w:t>
            </w:r>
            <w:proofErr w:type="gramStart"/>
            <w:r w:rsidRPr="00563192">
              <w:rPr>
                <w:sz w:val="20"/>
                <w:szCs w:val="20"/>
                <w:lang w:eastAsia="en-US"/>
              </w:rPr>
              <w:t>которых</w:t>
            </w:r>
            <w:proofErr w:type="gramEnd"/>
            <w:r w:rsidRPr="00563192">
              <w:rPr>
                <w:sz w:val="20"/>
                <w:szCs w:val="20"/>
                <w:lang w:eastAsia="en-US"/>
              </w:rPr>
              <w:t xml:space="preserve"> установлены целевые и дополнительных показатели, в соответствии с паспортом указанного федерального проекта (кроме г. Москвы).</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Минстроем России по состоянию на 15 февраля 2019 года заключено 82 соглашения о предоставлении субсидии из федерального бюджета субъектам Российской Федерации» на общую сумму 41 320,0 млн. рублей, в соответствии с распределением, утвержденным в Приложении 33 к Федеральному закону № 459-ФЗ (с изменениями).</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proofErr w:type="gramStart"/>
            <w:r w:rsidRPr="00563192">
              <w:rPr>
                <w:sz w:val="20"/>
                <w:szCs w:val="20"/>
                <w:lang w:eastAsia="en-US"/>
              </w:rPr>
              <w:t>По федеральному проекту «Обеспечение устойчивого сокращения непригодного для проживания жилищного фонда» Минстроем России заключено 84 соглашения с субъектами Российской Федерации о реализации регионального проекта «Обеспечение устойчивого сокращения непригодного для проживания жилищного фонда» сроком до 31 декабря 2024 года, в которых установлены целевые и дополнительных показатели, в соответствии с паспортом указанного федерального проекта.</w:t>
            </w:r>
            <w:proofErr w:type="gramEnd"/>
            <w:r w:rsidRPr="00563192">
              <w:rPr>
                <w:sz w:val="20"/>
                <w:szCs w:val="20"/>
                <w:lang w:eastAsia="en-US"/>
              </w:rPr>
              <w:t xml:space="preserve"> Не заключено соглашение с г. Москвой.</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 xml:space="preserve">По информации Минстроя России по итогам 2019 года </w:t>
            </w:r>
            <w:r w:rsidRPr="007A0366">
              <w:rPr>
                <w:b/>
                <w:sz w:val="20"/>
                <w:szCs w:val="20"/>
                <w:lang w:eastAsia="en-US"/>
              </w:rPr>
              <w:t>не достигнуты</w:t>
            </w:r>
            <w:r w:rsidRPr="00563192">
              <w:rPr>
                <w:sz w:val="20"/>
                <w:szCs w:val="20"/>
                <w:lang w:eastAsia="en-US"/>
              </w:rPr>
              <w:t xml:space="preserve"> следующие </w:t>
            </w:r>
            <w:r w:rsidRPr="007A0366">
              <w:rPr>
                <w:b/>
                <w:sz w:val="20"/>
                <w:szCs w:val="20"/>
                <w:lang w:eastAsia="en-US"/>
              </w:rPr>
              <w:t>показатели</w:t>
            </w:r>
            <w:r w:rsidRPr="00563192">
              <w:rPr>
                <w:sz w:val="20"/>
                <w:szCs w:val="20"/>
                <w:lang w:eastAsia="en-US"/>
              </w:rPr>
              <w:t>, установленные паспортом указанного национального проекта:</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1) объем строительства многоквартирных жилых домов, профинансированного за счет ипотечного кредитования – 18 млн. кв. м, или 65 % установленного значения (27,7 млн. кв. м);</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2) объем ввода в многоквартирных жилых домах в год – 42 млн. кв. м, или 77 % установленного значения (54,8 млн. кв. м);</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3) средний уровень процентной ставки по ипотечному кредиту – 9,25 %, или 96 % установленного значения (8,9 %);</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4) увеличение объема жилищного строительства не менее чем до 120 млн. кв. м в год – 77 млн. кв. м, или 88 % установленного значения (88 млн. кв. м);</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5) количество предоставленных ипотечных кредитов – 1,3 млн. ед. или 83 % установленного значения (1,56 млн. ед.);</w:t>
            </w:r>
          </w:p>
          <w:p w:rsidR="00563192" w:rsidRPr="00563192" w:rsidRDefault="00563192" w:rsidP="000C15B1">
            <w:pPr>
              <w:overflowPunct/>
              <w:autoSpaceDE/>
              <w:autoSpaceDN/>
              <w:adjustRightInd/>
              <w:ind w:left="0" w:right="0" w:firstLine="284"/>
              <w:textAlignment w:val="auto"/>
              <w:rPr>
                <w:sz w:val="20"/>
                <w:szCs w:val="20"/>
                <w:lang w:eastAsia="en-US"/>
              </w:rPr>
            </w:pPr>
            <w:r w:rsidRPr="00563192">
              <w:rPr>
                <w:sz w:val="20"/>
                <w:szCs w:val="20"/>
                <w:lang w:eastAsia="en-US"/>
              </w:rPr>
              <w:t>6) объем выдачи ипотечных кредитов на приобретение жилья на первичном рынке – 0,4 млн. ед., или 67 % установленного значения (0,6 млн. ед.).</w:t>
            </w:r>
          </w:p>
          <w:p w:rsidR="00563192" w:rsidRPr="00563192" w:rsidRDefault="00563192" w:rsidP="000C15B1">
            <w:pPr>
              <w:overflowPunct/>
              <w:autoSpaceDE/>
              <w:autoSpaceDN/>
              <w:adjustRightInd/>
              <w:ind w:left="0" w:right="0" w:firstLine="284"/>
              <w:textAlignment w:val="auto"/>
              <w:rPr>
                <w:sz w:val="20"/>
                <w:szCs w:val="20"/>
                <w:lang w:eastAsia="en-US"/>
              </w:rPr>
            </w:pPr>
            <w:proofErr w:type="gramStart"/>
            <w:r w:rsidRPr="00563192">
              <w:rPr>
                <w:sz w:val="20"/>
                <w:szCs w:val="20"/>
                <w:lang w:eastAsia="en-US"/>
              </w:rPr>
              <w:lastRenderedPageBreak/>
              <w:t xml:space="preserve">По данным Минстроя России, причинами </w:t>
            </w:r>
            <w:proofErr w:type="spellStart"/>
            <w:r w:rsidRPr="00563192">
              <w:rPr>
                <w:sz w:val="20"/>
                <w:szCs w:val="20"/>
                <w:lang w:eastAsia="en-US"/>
              </w:rPr>
              <w:t>недостижения</w:t>
            </w:r>
            <w:proofErr w:type="spellEnd"/>
            <w:r w:rsidRPr="00563192">
              <w:rPr>
                <w:sz w:val="20"/>
                <w:szCs w:val="20"/>
                <w:lang w:eastAsia="en-US"/>
              </w:rPr>
              <w:t xml:space="preserve"> указанных показателей являются повышение в конце 2018 года – первой половине 2019 года процентной ставки по ипотечным кредитам вследствие повышения ключевой ставки Банка России и уровня инфляции свыше 4 % (по данным Банка России по состоянию на июль 2019 года инфляция составила 4,6 %), снижение покупательной способности населения, снижение в краткосрочной перспективе объема строительства жилых домов, профинансированного</w:t>
            </w:r>
            <w:proofErr w:type="gramEnd"/>
            <w:r w:rsidRPr="00563192">
              <w:rPr>
                <w:sz w:val="20"/>
                <w:szCs w:val="20"/>
                <w:lang w:eastAsia="en-US"/>
              </w:rPr>
              <w:t xml:space="preserve"> за счет ипотечного кредитования, снижение объема строительства жилых домов в связи с переходом на проектное финансирование с применением механизма счетов </w:t>
            </w:r>
            <w:proofErr w:type="spellStart"/>
            <w:r w:rsidRPr="00563192">
              <w:rPr>
                <w:sz w:val="20"/>
                <w:szCs w:val="20"/>
                <w:lang w:eastAsia="en-US"/>
              </w:rPr>
              <w:t>эскроу</w:t>
            </w:r>
            <w:proofErr w:type="spellEnd"/>
          </w:p>
        </w:tc>
      </w:tr>
      <w:tr w:rsidR="00563192" w:rsidTr="00D46E03">
        <w:tc>
          <w:tcPr>
            <w:tcW w:w="568" w:type="dxa"/>
          </w:tcPr>
          <w:p w:rsidR="00563192" w:rsidRPr="00563192" w:rsidRDefault="00563192" w:rsidP="000C15B1">
            <w:pPr>
              <w:overflowPunct/>
              <w:autoSpaceDE/>
              <w:autoSpaceDN/>
              <w:adjustRightInd/>
              <w:ind w:left="0" w:right="0" w:firstLine="0"/>
              <w:jc w:val="center"/>
              <w:textAlignment w:val="auto"/>
              <w:rPr>
                <w:rFonts w:eastAsia="Times New Roman"/>
                <w:b/>
                <w:sz w:val="20"/>
                <w:szCs w:val="20"/>
              </w:rPr>
            </w:pPr>
            <w:r>
              <w:rPr>
                <w:rFonts w:eastAsia="Times New Roman"/>
                <w:b/>
                <w:sz w:val="20"/>
                <w:szCs w:val="20"/>
              </w:rPr>
              <w:lastRenderedPageBreak/>
              <w:t>5</w:t>
            </w:r>
            <w:r w:rsidRPr="00563192">
              <w:rPr>
                <w:rFonts w:eastAsia="Times New Roman"/>
                <w:b/>
                <w:sz w:val="20"/>
                <w:szCs w:val="20"/>
              </w:rPr>
              <w:t xml:space="preserve">. </w:t>
            </w:r>
          </w:p>
        </w:tc>
        <w:tc>
          <w:tcPr>
            <w:tcW w:w="2268" w:type="dxa"/>
          </w:tcPr>
          <w:p w:rsidR="00563192" w:rsidRPr="00563192" w:rsidRDefault="00563192" w:rsidP="000C15B1">
            <w:pPr>
              <w:ind w:left="0" w:right="0" w:firstLine="0"/>
              <w:rPr>
                <w:b/>
                <w:sz w:val="20"/>
                <w:szCs w:val="20"/>
                <w:lang w:eastAsia="en-US"/>
              </w:rPr>
            </w:pPr>
            <w:r w:rsidRPr="00563192">
              <w:rPr>
                <w:b/>
                <w:sz w:val="20"/>
                <w:szCs w:val="20"/>
                <w:lang w:eastAsia="en-US"/>
              </w:rPr>
              <w:t>Экология</w:t>
            </w:r>
          </w:p>
        </w:tc>
        <w:tc>
          <w:tcPr>
            <w:tcW w:w="7796" w:type="dxa"/>
          </w:tcPr>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В рамках реализации национального проекта «</w:t>
            </w:r>
            <w:r w:rsidRPr="00563192">
              <w:rPr>
                <w:b/>
                <w:sz w:val="20"/>
                <w:szCs w:val="20"/>
                <w:lang w:eastAsia="en-US"/>
              </w:rPr>
              <w:t>Экология»</w:t>
            </w:r>
            <w:r w:rsidRPr="00563192">
              <w:rPr>
                <w:sz w:val="20"/>
                <w:szCs w:val="20"/>
                <w:lang w:eastAsia="en-US"/>
              </w:rPr>
              <w:t xml:space="preserve"> уровень исполнения бюджетных ассигнований составил 66,3 % показателя сводной росписи с изменениями. </w:t>
            </w:r>
            <w:r w:rsidRPr="00563192">
              <w:rPr>
                <w:bCs/>
                <w:sz w:val="20"/>
                <w:szCs w:val="20"/>
                <w:lang w:eastAsia="en-US"/>
              </w:rPr>
              <w:t>По итогам 2019 года отмечается значительный объем неисполненных бюджетных ассигнований в сумме 18 736,9 млн. рублей, или 33,7 %. В 2019 году исполнение расходов по федеральному проекту «Внедрение наилучших доступных технологий» (бюджетные ассигнования предусмотрены в сумме 300,0 млн. рублей) не осуществлялось.</w:t>
            </w:r>
            <w:r w:rsidRPr="00563192">
              <w:rPr>
                <w:sz w:val="20"/>
                <w:szCs w:val="20"/>
                <w:lang w:eastAsia="en-US"/>
              </w:rPr>
              <w:t xml:space="preserve"> </w:t>
            </w:r>
            <w:proofErr w:type="gramStart"/>
            <w:r w:rsidRPr="00242AF8">
              <w:rPr>
                <w:sz w:val="20"/>
                <w:szCs w:val="20"/>
                <w:lang w:eastAsia="en-US"/>
              </w:rPr>
              <w:t xml:space="preserve">На низком уровне </w:t>
            </w:r>
            <w:r w:rsidRPr="00563192">
              <w:rPr>
                <w:sz w:val="20"/>
                <w:szCs w:val="20"/>
                <w:lang w:eastAsia="en-US"/>
              </w:rPr>
              <w:t>исполнены расходы по четырем проектам (от 5,5 % (федеральный проект «Комплексная система обращения с ТКО») до 72 % (федеральный проект «Оздоровление Волги»).</w:t>
            </w:r>
            <w:proofErr w:type="gramEnd"/>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По состоянию на 1 января 2020 года по сравнению с первоначально утвержденными бюджетными ассигнованиями (60 609,7 млн. рублей) показатели сводной росписи с изменениями уменьшены на 5 276,1 млн. рублей в связи с перечислением в резервный фонд Правительства Российской Федерации межбюджетных трансфертов по которым </w:t>
            </w:r>
            <w:r w:rsidRPr="00242AF8">
              <w:rPr>
                <w:b/>
                <w:sz w:val="20"/>
                <w:szCs w:val="20"/>
                <w:lang w:eastAsia="en-US"/>
              </w:rPr>
              <w:t xml:space="preserve">отсутствовали соглашения </w:t>
            </w:r>
            <w:r w:rsidRPr="00563192">
              <w:rPr>
                <w:sz w:val="20"/>
                <w:szCs w:val="20"/>
                <w:lang w:eastAsia="en-US"/>
              </w:rPr>
              <w:t>на 15 февраля 2019 года, и сокращением объема бюджетных ассигнований при внесении изменений в Федеральный</w:t>
            </w:r>
            <w:proofErr w:type="gramEnd"/>
            <w:r w:rsidRPr="00563192">
              <w:rPr>
                <w:sz w:val="20"/>
                <w:szCs w:val="20"/>
                <w:lang w:eastAsia="en-US"/>
              </w:rPr>
              <w:t xml:space="preserve"> закон № 459-ФЗ. </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Наиболее существенные изменения сложились по федеральным проектам «Комплексная система обращения с ТКО», «Чистый воздух», «Оздоровление Волги», «Сохранение биоразнообразия», «Сохранение уникальных водных объектов»</w:t>
            </w:r>
            <w:r w:rsidR="007A0366">
              <w:rPr>
                <w:sz w:val="20"/>
                <w:szCs w:val="20"/>
                <w:lang w:eastAsia="en-US"/>
              </w:rPr>
              <w:t xml:space="preserve">, «Сохранение лесов» </w:t>
            </w:r>
            <w:r w:rsidRPr="00563192">
              <w:rPr>
                <w:sz w:val="20"/>
                <w:szCs w:val="20"/>
                <w:lang w:eastAsia="en-US"/>
              </w:rPr>
              <w:t xml:space="preserve">в основном в связи с перераспределением бюджетных ассигнований, в том числе зарезервированных Минфином России, между федеральными проектами, входящими в состав национального проекта «Экология». </w:t>
            </w:r>
            <w:proofErr w:type="gramStart"/>
            <w:r w:rsidRPr="00563192">
              <w:rPr>
                <w:sz w:val="20"/>
                <w:szCs w:val="20"/>
                <w:lang w:eastAsia="en-US"/>
              </w:rPr>
              <w:t>Также, перераспределялись средства федерального бюджета в рамках (или между) результатами реализации федеральных проектов (из них по федеральному проекту «Оздоровление Волги» (794,6 млн. рублей) и федеральному проекту «Чистый воздух» (480 млн. рублей).</w:t>
            </w:r>
            <w:proofErr w:type="gramEnd"/>
            <w:r w:rsidRPr="00563192">
              <w:rPr>
                <w:sz w:val="20"/>
                <w:szCs w:val="20"/>
                <w:lang w:eastAsia="en-US"/>
              </w:rPr>
              <w:t xml:space="preserve"> По федеральному проекту </w:t>
            </w:r>
            <w:r w:rsidRPr="00563192">
              <w:rPr>
                <w:bCs/>
                <w:sz w:val="20"/>
                <w:szCs w:val="20"/>
                <w:lang w:eastAsia="en-US"/>
              </w:rPr>
              <w:t xml:space="preserve">«Внедрение наилучших доступных технологий» </w:t>
            </w:r>
            <w:r w:rsidRPr="00563192">
              <w:rPr>
                <w:sz w:val="20"/>
                <w:szCs w:val="20"/>
                <w:lang w:eastAsia="en-US"/>
              </w:rPr>
              <w:t>объем бюджетных ассигнований не изменялся.</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Следует отметить, что доля межбюджетных трансфертов, предусмотренных сводной росписью по состоянию на 1 января 2020 года на реализацию национального проекта «Экология», составила 69,2 % общего объема расходов национального проекта из федерального бюджета (38 475,5 млн. рублей). Кассовые расходы исполнены в объеме 31 205,7 млн. рублей, или 81,1 % показателя сводной росписи с изменениями. Более двух третей указанных расходов </w:t>
            </w:r>
            <w:proofErr w:type="gramStart"/>
            <w:r w:rsidRPr="00563192">
              <w:rPr>
                <w:sz w:val="20"/>
                <w:szCs w:val="20"/>
                <w:lang w:eastAsia="en-US"/>
              </w:rPr>
              <w:t>осуществлены</w:t>
            </w:r>
            <w:proofErr w:type="gramEnd"/>
            <w:r w:rsidRPr="00563192">
              <w:rPr>
                <w:sz w:val="20"/>
                <w:szCs w:val="20"/>
                <w:lang w:eastAsia="en-US"/>
              </w:rPr>
              <w:t xml:space="preserve"> в IV квартале (22 370,5 млн. рублей). </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В ходе выборочной проверки соблюдения в соглашениях с субъектами Российской Федерации предельных уровней </w:t>
            </w:r>
            <w:proofErr w:type="spellStart"/>
            <w:r w:rsidRPr="00563192">
              <w:rPr>
                <w:sz w:val="20"/>
                <w:szCs w:val="20"/>
                <w:lang w:eastAsia="en-US"/>
              </w:rPr>
              <w:t>софинансирования</w:t>
            </w:r>
            <w:proofErr w:type="spellEnd"/>
            <w:r w:rsidRPr="00563192">
              <w:rPr>
                <w:sz w:val="20"/>
                <w:szCs w:val="20"/>
                <w:lang w:eastAsia="en-US"/>
              </w:rPr>
              <w:t xml:space="preserve"> расходов, установленных распоряжением Правительства Российской Федерации от 1 декабря 2018 г. № 2648-р, фактов их превышения не установлено. </w:t>
            </w:r>
            <w:proofErr w:type="gramStart"/>
            <w:r w:rsidRPr="00563192">
              <w:rPr>
                <w:sz w:val="20"/>
                <w:szCs w:val="20"/>
                <w:lang w:eastAsia="en-US"/>
              </w:rPr>
              <w:t xml:space="preserve">По отдельным регионам соглашения заключены с уровнями </w:t>
            </w:r>
            <w:proofErr w:type="spellStart"/>
            <w:r w:rsidRPr="00563192">
              <w:rPr>
                <w:sz w:val="20"/>
                <w:szCs w:val="20"/>
                <w:lang w:eastAsia="en-US"/>
              </w:rPr>
              <w:t>софинансирования</w:t>
            </w:r>
            <w:proofErr w:type="spellEnd"/>
            <w:r w:rsidRPr="00563192">
              <w:rPr>
                <w:sz w:val="20"/>
                <w:szCs w:val="20"/>
                <w:lang w:eastAsia="en-US"/>
              </w:rPr>
              <w:t xml:space="preserve"> ниже установленных предельных значений (например, по КБК 051 0602 126G750940 521 уровень </w:t>
            </w:r>
            <w:proofErr w:type="spellStart"/>
            <w:r w:rsidRPr="00563192">
              <w:rPr>
                <w:sz w:val="20"/>
                <w:szCs w:val="20"/>
                <w:lang w:eastAsia="en-US"/>
              </w:rPr>
              <w:t>софинансирования</w:t>
            </w:r>
            <w:proofErr w:type="spellEnd"/>
            <w:r w:rsidRPr="00563192">
              <w:rPr>
                <w:sz w:val="20"/>
                <w:szCs w:val="20"/>
                <w:lang w:eastAsia="en-US"/>
              </w:rPr>
              <w:t xml:space="preserve"> в соглашении с Иркутской областью составил 79 % (при предельном значении 96 %).</w:t>
            </w:r>
            <w:proofErr w:type="gramEnd"/>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Анализ отдельных причин недостаточного уровня исполнения расходов по федеральным проектам показал следующее.</w:t>
            </w:r>
          </w:p>
          <w:p w:rsidR="00563192" w:rsidRPr="00563192" w:rsidRDefault="00563192" w:rsidP="000C15B1">
            <w:pPr>
              <w:overflowPunct/>
              <w:ind w:left="0" w:right="0" w:firstLine="284"/>
              <w:textAlignment w:val="auto"/>
              <w:rPr>
                <w:sz w:val="20"/>
                <w:szCs w:val="20"/>
                <w:lang w:eastAsia="en-US"/>
              </w:rPr>
            </w:pPr>
            <w:r w:rsidRPr="00242AF8">
              <w:rPr>
                <w:sz w:val="20"/>
                <w:szCs w:val="20"/>
                <w:lang w:eastAsia="en-US"/>
              </w:rPr>
              <w:t>Не исполнение в полном объеме</w:t>
            </w:r>
            <w:r w:rsidRPr="00563192">
              <w:rPr>
                <w:sz w:val="20"/>
                <w:szCs w:val="20"/>
                <w:lang w:eastAsia="en-US"/>
              </w:rPr>
              <w:t xml:space="preserve"> расходов по федеральному проекту </w:t>
            </w:r>
            <w:r w:rsidRPr="00563192">
              <w:rPr>
                <w:bCs/>
                <w:sz w:val="20"/>
                <w:szCs w:val="20"/>
                <w:lang w:eastAsia="en-US"/>
              </w:rPr>
              <w:t>«Внедрение наилучших доступных технологий»</w:t>
            </w:r>
            <w:r w:rsidRPr="00563192">
              <w:rPr>
                <w:sz w:val="20"/>
                <w:szCs w:val="20"/>
                <w:lang w:eastAsia="en-US"/>
              </w:rPr>
              <w:t xml:space="preserve"> (300,0 млн. рублей) обусловлено </w:t>
            </w:r>
            <w:r w:rsidRPr="00242AF8">
              <w:rPr>
                <w:b/>
                <w:sz w:val="20"/>
                <w:szCs w:val="20"/>
                <w:lang w:eastAsia="en-US"/>
              </w:rPr>
              <w:t>длительностью подготовки правовых актов</w:t>
            </w:r>
            <w:r w:rsidRPr="00563192">
              <w:rPr>
                <w:sz w:val="20"/>
                <w:szCs w:val="20"/>
                <w:lang w:eastAsia="en-US"/>
              </w:rPr>
              <w:t xml:space="preserve">, регламентирующих предоставление субсидий из федерального бюджета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w:t>
            </w:r>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По федеральному проекту «Комплексная система обращения с ТКО» расходы исполнены на уровне 5,5 % в связи </w:t>
            </w:r>
            <w:r w:rsidRPr="00242AF8">
              <w:rPr>
                <w:b/>
                <w:sz w:val="20"/>
                <w:szCs w:val="20"/>
                <w:lang w:eastAsia="en-US"/>
              </w:rPr>
              <w:t>с поздним утверждением</w:t>
            </w:r>
            <w:r w:rsidRPr="00563192">
              <w:rPr>
                <w:sz w:val="20"/>
                <w:szCs w:val="20"/>
                <w:lang w:eastAsia="en-US"/>
              </w:rPr>
              <w:t xml:space="preserve"> Правил предоставления субсидии в виде имущественного взноса Российской Федерации в публично-правовую </w:t>
            </w:r>
            <w:r w:rsidRPr="00563192">
              <w:rPr>
                <w:sz w:val="20"/>
                <w:szCs w:val="20"/>
                <w:lang w:eastAsia="en-US"/>
              </w:rPr>
              <w:lastRenderedPageBreak/>
              <w:t>компанию «РЭО», в результате чего Минприроды России не освоены в полном объеме доведенные 24 декабря 2019 года бюджетные ассигнования на финансирование проектов по обработке и утилизации твердых коммунальных отходов в объеме</w:t>
            </w:r>
            <w:proofErr w:type="gramEnd"/>
            <w:r w:rsidRPr="00563192">
              <w:rPr>
                <w:sz w:val="20"/>
                <w:szCs w:val="20"/>
                <w:lang w:eastAsia="en-US"/>
              </w:rPr>
              <w:t xml:space="preserve"> 10 075,1 млн. рублей (КБК 051 0605 121G268880 и 121G268900 822). Соглашение между ППК РЭО и Минприроды России заключено 27 декабря 2019 года. Средства федерального бюджета предусмотрены в рамках выполнения результатов 1.8 и 1.9  паспорта указанного федерального проекта.</w:t>
            </w:r>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Кроме того, в связи </w:t>
            </w:r>
            <w:r w:rsidRPr="00242AF8">
              <w:rPr>
                <w:b/>
                <w:sz w:val="20"/>
                <w:szCs w:val="20"/>
                <w:lang w:eastAsia="en-US"/>
              </w:rPr>
              <w:t>с отсутствием нормативного правового</w:t>
            </w:r>
            <w:r w:rsidRPr="00563192">
              <w:rPr>
                <w:sz w:val="20"/>
                <w:szCs w:val="20"/>
                <w:lang w:eastAsia="en-US"/>
              </w:rPr>
              <w:t xml:space="preserve"> </w:t>
            </w:r>
            <w:r w:rsidRPr="00242AF8">
              <w:rPr>
                <w:b/>
                <w:sz w:val="20"/>
                <w:szCs w:val="20"/>
                <w:lang w:eastAsia="en-US"/>
              </w:rPr>
              <w:t>акта</w:t>
            </w:r>
            <w:r w:rsidRPr="00563192">
              <w:rPr>
                <w:sz w:val="20"/>
                <w:szCs w:val="20"/>
                <w:lang w:eastAsia="en-US"/>
              </w:rPr>
              <w:t xml:space="preserve"> Правительства Российской Федерации о внесении изменений в Правила предоставления из федерального бюджета субсидии на реализацию отдельных мероприятий федерального проекта «Комплексная система обращения с твердыми коммунальными отходами» не </w:t>
            </w:r>
            <w:r w:rsidRPr="00242AF8">
              <w:rPr>
                <w:b/>
                <w:sz w:val="20"/>
                <w:szCs w:val="20"/>
                <w:lang w:eastAsia="en-US"/>
              </w:rPr>
              <w:t>исполнены</w:t>
            </w:r>
            <w:r w:rsidRPr="00563192">
              <w:rPr>
                <w:sz w:val="20"/>
                <w:szCs w:val="20"/>
                <w:lang w:eastAsia="en-US"/>
              </w:rPr>
              <w:t xml:space="preserve"> расходы в объеме 103,9 млн. рублей (КБК 051 0605 121 G268870 800) в рамках достижения результата 1.2 (срок 31 декабря 2020 года).</w:t>
            </w:r>
            <w:proofErr w:type="gramEnd"/>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Уровень исполнения расходов федерального бюджета, предусмотренных на реализацию федерального проекта «Сохранение биоразнообразия», составил 31,2 % в связи с </w:t>
            </w:r>
            <w:proofErr w:type="spellStart"/>
            <w:r w:rsidRPr="00563192">
              <w:rPr>
                <w:sz w:val="20"/>
                <w:szCs w:val="20"/>
                <w:lang w:eastAsia="en-US"/>
              </w:rPr>
              <w:t>незавершением</w:t>
            </w:r>
            <w:proofErr w:type="spellEnd"/>
            <w:r w:rsidRPr="00563192">
              <w:rPr>
                <w:sz w:val="20"/>
                <w:szCs w:val="20"/>
                <w:lang w:eastAsia="en-US"/>
              </w:rPr>
              <w:t xml:space="preserve"> процедуры государственной регистрации в ЕГРЮЛ ФГБУ «Объединенная дирекция ООПТ «Заповедный Крым» и </w:t>
            </w:r>
            <w:proofErr w:type="spellStart"/>
            <w:r w:rsidRPr="00563192">
              <w:rPr>
                <w:sz w:val="20"/>
                <w:szCs w:val="20"/>
                <w:lang w:eastAsia="en-US"/>
              </w:rPr>
              <w:t>незаключением</w:t>
            </w:r>
            <w:proofErr w:type="spellEnd"/>
            <w:r w:rsidRPr="00563192">
              <w:rPr>
                <w:sz w:val="20"/>
                <w:szCs w:val="20"/>
                <w:lang w:eastAsia="en-US"/>
              </w:rPr>
              <w:t xml:space="preserve"> соглашения о доведении субсидии учреждению на проведение мероприятий по внесению в ЕГРН сведений о границах ООПТ (КБК 051 0603 121G942200 600). </w:t>
            </w:r>
            <w:proofErr w:type="gramEnd"/>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По федеральному проекту «Сохранение озера Байкал» исполнение расходов составило 59,3 %, что связано </w:t>
            </w:r>
            <w:r w:rsidRPr="00242AF8">
              <w:rPr>
                <w:b/>
                <w:sz w:val="20"/>
                <w:szCs w:val="20"/>
                <w:lang w:eastAsia="en-US"/>
              </w:rPr>
              <w:t>с отсутствием</w:t>
            </w:r>
            <w:r w:rsidRPr="00563192">
              <w:rPr>
                <w:sz w:val="20"/>
                <w:szCs w:val="20"/>
                <w:lang w:eastAsia="en-US"/>
              </w:rPr>
              <w:t xml:space="preserve"> утвержденной в установленном порядке </w:t>
            </w:r>
            <w:r w:rsidRPr="00242AF8">
              <w:rPr>
                <w:b/>
                <w:sz w:val="20"/>
                <w:szCs w:val="20"/>
                <w:lang w:eastAsia="en-US"/>
              </w:rPr>
              <w:t>проектно-сметной документации</w:t>
            </w:r>
            <w:r w:rsidRPr="00563192">
              <w:rPr>
                <w:sz w:val="20"/>
                <w:szCs w:val="20"/>
                <w:lang w:eastAsia="en-US"/>
              </w:rPr>
              <w:t xml:space="preserve"> (ответственный за разработку – АО «</w:t>
            </w:r>
            <w:proofErr w:type="spellStart"/>
            <w:r w:rsidRPr="00563192">
              <w:rPr>
                <w:sz w:val="20"/>
                <w:szCs w:val="20"/>
                <w:lang w:eastAsia="en-US"/>
              </w:rPr>
              <w:t>Росгеология</w:t>
            </w:r>
            <w:proofErr w:type="spellEnd"/>
            <w:r w:rsidRPr="00563192">
              <w:rPr>
                <w:sz w:val="20"/>
                <w:szCs w:val="20"/>
                <w:lang w:eastAsia="en-US"/>
              </w:rPr>
              <w:t>) по мероприятию по ликвидации негативного воздействия отходов в результате деятельности ОАО «Байкальский целлюлозно-бумажный комбинат», реализуемых Иркутской областью (1 412,6 млн. рублей, КБК 051 0602 126G7 50940 521).</w:t>
            </w:r>
            <w:proofErr w:type="gramEnd"/>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Основной причиной </w:t>
            </w:r>
            <w:r w:rsidRPr="00242AF8">
              <w:rPr>
                <w:sz w:val="20"/>
                <w:szCs w:val="20"/>
                <w:lang w:eastAsia="en-US"/>
              </w:rPr>
              <w:t>низкого кассового исполнения</w:t>
            </w:r>
            <w:r w:rsidRPr="00563192">
              <w:rPr>
                <w:sz w:val="20"/>
                <w:szCs w:val="20"/>
                <w:lang w:eastAsia="en-US"/>
              </w:rPr>
              <w:t xml:space="preserve"> по федеральному проекту «Оздоровление Волги» (72 %) являлась </w:t>
            </w:r>
            <w:r w:rsidRPr="00242AF8">
              <w:rPr>
                <w:b/>
                <w:sz w:val="20"/>
                <w:szCs w:val="20"/>
                <w:lang w:eastAsia="en-US"/>
              </w:rPr>
              <w:t>поздняя детализация</w:t>
            </w:r>
            <w:r w:rsidRPr="00563192">
              <w:rPr>
                <w:sz w:val="20"/>
                <w:szCs w:val="20"/>
                <w:lang w:eastAsia="en-US"/>
              </w:rPr>
              <w:t xml:space="preserve"> в рамках соглашений с регионами перечней объектов капитального строительства (в основном начиная с сентября 2019 года) и проведение конкурсных процедур для заключения контрактов на финансирование работ по указанным объектам (КБК 069 0602 052G650130 523). </w:t>
            </w:r>
            <w:proofErr w:type="gramStart"/>
            <w:r w:rsidRPr="00563192">
              <w:rPr>
                <w:sz w:val="20"/>
                <w:szCs w:val="20"/>
                <w:lang w:eastAsia="en-US"/>
              </w:rPr>
              <w:t>По отдельным субъектам Российской Федерации заключены дополнительные соглашения с детализацией объектов в конце декабря (Ульяновская область – 25 декабря 2019 г. № 069-09-2019-212/3 на сумму 485,8 млн. рублей (при плановом объеме субсидий на 2019 год 889,9 млн. рублей).</w:t>
            </w:r>
            <w:proofErr w:type="gramEnd"/>
            <w:r w:rsidRPr="00563192">
              <w:rPr>
                <w:sz w:val="20"/>
                <w:szCs w:val="20"/>
                <w:lang w:eastAsia="en-US"/>
              </w:rPr>
              <w:t xml:space="preserve"> Как следствие, </w:t>
            </w:r>
            <w:proofErr w:type="gramStart"/>
            <w:r w:rsidRPr="00563192">
              <w:rPr>
                <w:sz w:val="20"/>
                <w:szCs w:val="20"/>
                <w:lang w:eastAsia="en-US"/>
              </w:rPr>
              <w:t>на конец</w:t>
            </w:r>
            <w:proofErr w:type="gramEnd"/>
            <w:r w:rsidRPr="00563192">
              <w:rPr>
                <w:sz w:val="20"/>
                <w:szCs w:val="20"/>
                <w:lang w:eastAsia="en-US"/>
              </w:rPr>
              <w:t xml:space="preserve"> 2019 года консолидированная субсидия, предусмотренная Минстрою России в сумме 11 681,5 млн. рублей в целях сокращения доли загрязненных сточных вод, </w:t>
            </w:r>
            <w:r w:rsidRPr="00242AF8">
              <w:rPr>
                <w:sz w:val="20"/>
                <w:szCs w:val="20"/>
                <w:lang w:eastAsia="en-US"/>
              </w:rPr>
              <w:t xml:space="preserve">исполнена </w:t>
            </w:r>
            <w:r w:rsidRPr="007A0366">
              <w:rPr>
                <w:b/>
                <w:sz w:val="20"/>
                <w:szCs w:val="20"/>
                <w:lang w:eastAsia="en-US"/>
              </w:rPr>
              <w:t>не в полном объеме</w:t>
            </w:r>
            <w:r w:rsidRPr="00563192">
              <w:rPr>
                <w:sz w:val="20"/>
                <w:szCs w:val="20"/>
                <w:lang w:eastAsia="en-US"/>
              </w:rPr>
              <w:t>.</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В 2019 году указанная субсидия была сокращена на 1 275,6 млн. рублей при внесении изменений в Федеральный закон № 459-ФЗ и на 2 602,8 млн. рублей за счет перераспределения бюджетных ассигнований на федеральный проект «Сохранение лесов».</w:t>
            </w:r>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 xml:space="preserve">Согласно отчету о реализации национального проекта «Экология» в 2019 году определены следующие </w:t>
            </w:r>
            <w:r w:rsidRPr="00242AF8">
              <w:rPr>
                <w:b/>
                <w:sz w:val="20"/>
                <w:szCs w:val="20"/>
                <w:lang w:eastAsia="en-US"/>
              </w:rPr>
              <w:t>ключевые риски</w:t>
            </w:r>
            <w:r w:rsidRPr="00563192">
              <w:rPr>
                <w:sz w:val="20"/>
                <w:szCs w:val="20"/>
                <w:lang w:eastAsia="en-US"/>
              </w:rPr>
              <w:t xml:space="preserve">: риск </w:t>
            </w:r>
            <w:proofErr w:type="spellStart"/>
            <w:r w:rsidRPr="00563192">
              <w:rPr>
                <w:sz w:val="20"/>
                <w:szCs w:val="20"/>
                <w:lang w:eastAsia="en-US"/>
              </w:rPr>
              <w:t>недостижения</w:t>
            </w:r>
            <w:proofErr w:type="spellEnd"/>
            <w:r w:rsidRPr="00563192">
              <w:rPr>
                <w:sz w:val="20"/>
                <w:szCs w:val="20"/>
                <w:lang w:eastAsia="en-US"/>
              </w:rPr>
              <w:t xml:space="preserve"> результата 4.5  федерального проекта «Комплексная система обращения с ТКО» в связи с представлением </w:t>
            </w:r>
            <w:proofErr w:type="spellStart"/>
            <w:r w:rsidRPr="00563192">
              <w:rPr>
                <w:sz w:val="20"/>
                <w:szCs w:val="20"/>
                <w:lang w:eastAsia="en-US"/>
              </w:rPr>
              <w:t>Росприроднадзором</w:t>
            </w:r>
            <w:proofErr w:type="spellEnd"/>
            <w:r w:rsidRPr="00563192">
              <w:rPr>
                <w:sz w:val="20"/>
                <w:szCs w:val="20"/>
                <w:lang w:eastAsia="en-US"/>
              </w:rPr>
              <w:t xml:space="preserve"> отчета по не актуализированным данным (актуализация предусмотрена только 1 раз в 5 лет), а также отмечены риски по федеральному проекту «Сохранение озера Байкал» при достижении результата 9.3 и при реализации</w:t>
            </w:r>
            <w:proofErr w:type="gramEnd"/>
            <w:r w:rsidRPr="00563192">
              <w:rPr>
                <w:sz w:val="20"/>
                <w:szCs w:val="20"/>
                <w:lang w:eastAsia="en-US"/>
              </w:rPr>
              <w:t xml:space="preserve"> мероприятия в рамках достижения результата 9.6 Риск </w:t>
            </w:r>
            <w:proofErr w:type="spellStart"/>
            <w:r w:rsidRPr="00563192">
              <w:rPr>
                <w:sz w:val="20"/>
                <w:szCs w:val="20"/>
                <w:lang w:eastAsia="en-US"/>
              </w:rPr>
              <w:t>недостижения</w:t>
            </w:r>
            <w:proofErr w:type="spellEnd"/>
            <w:r w:rsidRPr="00563192">
              <w:rPr>
                <w:sz w:val="20"/>
                <w:szCs w:val="20"/>
                <w:lang w:eastAsia="en-US"/>
              </w:rPr>
              <w:t xml:space="preserve"> значения результата по очистке загрязненных сточных вод, запланированного на 2021 год, обусловлен снижением потребности в мощности очистных сооружений в Республике Бурятия (со 185 до 130 тыс. куб. м). Мероприятие по ликвидации негативного воздействия отходов в рамках достижения результата 9.6 не может быть выполнено вследствие отсутствия утвержденной в установленном порядке проектно-сметной документации и заключения </w:t>
            </w:r>
            <w:proofErr w:type="spellStart"/>
            <w:r w:rsidRPr="00563192">
              <w:rPr>
                <w:sz w:val="20"/>
                <w:szCs w:val="20"/>
                <w:lang w:eastAsia="en-US"/>
              </w:rPr>
              <w:t>госэкспертизы</w:t>
            </w:r>
            <w:proofErr w:type="spellEnd"/>
            <w:r w:rsidRPr="00563192">
              <w:rPr>
                <w:sz w:val="20"/>
                <w:szCs w:val="20"/>
                <w:lang w:eastAsia="en-US"/>
              </w:rPr>
              <w:t xml:space="preserve">, что, в свою очередь, приведет к </w:t>
            </w:r>
            <w:proofErr w:type="spellStart"/>
            <w:r w:rsidRPr="00563192">
              <w:rPr>
                <w:sz w:val="20"/>
                <w:szCs w:val="20"/>
                <w:lang w:eastAsia="en-US"/>
              </w:rPr>
              <w:t>недостижению</w:t>
            </w:r>
            <w:proofErr w:type="spellEnd"/>
            <w:r w:rsidRPr="00563192">
              <w:rPr>
                <w:sz w:val="20"/>
                <w:szCs w:val="20"/>
                <w:lang w:eastAsia="en-US"/>
              </w:rPr>
              <w:t xml:space="preserve"> установленных паспортом значений результата на 2020 год и показателей федерального проекта по региону на 2019 год.</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Согласно отчетам федеральных проектов ключевые риски определены при реализации четырех федеральных проектов («Комплексная система обращения с ТКО», Чистый воздух», «Сохранение озера Байкал» и </w:t>
            </w:r>
            <w:r w:rsidRPr="00563192">
              <w:rPr>
                <w:bCs/>
                <w:sz w:val="20"/>
                <w:szCs w:val="20"/>
                <w:lang w:eastAsia="en-US"/>
              </w:rPr>
              <w:t>«Внедрение наилучших доступных технологий»</w:t>
            </w:r>
            <w:r w:rsidRPr="00563192">
              <w:rPr>
                <w:sz w:val="20"/>
                <w:szCs w:val="20"/>
                <w:lang w:eastAsia="en-US"/>
              </w:rPr>
              <w:t xml:space="preserve">), из них </w:t>
            </w:r>
            <w:r w:rsidRPr="00242AF8">
              <w:rPr>
                <w:b/>
                <w:sz w:val="20"/>
                <w:szCs w:val="20"/>
                <w:lang w:eastAsia="en-US"/>
              </w:rPr>
              <w:t>по двум – с критическими отклонениями</w:t>
            </w:r>
            <w:r w:rsidRPr="00563192">
              <w:rPr>
                <w:sz w:val="20"/>
                <w:szCs w:val="20"/>
                <w:lang w:eastAsia="en-US"/>
              </w:rPr>
              <w:t xml:space="preserve">. Представленные в </w:t>
            </w:r>
            <w:r w:rsidRPr="00563192">
              <w:rPr>
                <w:sz w:val="20"/>
                <w:szCs w:val="20"/>
                <w:lang w:eastAsia="en-US"/>
              </w:rPr>
              <w:lastRenderedPageBreak/>
              <w:t xml:space="preserve">отчетах федеральных проектов риски не в полном объеме вошли в перечень ключевых рисков национального проекта. </w:t>
            </w:r>
            <w:proofErr w:type="gramStart"/>
            <w:r w:rsidRPr="00563192">
              <w:rPr>
                <w:sz w:val="20"/>
                <w:szCs w:val="20"/>
                <w:lang w:eastAsia="en-US"/>
              </w:rPr>
              <w:t xml:space="preserve">Так, в отчете по федеральному проекту «Комплексная система обращения с ТКО» </w:t>
            </w:r>
            <w:r w:rsidRPr="00242AF8">
              <w:rPr>
                <w:sz w:val="20"/>
                <w:szCs w:val="20"/>
                <w:lang w:eastAsia="en-US"/>
              </w:rPr>
              <w:t xml:space="preserve">отмечено о </w:t>
            </w:r>
            <w:proofErr w:type="spellStart"/>
            <w:r w:rsidRPr="00242AF8">
              <w:rPr>
                <w:sz w:val="20"/>
                <w:szCs w:val="20"/>
                <w:lang w:eastAsia="en-US"/>
              </w:rPr>
              <w:t>недостижении</w:t>
            </w:r>
            <w:proofErr w:type="spellEnd"/>
            <w:r w:rsidRPr="00242AF8">
              <w:rPr>
                <w:sz w:val="20"/>
                <w:szCs w:val="20"/>
                <w:lang w:eastAsia="en-US"/>
              </w:rPr>
              <w:t xml:space="preserve"> результата 3 в срок до 31 декабря 2019 года в связи с невозможностью исполнения контрольной</w:t>
            </w:r>
            <w:r w:rsidRPr="00563192">
              <w:rPr>
                <w:sz w:val="20"/>
                <w:szCs w:val="20"/>
                <w:lang w:eastAsia="en-US"/>
              </w:rPr>
              <w:t xml:space="preserve"> точки 3.5 из-за необходимости синхронизации ее срока выполнения со сроком ввода в эксплуатацию системы ГИС УТКО Минприроды России, в связи с чем, предлагается перенести срок результата на 31 декабря 2020 года. </w:t>
            </w:r>
            <w:proofErr w:type="gramEnd"/>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В отчете о реализации национального проекта «Экология» в 2019 году представлена информация о выполнении 20 показателей, включая 6 показателей, по которым отсутствует динамика. </w:t>
            </w:r>
            <w:r w:rsidRPr="007A0366">
              <w:rPr>
                <w:b/>
                <w:sz w:val="20"/>
                <w:szCs w:val="20"/>
                <w:lang w:eastAsia="en-US"/>
              </w:rPr>
              <w:t>Не отражен показатель</w:t>
            </w:r>
            <w:r w:rsidRPr="00563192">
              <w:rPr>
                <w:sz w:val="20"/>
                <w:szCs w:val="20"/>
                <w:lang w:eastAsia="en-US"/>
              </w:rPr>
              <w:t xml:space="preserve"> «Количество особо охраняемых природных территорий федерального значения». Кроме того, согласно отчету по трем показателям приведены </w:t>
            </w:r>
            <w:r w:rsidRPr="00242AF8">
              <w:rPr>
                <w:b/>
                <w:sz w:val="20"/>
                <w:szCs w:val="20"/>
                <w:lang w:eastAsia="en-US"/>
              </w:rPr>
              <w:t>наименования и значения, не соответствующие ключевым параметрам</w:t>
            </w:r>
            <w:r w:rsidRPr="00563192">
              <w:rPr>
                <w:sz w:val="20"/>
                <w:szCs w:val="20"/>
                <w:lang w:eastAsia="en-US"/>
              </w:rPr>
              <w:t xml:space="preserve"> национальных проектов.</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По данным отчета, 18 показателей выполнены (с учетом шести показателей по которым изменение значений относительно 2018 года не предусмотрено), при этом со значительным перевыполнением 1 показатель «Протяженность очищенной прибрежной полосы водных объектов» в 16 раз (24 тыс. км при плановом значении 1,5 тыс. км). </w:t>
            </w:r>
          </w:p>
          <w:p w:rsidR="00563192" w:rsidRPr="00563192" w:rsidRDefault="00563192" w:rsidP="000C15B1">
            <w:pPr>
              <w:overflowPunct/>
              <w:ind w:left="0" w:right="0" w:firstLine="284"/>
              <w:textAlignment w:val="auto"/>
              <w:rPr>
                <w:sz w:val="20"/>
                <w:szCs w:val="20"/>
                <w:lang w:eastAsia="en-US"/>
              </w:rPr>
            </w:pPr>
            <w:r w:rsidRPr="007A0366">
              <w:rPr>
                <w:b/>
                <w:sz w:val="20"/>
                <w:szCs w:val="20"/>
                <w:lang w:eastAsia="en-US"/>
              </w:rPr>
              <w:t xml:space="preserve">Не выполнены </w:t>
            </w:r>
            <w:r w:rsidRPr="00242AF8">
              <w:rPr>
                <w:sz w:val="20"/>
                <w:szCs w:val="20"/>
                <w:lang w:eastAsia="en-US"/>
              </w:rPr>
              <w:t>2 показателя</w:t>
            </w:r>
            <w:r w:rsidRPr="00563192">
              <w:rPr>
                <w:sz w:val="20"/>
                <w:szCs w:val="20"/>
                <w:lang w:eastAsia="en-US"/>
              </w:rPr>
              <w:t xml:space="preserve"> «Сокращение объемов сбросов загрязненных сточных вод в озеро Байкал и другие водные объекты Байкальской природной территории» - 97,2 % (96,8 % при плановом значении 97,1 %) и «Увеличение количества посетителей на особо охраняемых территориях» - 82,8 % (3 571 тыс. человек при плане 4 313 тыс. человек).</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Анализ выполнения отдельных показателей в рамках федеральных проектов показал, что, </w:t>
            </w:r>
            <w:r w:rsidRPr="00242AF8">
              <w:rPr>
                <w:b/>
                <w:sz w:val="20"/>
                <w:szCs w:val="20"/>
                <w:lang w:eastAsia="en-US"/>
              </w:rPr>
              <w:t>несмотря на низкое исполнение или неисполнение</w:t>
            </w:r>
            <w:r w:rsidRPr="00563192">
              <w:rPr>
                <w:sz w:val="20"/>
                <w:szCs w:val="20"/>
                <w:lang w:eastAsia="en-US"/>
              </w:rPr>
              <w:t xml:space="preserve"> отдельных расходов по федеральным проектам, плановые </w:t>
            </w:r>
            <w:r w:rsidRPr="00242AF8">
              <w:rPr>
                <w:b/>
                <w:sz w:val="20"/>
                <w:szCs w:val="20"/>
                <w:lang w:eastAsia="en-US"/>
              </w:rPr>
              <w:t>значения показателей выполнены (или перевыполнены)</w:t>
            </w:r>
            <w:r w:rsidRPr="00563192">
              <w:rPr>
                <w:sz w:val="20"/>
                <w:szCs w:val="20"/>
                <w:lang w:eastAsia="en-US"/>
              </w:rPr>
              <w:t>, что указывает н</w:t>
            </w:r>
            <w:r w:rsidRPr="00242AF8">
              <w:rPr>
                <w:b/>
                <w:sz w:val="20"/>
                <w:szCs w:val="20"/>
                <w:lang w:eastAsia="en-US"/>
              </w:rPr>
              <w:t xml:space="preserve">а непрямое влияние мер государственной </w:t>
            </w:r>
            <w:proofErr w:type="gramStart"/>
            <w:r w:rsidRPr="00242AF8">
              <w:rPr>
                <w:b/>
                <w:sz w:val="20"/>
                <w:szCs w:val="20"/>
                <w:lang w:eastAsia="en-US"/>
              </w:rPr>
              <w:t>поддержки</w:t>
            </w:r>
            <w:proofErr w:type="gramEnd"/>
            <w:r w:rsidRPr="00242AF8">
              <w:rPr>
                <w:b/>
                <w:sz w:val="20"/>
                <w:szCs w:val="20"/>
                <w:lang w:eastAsia="en-US"/>
              </w:rPr>
              <w:t xml:space="preserve"> на выполнение показателей</w:t>
            </w:r>
            <w:r w:rsidRPr="00563192">
              <w:rPr>
                <w:sz w:val="20"/>
                <w:szCs w:val="20"/>
                <w:lang w:eastAsia="en-US"/>
              </w:rPr>
              <w:t>.</w:t>
            </w:r>
          </w:p>
          <w:p w:rsidR="00563192" w:rsidRPr="00563192" w:rsidRDefault="00563192" w:rsidP="000C15B1">
            <w:pPr>
              <w:overflowPunct/>
              <w:ind w:left="0" w:right="0" w:firstLine="284"/>
              <w:textAlignment w:val="auto"/>
              <w:rPr>
                <w:sz w:val="20"/>
                <w:szCs w:val="20"/>
                <w:lang w:eastAsia="en-US"/>
              </w:rPr>
            </w:pPr>
            <w:proofErr w:type="gramStart"/>
            <w:r w:rsidRPr="00563192">
              <w:rPr>
                <w:sz w:val="20"/>
                <w:szCs w:val="20"/>
                <w:lang w:eastAsia="en-US"/>
              </w:rPr>
              <w:t>При исполнении расходов на предоставление субсидий бюджетным учреждениям на уровне 13,7 % (КБК 051 0603 122G942200 600) в рамках достижения результата 1.2  «Завершены мероприятия по внесению в Единый государственный реестр недвижимости сведений о границах ООПТ (в том числе ранее созданных) и по организационно-техническому обеспечению ООПТ» федерального проекта «Сохранение биоразнообразия» показатель «Увеличена площадь федеральных особо охраняемых природных территорий, нарастающим итогом» перевыполнен более</w:t>
            </w:r>
            <w:proofErr w:type="gramEnd"/>
            <w:r w:rsidRPr="00563192">
              <w:rPr>
                <w:sz w:val="20"/>
                <w:szCs w:val="20"/>
                <w:lang w:eastAsia="en-US"/>
              </w:rPr>
              <w:t xml:space="preserve"> чем в 2 раза (3,6 млн. га при плановом значении 1,7 млн. га). При этом плановое значение отчета по федеральному проекту не соотносится со значением, представленным в паспорте национального проекта  (3 млн. га).</w:t>
            </w:r>
          </w:p>
          <w:p w:rsidR="00563192" w:rsidRPr="00563192" w:rsidRDefault="00563192" w:rsidP="000C15B1">
            <w:pPr>
              <w:overflowPunct/>
              <w:ind w:left="0" w:right="0" w:firstLine="284"/>
              <w:textAlignment w:val="auto"/>
              <w:rPr>
                <w:sz w:val="20"/>
                <w:szCs w:val="20"/>
                <w:lang w:eastAsia="en-US"/>
              </w:rPr>
            </w:pPr>
            <w:r w:rsidRPr="0018028C">
              <w:rPr>
                <w:b/>
                <w:sz w:val="20"/>
                <w:szCs w:val="20"/>
                <w:lang w:eastAsia="en-US"/>
              </w:rPr>
              <w:t>При неисполнении расходов</w:t>
            </w:r>
            <w:r w:rsidRPr="00563192">
              <w:rPr>
                <w:sz w:val="20"/>
                <w:szCs w:val="20"/>
                <w:lang w:eastAsia="en-US"/>
              </w:rPr>
              <w:t xml:space="preserve"> федерального бюджета по федеральному проекту </w:t>
            </w:r>
            <w:r w:rsidRPr="00563192">
              <w:rPr>
                <w:bCs/>
                <w:sz w:val="20"/>
                <w:szCs w:val="20"/>
                <w:lang w:eastAsia="en-US"/>
              </w:rPr>
              <w:t>«Внедрение наилучших доступных технологий»</w:t>
            </w:r>
            <w:r w:rsidRPr="00563192">
              <w:rPr>
                <w:sz w:val="20"/>
                <w:szCs w:val="20"/>
                <w:lang w:eastAsia="en-US"/>
              </w:rPr>
              <w:t xml:space="preserve"> </w:t>
            </w:r>
            <w:r w:rsidRPr="0018028C">
              <w:rPr>
                <w:b/>
                <w:sz w:val="20"/>
                <w:szCs w:val="20"/>
                <w:lang w:eastAsia="en-US"/>
              </w:rPr>
              <w:t>в полном объеме</w:t>
            </w:r>
            <w:r w:rsidRPr="00563192">
              <w:rPr>
                <w:sz w:val="20"/>
                <w:szCs w:val="20"/>
                <w:lang w:eastAsia="en-US"/>
              </w:rPr>
              <w:t xml:space="preserve"> </w:t>
            </w:r>
            <w:r w:rsidRPr="0018028C">
              <w:rPr>
                <w:b/>
                <w:sz w:val="20"/>
                <w:szCs w:val="20"/>
                <w:lang w:eastAsia="en-US"/>
              </w:rPr>
              <w:t xml:space="preserve">показатель </w:t>
            </w:r>
            <w:r w:rsidRPr="00563192">
              <w:rPr>
                <w:sz w:val="20"/>
                <w:szCs w:val="20"/>
                <w:lang w:eastAsia="en-US"/>
              </w:rPr>
              <w:t xml:space="preserve">«Поддержанные инвестиционные проекты по НДТ» </w:t>
            </w:r>
            <w:r w:rsidRPr="0018028C">
              <w:rPr>
                <w:b/>
                <w:sz w:val="20"/>
                <w:szCs w:val="20"/>
                <w:lang w:eastAsia="en-US"/>
              </w:rPr>
              <w:t>перевыполнен более чем в 24 раза</w:t>
            </w:r>
            <w:r w:rsidRPr="00563192">
              <w:rPr>
                <w:sz w:val="20"/>
                <w:szCs w:val="20"/>
                <w:lang w:eastAsia="en-US"/>
              </w:rPr>
              <w:t xml:space="preserve"> за счет проектов, профинансированных Фондом развития промышленности.</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Анализ информации о выполнении показателей, представленной в отчетах о реализации федеральных проектов, показал, что оценка исполнения некоторых показателей осуществлялась исходя из прогнозов их достижения, что некорректно отражает итоги реализации национального проекта. Так, по федеральному проекту «Комплексная система обращения с ТКО» 4 показателя представлены как выполненные на основании плановых значений показателей при отсутствии фактических данных в срок подготовки отчета. По федеральному проекту «Сохранение лесов» по всем пяти показателям представлены оперативные данные. </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Согласно отчету о реализации национального проекта «Экология» в 2019 году отклонения на прогнозный период при выполнении задач отсутствуют. </w:t>
            </w:r>
          </w:p>
          <w:p w:rsidR="00563192" w:rsidRPr="00563192" w:rsidRDefault="00563192" w:rsidP="000C15B1">
            <w:pPr>
              <w:overflowPunct/>
              <w:ind w:left="0" w:right="0" w:firstLine="284"/>
              <w:textAlignment w:val="auto"/>
              <w:rPr>
                <w:sz w:val="20"/>
                <w:szCs w:val="20"/>
                <w:lang w:eastAsia="en-US"/>
              </w:rPr>
            </w:pPr>
            <w:r w:rsidRPr="00563192">
              <w:rPr>
                <w:sz w:val="20"/>
                <w:szCs w:val="20"/>
                <w:lang w:eastAsia="en-US"/>
              </w:rPr>
              <w:t xml:space="preserve">Из 27 результатов, срок достижения которых установлен на 2019 год, достигнуто 22 результата, или 81,5 %, из них </w:t>
            </w:r>
            <w:r w:rsidRPr="00242AF8">
              <w:rPr>
                <w:b/>
                <w:sz w:val="20"/>
                <w:szCs w:val="20"/>
                <w:lang w:eastAsia="en-US"/>
              </w:rPr>
              <w:t>с нарушением срока</w:t>
            </w:r>
            <w:r w:rsidRPr="00563192">
              <w:rPr>
                <w:sz w:val="20"/>
                <w:szCs w:val="20"/>
                <w:lang w:eastAsia="en-US"/>
              </w:rPr>
              <w:t xml:space="preserve"> 5. Кроме того, в отчетном периоде 1 </w:t>
            </w:r>
            <w:proofErr w:type="gramStart"/>
            <w:r w:rsidRPr="00563192">
              <w:rPr>
                <w:sz w:val="20"/>
                <w:szCs w:val="20"/>
                <w:lang w:eastAsia="en-US"/>
              </w:rPr>
              <w:t>результат</w:t>
            </w:r>
            <w:proofErr w:type="gramEnd"/>
            <w:r w:rsidRPr="00563192">
              <w:rPr>
                <w:sz w:val="20"/>
                <w:szCs w:val="20"/>
                <w:lang w:eastAsia="en-US"/>
              </w:rPr>
              <w:t xml:space="preserve"> достигнут досрочно (плановый срок установлен на 2020 год) и 2 результата</w:t>
            </w:r>
            <w:r w:rsidR="0082200A">
              <w:rPr>
                <w:sz w:val="20"/>
                <w:szCs w:val="20"/>
                <w:lang w:eastAsia="en-US"/>
              </w:rPr>
              <w:t> </w:t>
            </w:r>
            <w:r w:rsidRPr="00563192">
              <w:rPr>
                <w:sz w:val="20"/>
                <w:szCs w:val="20"/>
                <w:lang w:eastAsia="en-US"/>
              </w:rPr>
              <w:t>– со сроком наступления в 2018 году.</w:t>
            </w:r>
          </w:p>
          <w:p w:rsidR="00563192" w:rsidRPr="00563192" w:rsidRDefault="00563192" w:rsidP="000C15B1">
            <w:pPr>
              <w:shd w:val="clear" w:color="auto" w:fill="FFFFFF"/>
              <w:ind w:left="0" w:right="0" w:firstLine="284"/>
              <w:rPr>
                <w:sz w:val="20"/>
                <w:szCs w:val="20"/>
                <w:lang w:eastAsia="en-US"/>
              </w:rPr>
            </w:pPr>
            <w:r w:rsidRPr="0018028C">
              <w:rPr>
                <w:b/>
                <w:sz w:val="20"/>
                <w:szCs w:val="20"/>
                <w:lang w:eastAsia="en-US"/>
              </w:rPr>
              <w:t xml:space="preserve">Не достигнуты </w:t>
            </w:r>
            <w:r w:rsidRPr="00242AF8">
              <w:rPr>
                <w:sz w:val="20"/>
                <w:szCs w:val="20"/>
                <w:lang w:eastAsia="en-US"/>
              </w:rPr>
              <w:t>5 результатов</w:t>
            </w:r>
            <w:r w:rsidRPr="0018028C">
              <w:rPr>
                <w:b/>
                <w:sz w:val="20"/>
                <w:szCs w:val="20"/>
                <w:lang w:eastAsia="en-US"/>
              </w:rPr>
              <w:t xml:space="preserve"> </w:t>
            </w:r>
            <w:r w:rsidRPr="00563192">
              <w:rPr>
                <w:sz w:val="20"/>
                <w:szCs w:val="20"/>
                <w:lang w:eastAsia="en-US"/>
              </w:rPr>
              <w:t xml:space="preserve">по федеральному проекту «Комплексная система обращения с ТКО» (2), «Чистый воздух» (1) и </w:t>
            </w:r>
            <w:r w:rsidRPr="00563192">
              <w:rPr>
                <w:bCs/>
                <w:sz w:val="20"/>
                <w:szCs w:val="20"/>
                <w:lang w:eastAsia="en-US"/>
              </w:rPr>
              <w:t>«Внедрение наилучших доступных технологий»</w:t>
            </w:r>
            <w:r w:rsidRPr="00563192">
              <w:rPr>
                <w:sz w:val="20"/>
                <w:szCs w:val="20"/>
                <w:lang w:eastAsia="en-US"/>
              </w:rPr>
              <w:t xml:space="preserve"> (2). В основном не достигнуты результаты, для реализации которых не предусмотрены средства федерального бюджета (только по 2 результатам установлены </w:t>
            </w:r>
            <w:r w:rsidRPr="00563192">
              <w:rPr>
                <w:sz w:val="20"/>
                <w:szCs w:val="20"/>
                <w:lang w:eastAsia="en-US"/>
              </w:rPr>
              <w:lastRenderedPageBreak/>
              <w:t>объемы финансового обеспечения)</w:t>
            </w:r>
          </w:p>
        </w:tc>
      </w:tr>
      <w:tr w:rsidR="00563192" w:rsidTr="00D46E03">
        <w:tc>
          <w:tcPr>
            <w:tcW w:w="568" w:type="dxa"/>
          </w:tcPr>
          <w:p w:rsidR="00563192" w:rsidRPr="00563192" w:rsidRDefault="00563192" w:rsidP="000C15B1">
            <w:pPr>
              <w:ind w:left="0" w:right="0" w:firstLine="0"/>
              <w:rPr>
                <w:b/>
                <w:sz w:val="20"/>
                <w:szCs w:val="20"/>
              </w:rPr>
            </w:pPr>
            <w:r w:rsidRPr="00563192">
              <w:rPr>
                <w:b/>
                <w:sz w:val="20"/>
                <w:szCs w:val="20"/>
              </w:rPr>
              <w:lastRenderedPageBreak/>
              <w:t>6.</w:t>
            </w:r>
          </w:p>
        </w:tc>
        <w:tc>
          <w:tcPr>
            <w:tcW w:w="2268" w:type="dxa"/>
          </w:tcPr>
          <w:p w:rsidR="00563192" w:rsidRPr="00563192" w:rsidRDefault="00563192" w:rsidP="00563192">
            <w:pPr>
              <w:ind w:left="0" w:right="0" w:firstLine="0"/>
              <w:rPr>
                <w:b/>
                <w:sz w:val="20"/>
                <w:szCs w:val="20"/>
                <w:lang w:eastAsia="en-US"/>
              </w:rPr>
            </w:pPr>
            <w:r w:rsidRPr="00563192">
              <w:rPr>
                <w:b/>
                <w:sz w:val="20"/>
                <w:szCs w:val="20"/>
                <w:lang w:eastAsia="en-US"/>
              </w:rPr>
              <w:t>Производительность труда и поддержка занятости</w:t>
            </w:r>
          </w:p>
        </w:tc>
        <w:tc>
          <w:tcPr>
            <w:tcW w:w="7796" w:type="dxa"/>
          </w:tcPr>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В рамках реализации </w:t>
            </w:r>
            <w:r w:rsidRPr="00563192">
              <w:rPr>
                <w:b/>
                <w:sz w:val="20"/>
                <w:szCs w:val="20"/>
                <w:lang w:eastAsia="en-US"/>
              </w:rPr>
              <w:t xml:space="preserve">национального проекта «Производительность труда и поддержка занятости» </w:t>
            </w:r>
            <w:r w:rsidRPr="00563192">
              <w:rPr>
                <w:sz w:val="20"/>
                <w:szCs w:val="20"/>
                <w:lang w:eastAsia="en-US"/>
              </w:rPr>
              <w:t>уровень исполнения бюджетных ассигнований составил 87,1 % показателя сводной росписи с изменениями.</w:t>
            </w:r>
            <w:r w:rsidRPr="00563192">
              <w:rPr>
                <w:bCs/>
                <w:sz w:val="20"/>
                <w:szCs w:val="20"/>
                <w:lang w:eastAsia="en-US"/>
              </w:rPr>
              <w:t xml:space="preserve"> По итогам 2019 года бюджетные ассигнования в рамках указанного национального проекта не исполнены в сумме 920,7 млн. рублей, или 12,9 %.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proofErr w:type="gramStart"/>
            <w:r w:rsidRPr="00563192">
              <w:rPr>
                <w:sz w:val="20"/>
                <w:szCs w:val="20"/>
                <w:lang w:eastAsia="en-US"/>
              </w:rPr>
              <w:t xml:space="preserve">В отчете о ходе реализации национального проекта </w:t>
            </w:r>
            <w:r w:rsidRPr="00BF01EE">
              <w:rPr>
                <w:b/>
                <w:sz w:val="20"/>
                <w:szCs w:val="20"/>
                <w:lang w:eastAsia="en-US"/>
              </w:rPr>
              <w:t>отсутствуют прогнозные значения</w:t>
            </w:r>
            <w:r w:rsidRPr="00563192">
              <w:rPr>
                <w:sz w:val="20"/>
                <w:szCs w:val="20"/>
                <w:lang w:eastAsia="en-US"/>
              </w:rPr>
              <w:t xml:space="preserve"> </w:t>
            </w:r>
            <w:r w:rsidRPr="0082200A">
              <w:rPr>
                <w:b/>
                <w:sz w:val="20"/>
                <w:szCs w:val="20"/>
                <w:lang w:eastAsia="en-US"/>
              </w:rPr>
              <w:t>о приросте</w:t>
            </w:r>
            <w:r w:rsidRPr="00563192">
              <w:rPr>
                <w:sz w:val="20"/>
                <w:szCs w:val="20"/>
                <w:lang w:eastAsia="en-US"/>
              </w:rPr>
              <w:t xml:space="preserve"> в 2019 году показателей производительности труда на средних и крупных предприятий базовых </w:t>
            </w:r>
            <w:proofErr w:type="spellStart"/>
            <w:r w:rsidRPr="00563192">
              <w:rPr>
                <w:sz w:val="20"/>
                <w:szCs w:val="20"/>
                <w:lang w:eastAsia="en-US"/>
              </w:rPr>
              <w:t>несырьевых</w:t>
            </w:r>
            <w:proofErr w:type="spellEnd"/>
            <w:r w:rsidRPr="00563192">
              <w:rPr>
                <w:sz w:val="20"/>
                <w:szCs w:val="20"/>
                <w:lang w:eastAsia="en-US"/>
              </w:rPr>
              <w:t xml:space="preserve"> отраслей экономики по отношению к производительности труда в Российской Федерации (плановое значение – 0,1 %) и о росте производительности труда на средних и крупных предприятиях базовых не сырьевых отраслей эк</w:t>
            </w:r>
            <w:r w:rsidR="001E1759">
              <w:rPr>
                <w:sz w:val="20"/>
                <w:szCs w:val="20"/>
                <w:lang w:eastAsia="en-US"/>
              </w:rPr>
              <w:t>ономики (плановое значение – 101,4</w:t>
            </w:r>
            <w:bookmarkStart w:id="0" w:name="_GoBack"/>
            <w:bookmarkEnd w:id="0"/>
            <w:r w:rsidRPr="00563192">
              <w:rPr>
                <w:sz w:val="20"/>
                <w:szCs w:val="20"/>
                <w:lang w:eastAsia="en-US"/>
              </w:rPr>
              <w:t xml:space="preserve"> %). </w:t>
            </w:r>
            <w:proofErr w:type="gramEnd"/>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Информация </w:t>
            </w:r>
            <w:r w:rsidRPr="00BF01EE">
              <w:rPr>
                <w:b/>
                <w:sz w:val="20"/>
                <w:szCs w:val="20"/>
                <w:lang w:eastAsia="en-US"/>
              </w:rPr>
              <w:t>о фактических значениях</w:t>
            </w:r>
            <w:r w:rsidRPr="00563192">
              <w:rPr>
                <w:sz w:val="20"/>
                <w:szCs w:val="20"/>
                <w:lang w:eastAsia="en-US"/>
              </w:rPr>
              <w:t xml:space="preserve"> за 2018 год </w:t>
            </w:r>
            <w:r w:rsidRPr="00BF01EE">
              <w:rPr>
                <w:b/>
                <w:sz w:val="20"/>
                <w:szCs w:val="20"/>
                <w:lang w:eastAsia="en-US"/>
              </w:rPr>
              <w:t>также отсутствует</w:t>
            </w:r>
            <w:r w:rsidRPr="00563192">
              <w:rPr>
                <w:sz w:val="20"/>
                <w:szCs w:val="20"/>
                <w:lang w:eastAsia="en-US"/>
              </w:rPr>
              <w:t xml:space="preserve">. При этом в соответствии с Федеральным планом статистических работ окончательный расчет указанных показателей Минэкономразвития России совместно с ФНС России должен быть произведен до 1 ноября 2019 года.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По прогнозным данным значения всех остальных показателей на 2019 год достигнуты. Вместе с тем </w:t>
            </w:r>
            <w:r w:rsidRPr="0082200A">
              <w:rPr>
                <w:sz w:val="20"/>
                <w:szCs w:val="20"/>
                <w:lang w:eastAsia="en-US"/>
              </w:rPr>
              <w:t>отмечается</w:t>
            </w:r>
            <w:r w:rsidRPr="00A22D20">
              <w:rPr>
                <w:b/>
                <w:sz w:val="20"/>
                <w:szCs w:val="20"/>
                <w:lang w:eastAsia="en-US"/>
              </w:rPr>
              <w:t xml:space="preserve"> неравномерное достижение отдельных показателей</w:t>
            </w:r>
            <w:r w:rsidRPr="00563192">
              <w:rPr>
                <w:sz w:val="20"/>
                <w:szCs w:val="20"/>
                <w:lang w:eastAsia="en-US"/>
              </w:rPr>
              <w:t xml:space="preserve">. </w:t>
            </w:r>
            <w:proofErr w:type="gramStart"/>
            <w:r w:rsidRPr="00563192">
              <w:rPr>
                <w:sz w:val="20"/>
                <w:szCs w:val="20"/>
                <w:lang w:eastAsia="en-US"/>
              </w:rPr>
              <w:t xml:space="preserve">Например, 41 % предприятий от запланированных воспользовались мерами поддержки в рамках национального проекта, 62 % предприятий от запланированных внедряли мероприятия национального проекта под региональным управлением только в </w:t>
            </w:r>
            <w:r w:rsidRPr="00563192">
              <w:rPr>
                <w:sz w:val="20"/>
                <w:szCs w:val="20"/>
                <w:lang w:val="en-US" w:eastAsia="en-US"/>
              </w:rPr>
              <w:t>IV</w:t>
            </w:r>
            <w:r w:rsidRPr="00563192">
              <w:rPr>
                <w:sz w:val="20"/>
                <w:szCs w:val="20"/>
                <w:lang w:eastAsia="en-US"/>
              </w:rPr>
              <w:t xml:space="preserve"> квартале 2019 года.</w:t>
            </w:r>
            <w:proofErr w:type="gramEnd"/>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Анализ достижения показателей </w:t>
            </w:r>
            <w:r w:rsidRPr="00A22D20">
              <w:rPr>
                <w:b/>
                <w:sz w:val="20"/>
                <w:szCs w:val="20"/>
                <w:lang w:eastAsia="en-US"/>
              </w:rPr>
              <w:t>в региональном разрезе</w:t>
            </w:r>
            <w:r w:rsidRPr="00563192">
              <w:rPr>
                <w:sz w:val="20"/>
                <w:szCs w:val="20"/>
                <w:lang w:eastAsia="en-US"/>
              </w:rPr>
              <w:t xml:space="preserve"> показал, что </w:t>
            </w:r>
            <w:r w:rsidRPr="00A22D20">
              <w:rPr>
                <w:b/>
                <w:sz w:val="20"/>
                <w:szCs w:val="20"/>
                <w:lang w:eastAsia="en-US"/>
              </w:rPr>
              <w:t>не достигнуты показатели</w:t>
            </w:r>
            <w:r w:rsidRPr="00563192">
              <w:rPr>
                <w:sz w:val="20"/>
                <w:szCs w:val="20"/>
                <w:lang w:eastAsia="en-US"/>
              </w:rPr>
              <w:t xml:space="preserve"> </w:t>
            </w:r>
            <w:proofErr w:type="gramStart"/>
            <w:r w:rsidRPr="00563192">
              <w:rPr>
                <w:sz w:val="20"/>
                <w:szCs w:val="20"/>
                <w:lang w:eastAsia="en-US"/>
              </w:rPr>
              <w:t>по</w:t>
            </w:r>
            <w:proofErr w:type="gramEnd"/>
            <w:r w:rsidRPr="00563192">
              <w:rPr>
                <w:sz w:val="20"/>
                <w:szCs w:val="20"/>
                <w:lang w:eastAsia="en-US"/>
              </w:rPr>
              <w:t>:</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доле предприятий от общего числе предприятий, вовлеченных в национальный проект, на которых прирост производительности труда соответствует целевым показателям двумя регионами,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количеству предприятий, внедряющих мероприятия национального проекта под региональным  управлением, – одним регионом,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количеству предприятий, внедряющих мероприятия национального проекта самостоятельно – двумя регионами.</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A22D20">
              <w:rPr>
                <w:b/>
                <w:sz w:val="20"/>
                <w:szCs w:val="20"/>
                <w:lang w:eastAsia="en-US"/>
              </w:rPr>
              <w:t xml:space="preserve">Отсутствует информация о достижении </w:t>
            </w:r>
            <w:r w:rsidRPr="0082200A">
              <w:rPr>
                <w:sz w:val="20"/>
                <w:szCs w:val="20"/>
                <w:lang w:eastAsia="en-US"/>
              </w:rPr>
              <w:t>в региональном разрезе показателя</w:t>
            </w:r>
            <w:r w:rsidRPr="00A22D20">
              <w:rPr>
                <w:b/>
                <w:sz w:val="20"/>
                <w:szCs w:val="20"/>
                <w:lang w:eastAsia="en-US"/>
              </w:rPr>
              <w:t xml:space="preserve"> </w:t>
            </w:r>
            <w:r w:rsidRPr="00563192">
              <w:rPr>
                <w:sz w:val="20"/>
                <w:szCs w:val="20"/>
                <w:lang w:eastAsia="en-US"/>
              </w:rPr>
              <w:t xml:space="preserve">по  численности работников предприятий, прошедших переобучение, повысивших квалификацию в целях повышения производительности труда.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A22D20">
              <w:rPr>
                <w:b/>
                <w:sz w:val="20"/>
                <w:szCs w:val="20"/>
                <w:lang w:eastAsia="en-US"/>
              </w:rPr>
              <w:t xml:space="preserve">Результаты поквартального мониторинга </w:t>
            </w:r>
            <w:r w:rsidRPr="0082200A">
              <w:rPr>
                <w:sz w:val="20"/>
                <w:szCs w:val="20"/>
                <w:lang w:eastAsia="en-US"/>
              </w:rPr>
              <w:t xml:space="preserve">о достижении практически всех показателей </w:t>
            </w:r>
            <w:r w:rsidRPr="00563192">
              <w:rPr>
                <w:sz w:val="20"/>
                <w:szCs w:val="20"/>
                <w:lang w:eastAsia="en-US"/>
              </w:rPr>
              <w:t xml:space="preserve">в отчетах о ходе реализации национального и федеральных проектов </w:t>
            </w:r>
            <w:r w:rsidRPr="00A22D20">
              <w:rPr>
                <w:b/>
                <w:sz w:val="20"/>
                <w:szCs w:val="20"/>
                <w:lang w:eastAsia="en-US"/>
              </w:rPr>
              <w:t>отсутствуют</w:t>
            </w:r>
            <w:r w:rsidRPr="00563192">
              <w:rPr>
                <w:sz w:val="20"/>
                <w:szCs w:val="20"/>
                <w:lang w:eastAsia="en-US"/>
              </w:rPr>
              <w:t xml:space="preserve">.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Из 38 результатов федеральных проектов к 1 января 2020 года необходимо достичь 29 результатов (с учетом 16 результатов, значения по которым установлены на каждый год). </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Анализ отчета о ходе реализации национального проекта показал, что по состоянию на 1 января 2020 года достигнуто 22 результата (из них 3 с нарушением установленных сроков), 6 результатов находятся в процессе выполнения.</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proofErr w:type="gramStart"/>
            <w:r w:rsidRPr="00563192">
              <w:rPr>
                <w:sz w:val="20"/>
                <w:szCs w:val="20"/>
                <w:lang w:eastAsia="en-US"/>
              </w:rPr>
              <w:t>Например, по сос</w:t>
            </w:r>
            <w:r w:rsidR="0082200A">
              <w:rPr>
                <w:sz w:val="20"/>
                <w:szCs w:val="20"/>
                <w:lang w:eastAsia="en-US"/>
              </w:rPr>
              <w:t xml:space="preserve">тоянию на 1 января 2020 года </w:t>
            </w:r>
            <w:r w:rsidRPr="0082200A">
              <w:rPr>
                <w:sz w:val="20"/>
                <w:szCs w:val="20"/>
                <w:lang w:eastAsia="en-US"/>
              </w:rPr>
              <w:t>не в полной мере развернута программа льготных займов, льготных кредитов и других мер финансового</w:t>
            </w:r>
            <w:r w:rsidR="0082200A">
              <w:rPr>
                <w:sz w:val="20"/>
                <w:szCs w:val="20"/>
                <w:lang w:eastAsia="en-US"/>
              </w:rPr>
              <w:t xml:space="preserve"> стимулирования для предприятий</w:t>
            </w:r>
            <w:r w:rsidR="0082200A" w:rsidRPr="0082200A">
              <w:rPr>
                <w:sz w:val="20"/>
                <w:szCs w:val="20"/>
                <w:lang w:eastAsia="en-US"/>
              </w:rPr>
              <w:t>;</w:t>
            </w:r>
            <w:r w:rsidR="0082200A">
              <w:rPr>
                <w:sz w:val="20"/>
                <w:szCs w:val="20"/>
                <w:lang w:eastAsia="en-US"/>
              </w:rPr>
              <w:t xml:space="preserve"> </w:t>
            </w:r>
            <w:r w:rsidRPr="0082200A">
              <w:rPr>
                <w:sz w:val="20"/>
                <w:szCs w:val="20"/>
                <w:lang w:eastAsia="en-US"/>
              </w:rPr>
              <w:t>не дополнены показателями по производительности труда условия предоставлени</w:t>
            </w:r>
            <w:r w:rsidR="0082200A">
              <w:rPr>
                <w:sz w:val="20"/>
                <w:szCs w:val="20"/>
                <w:lang w:eastAsia="en-US"/>
              </w:rPr>
              <w:t>е мер государственной поддержки</w:t>
            </w:r>
            <w:r w:rsidR="0082200A" w:rsidRPr="0082200A">
              <w:rPr>
                <w:sz w:val="20"/>
                <w:szCs w:val="20"/>
                <w:lang w:eastAsia="en-US"/>
              </w:rPr>
              <w:t>;</w:t>
            </w:r>
            <w:r w:rsidRPr="0082200A">
              <w:rPr>
                <w:sz w:val="20"/>
                <w:szCs w:val="20"/>
                <w:lang w:eastAsia="en-US"/>
              </w:rPr>
              <w:t xml:space="preserve"> не осуществлена профессиональная переподготовка 19,4 тыс. управленческих кадров, вовлеченных в р</w:t>
            </w:r>
            <w:r w:rsidR="0082200A">
              <w:rPr>
                <w:sz w:val="20"/>
                <w:szCs w:val="20"/>
                <w:lang w:eastAsia="en-US"/>
              </w:rPr>
              <w:t>еализацию национального проекта</w:t>
            </w:r>
            <w:r w:rsidR="0082200A" w:rsidRPr="0082200A">
              <w:rPr>
                <w:sz w:val="20"/>
                <w:szCs w:val="20"/>
                <w:lang w:eastAsia="en-US"/>
              </w:rPr>
              <w:t>;</w:t>
            </w:r>
            <w:r w:rsidRPr="0082200A">
              <w:rPr>
                <w:sz w:val="20"/>
                <w:szCs w:val="20"/>
                <w:lang w:eastAsia="en-US"/>
              </w:rPr>
              <w:t xml:space="preserve"> не завершены международные стажировки для сотрудников предприятий-у</w:t>
            </w:r>
            <w:r w:rsidR="0082200A">
              <w:rPr>
                <w:sz w:val="20"/>
                <w:szCs w:val="20"/>
                <w:lang w:eastAsia="en-US"/>
              </w:rPr>
              <w:t>частников национального проекта</w:t>
            </w:r>
            <w:r w:rsidR="0082200A" w:rsidRPr="0082200A">
              <w:rPr>
                <w:sz w:val="20"/>
                <w:szCs w:val="20"/>
                <w:lang w:eastAsia="en-US"/>
              </w:rPr>
              <w:t>;</w:t>
            </w:r>
            <w:proofErr w:type="gramEnd"/>
            <w:r w:rsidRPr="0082200A">
              <w:rPr>
                <w:sz w:val="20"/>
                <w:szCs w:val="20"/>
                <w:lang w:eastAsia="en-US"/>
              </w:rPr>
              <w:t xml:space="preserve"> не проведены программы экспертной поддержки предприятий – участников с привлечением международ</w:t>
            </w:r>
            <w:r w:rsidR="00A22D20" w:rsidRPr="0082200A">
              <w:rPr>
                <w:sz w:val="20"/>
                <w:szCs w:val="20"/>
                <w:lang w:eastAsia="en-US"/>
              </w:rPr>
              <w:t xml:space="preserve">ных партнеров (плановый срок - </w:t>
            </w:r>
            <w:r w:rsidR="0082200A">
              <w:rPr>
                <w:sz w:val="20"/>
                <w:szCs w:val="20"/>
                <w:lang w:eastAsia="en-US"/>
              </w:rPr>
              <w:t>31 декабря 2019 года)</w:t>
            </w:r>
            <w:r w:rsidR="0082200A" w:rsidRPr="0082200A">
              <w:rPr>
                <w:sz w:val="20"/>
                <w:szCs w:val="20"/>
                <w:lang w:eastAsia="en-US"/>
              </w:rPr>
              <w:t>;</w:t>
            </w:r>
            <w:r w:rsidRPr="0082200A">
              <w:rPr>
                <w:sz w:val="20"/>
                <w:szCs w:val="20"/>
                <w:lang w:eastAsia="en-US"/>
              </w:rPr>
              <w:t xml:space="preserve"> мероприятия по повышению производительности труда не включены в долгосрочные</w:t>
            </w:r>
            <w:r w:rsidRPr="00563192">
              <w:rPr>
                <w:sz w:val="20"/>
                <w:szCs w:val="20"/>
                <w:lang w:eastAsia="en-US"/>
              </w:rPr>
              <w:t xml:space="preserve"> программы развития крупных государственных компаний, компаний с государственным участием, в программах не определены инструменты и ресурсы для повышения производительности труда, не внедрены рекомендации по установлению целевых показателей роста не ниже </w:t>
            </w:r>
            <w:r w:rsidR="0082200A">
              <w:rPr>
                <w:sz w:val="20"/>
                <w:szCs w:val="20"/>
                <w:lang w:eastAsia="en-US"/>
              </w:rPr>
              <w:t xml:space="preserve">5 % ежегодно, (плановый срок - </w:t>
            </w:r>
            <w:r w:rsidRPr="00563192">
              <w:rPr>
                <w:sz w:val="20"/>
                <w:szCs w:val="20"/>
                <w:lang w:eastAsia="en-US"/>
              </w:rPr>
              <w:t>1 марта 2019 года).</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Выполнение указанных мероприятий отложено на первое полугодие 2020 года.</w:t>
            </w:r>
          </w:p>
          <w:p w:rsidR="00563192" w:rsidRPr="00563192" w:rsidRDefault="00563192" w:rsidP="000C15B1">
            <w:pPr>
              <w:widowControl w:val="0"/>
              <w:overflowPunct/>
              <w:autoSpaceDE/>
              <w:autoSpaceDN/>
              <w:adjustRightInd/>
              <w:ind w:left="0" w:right="0" w:firstLine="284"/>
              <w:textAlignment w:val="auto"/>
              <w:rPr>
                <w:sz w:val="20"/>
                <w:szCs w:val="20"/>
                <w:lang w:eastAsia="en-US"/>
              </w:rPr>
            </w:pPr>
            <w:r w:rsidRPr="00563192">
              <w:rPr>
                <w:sz w:val="20"/>
                <w:szCs w:val="20"/>
                <w:lang w:eastAsia="en-US"/>
              </w:rPr>
              <w:t xml:space="preserve">Следовательно, </w:t>
            </w:r>
            <w:r w:rsidRPr="0082200A">
              <w:rPr>
                <w:sz w:val="20"/>
                <w:szCs w:val="20"/>
                <w:lang w:eastAsia="en-US"/>
              </w:rPr>
              <w:t xml:space="preserve">требуется </w:t>
            </w:r>
            <w:r w:rsidR="00A22D20" w:rsidRPr="0082200A">
              <w:rPr>
                <w:sz w:val="20"/>
                <w:szCs w:val="20"/>
                <w:lang w:eastAsia="en-US"/>
              </w:rPr>
              <w:t>принятие дополнительных мер</w:t>
            </w:r>
            <w:r w:rsidR="00A22D20">
              <w:rPr>
                <w:sz w:val="20"/>
                <w:szCs w:val="20"/>
                <w:lang w:eastAsia="en-US"/>
              </w:rPr>
              <w:t xml:space="preserve"> по </w:t>
            </w:r>
            <w:r w:rsidRPr="00563192">
              <w:rPr>
                <w:sz w:val="20"/>
                <w:szCs w:val="20"/>
                <w:lang w:eastAsia="en-US"/>
              </w:rPr>
              <w:t xml:space="preserve">стимулированию </w:t>
            </w:r>
            <w:r w:rsidRPr="00563192">
              <w:rPr>
                <w:sz w:val="20"/>
                <w:szCs w:val="20"/>
                <w:lang w:eastAsia="en-US"/>
              </w:rPr>
              <w:lastRenderedPageBreak/>
              <w:t>предприятий к повышению производительности труда, формированию системы подготовки кадров, направленной на обучение управленческого звена предприятий и служб занятости населения, международному взаимодействию, работе в крупных государственных компаниях, компаниях с государственным участием</w:t>
            </w:r>
          </w:p>
        </w:tc>
      </w:tr>
      <w:tr w:rsidR="003F6D7A" w:rsidTr="00D46E03">
        <w:tc>
          <w:tcPr>
            <w:tcW w:w="568" w:type="dxa"/>
          </w:tcPr>
          <w:p w:rsidR="003F6D7A" w:rsidRPr="003F6D7A" w:rsidRDefault="003F6D7A" w:rsidP="000C15B1">
            <w:pPr>
              <w:ind w:left="0" w:right="0" w:firstLine="0"/>
              <w:rPr>
                <w:b/>
                <w:sz w:val="20"/>
                <w:szCs w:val="20"/>
              </w:rPr>
            </w:pPr>
            <w:r>
              <w:rPr>
                <w:b/>
                <w:sz w:val="20"/>
                <w:szCs w:val="20"/>
              </w:rPr>
              <w:lastRenderedPageBreak/>
              <w:t>7</w:t>
            </w:r>
            <w:r w:rsidRPr="003F6D7A">
              <w:rPr>
                <w:b/>
                <w:sz w:val="20"/>
                <w:szCs w:val="20"/>
              </w:rPr>
              <w:t>.</w:t>
            </w:r>
          </w:p>
        </w:tc>
        <w:tc>
          <w:tcPr>
            <w:tcW w:w="2268" w:type="dxa"/>
          </w:tcPr>
          <w:p w:rsidR="003F6D7A" w:rsidRPr="003F6D7A" w:rsidRDefault="003F6D7A" w:rsidP="000C15B1">
            <w:pPr>
              <w:ind w:left="0" w:right="0" w:firstLine="0"/>
              <w:rPr>
                <w:b/>
                <w:sz w:val="20"/>
                <w:szCs w:val="20"/>
              </w:rPr>
            </w:pPr>
            <w:r w:rsidRPr="003F6D7A">
              <w:rPr>
                <w:b/>
                <w:sz w:val="20"/>
                <w:szCs w:val="20"/>
              </w:rPr>
              <w:t>Наука</w:t>
            </w:r>
          </w:p>
        </w:tc>
        <w:tc>
          <w:tcPr>
            <w:tcW w:w="7796" w:type="dxa"/>
          </w:tcPr>
          <w:p w:rsidR="003F6D7A" w:rsidRPr="003F6D7A" w:rsidRDefault="003F6D7A" w:rsidP="000C15B1">
            <w:pPr>
              <w:ind w:left="0" w:right="0" w:firstLine="284"/>
              <w:rPr>
                <w:sz w:val="20"/>
                <w:szCs w:val="20"/>
              </w:rPr>
            </w:pPr>
            <w:r w:rsidRPr="003F6D7A">
              <w:rPr>
                <w:sz w:val="20"/>
                <w:szCs w:val="20"/>
              </w:rPr>
              <w:t xml:space="preserve">В рамках реализации </w:t>
            </w:r>
            <w:r w:rsidRPr="003F6D7A">
              <w:rPr>
                <w:b/>
                <w:sz w:val="20"/>
                <w:szCs w:val="20"/>
              </w:rPr>
              <w:t xml:space="preserve">национального проекта «Наука» </w:t>
            </w:r>
            <w:r w:rsidRPr="003F6D7A">
              <w:rPr>
                <w:sz w:val="20"/>
                <w:szCs w:val="20"/>
              </w:rPr>
              <w:t>уровень исполнения бюджетных ассигнований составил 99,1 % показателя сводной росписи с изменениями.</w:t>
            </w:r>
            <w:r w:rsidRPr="003F6D7A">
              <w:rPr>
                <w:bCs/>
                <w:sz w:val="20"/>
                <w:szCs w:val="20"/>
              </w:rPr>
              <w:t xml:space="preserve"> По итогам 2019 года бюджетные ассигнования в рамках указанного национального проекта не исполнены в сумме 325,1 млн. рублей, или 0,9 %.</w:t>
            </w:r>
          </w:p>
          <w:p w:rsidR="003F6D7A" w:rsidRPr="003F6D7A" w:rsidRDefault="003F6D7A" w:rsidP="000C15B1">
            <w:pPr>
              <w:ind w:left="0" w:right="0" w:firstLine="284"/>
              <w:rPr>
                <w:sz w:val="20"/>
                <w:szCs w:val="20"/>
              </w:rPr>
            </w:pPr>
            <w:r w:rsidRPr="003F6D7A">
              <w:rPr>
                <w:sz w:val="20"/>
                <w:szCs w:val="20"/>
              </w:rPr>
              <w:t>Исполнение расходов по федеральному проекту «Развитие научной и научно-производственной кооперации» составило 99,5 % показателя сводной росписи с изменениями, по федеральному проекту «Развитие передовой инфраструктуры для проведения исследований и разработок в Российской Федерации» - 98,</w:t>
            </w:r>
            <w:r w:rsidR="0053077A">
              <w:rPr>
                <w:sz w:val="20"/>
                <w:szCs w:val="20"/>
              </w:rPr>
              <w:t>6</w:t>
            </w:r>
            <w:r w:rsidRPr="003F6D7A">
              <w:rPr>
                <w:sz w:val="20"/>
                <w:szCs w:val="20"/>
              </w:rPr>
              <w:t> %, по федеральному проекту «Развитие кадрового потенциала в сфере исследований и разработок» - 100 %.</w:t>
            </w:r>
          </w:p>
          <w:p w:rsidR="003F6D7A" w:rsidRPr="003F6D7A" w:rsidRDefault="003F6D7A" w:rsidP="000C15B1">
            <w:pPr>
              <w:ind w:left="0" w:right="0" w:firstLine="284"/>
              <w:rPr>
                <w:sz w:val="20"/>
                <w:szCs w:val="20"/>
              </w:rPr>
            </w:pPr>
            <w:r w:rsidRPr="00305E22">
              <w:rPr>
                <w:sz w:val="20"/>
                <w:szCs w:val="20"/>
              </w:rPr>
              <w:t>Низкий уровень исполнения бюджетных</w:t>
            </w:r>
            <w:r w:rsidRPr="003F6D7A">
              <w:rPr>
                <w:sz w:val="20"/>
                <w:szCs w:val="20"/>
              </w:rPr>
              <w:t xml:space="preserve"> ассигнований, направленных на реализацию </w:t>
            </w:r>
            <w:r w:rsidRPr="003F6D7A">
              <w:rPr>
                <w:sz w:val="20"/>
                <w:szCs w:val="20"/>
                <w:lang w:eastAsia="en-US"/>
              </w:rPr>
              <w:t>национального проекта</w:t>
            </w:r>
            <w:r w:rsidRPr="003F6D7A">
              <w:rPr>
                <w:sz w:val="20"/>
                <w:szCs w:val="20"/>
              </w:rPr>
              <w:t xml:space="preserve"> «Наука» отмечался по следующим мероприятиям.</w:t>
            </w:r>
          </w:p>
          <w:p w:rsidR="003F6D7A" w:rsidRPr="003F6D7A" w:rsidRDefault="003F6D7A" w:rsidP="000C15B1">
            <w:pPr>
              <w:ind w:left="0" w:right="0" w:firstLine="284"/>
              <w:rPr>
                <w:sz w:val="20"/>
                <w:szCs w:val="20"/>
              </w:rPr>
            </w:pPr>
            <w:r w:rsidRPr="003F6D7A">
              <w:rPr>
                <w:sz w:val="20"/>
                <w:szCs w:val="20"/>
              </w:rPr>
              <w:t xml:space="preserve">В рамках </w:t>
            </w:r>
            <w:r w:rsidRPr="003F6D7A">
              <w:rPr>
                <w:sz w:val="20"/>
                <w:szCs w:val="20"/>
                <w:lang w:eastAsia="en-US"/>
              </w:rPr>
              <w:t>федерального проекта</w:t>
            </w:r>
            <w:r w:rsidRPr="003F6D7A">
              <w:rPr>
                <w:sz w:val="20"/>
                <w:szCs w:val="20"/>
              </w:rPr>
              <w:t xml:space="preserve"> «Развитие научной и научно-производственной кооперации» по мероприятию «Создание лабораторий мирового уровня под руководством ведущих ученых с мировым именем» уровень исполнения составил лишь 11,1 % показателя сводной росписи с изменениями. По информации </w:t>
            </w:r>
            <w:proofErr w:type="spellStart"/>
            <w:r w:rsidRPr="003F6D7A">
              <w:rPr>
                <w:sz w:val="20"/>
                <w:szCs w:val="20"/>
              </w:rPr>
              <w:t>Минобрнауки</w:t>
            </w:r>
            <w:proofErr w:type="spellEnd"/>
            <w:r w:rsidRPr="003F6D7A">
              <w:rPr>
                <w:sz w:val="20"/>
                <w:szCs w:val="20"/>
              </w:rPr>
              <w:t xml:space="preserve"> России причина низкого уровня исполнения связана с поздним проведением конкурса (8 ноября 2019 года) и заключения контрактов. Образовавшиеся остатки средств субсидии в 2020 году будут направлены </w:t>
            </w:r>
            <w:proofErr w:type="gramStart"/>
            <w:r w:rsidRPr="003F6D7A">
              <w:rPr>
                <w:sz w:val="20"/>
                <w:szCs w:val="20"/>
              </w:rPr>
              <w:t>на те</w:t>
            </w:r>
            <w:proofErr w:type="gramEnd"/>
            <w:r w:rsidRPr="003F6D7A">
              <w:rPr>
                <w:sz w:val="20"/>
                <w:szCs w:val="20"/>
              </w:rPr>
              <w:t xml:space="preserve"> же цели.</w:t>
            </w:r>
          </w:p>
          <w:p w:rsidR="003F6D7A" w:rsidRPr="003F6D7A" w:rsidRDefault="003F6D7A" w:rsidP="000C15B1">
            <w:pPr>
              <w:ind w:left="0" w:right="0" w:firstLine="284"/>
              <w:rPr>
                <w:sz w:val="20"/>
                <w:szCs w:val="20"/>
              </w:rPr>
            </w:pPr>
            <w:r w:rsidRPr="003F6D7A">
              <w:rPr>
                <w:sz w:val="20"/>
                <w:szCs w:val="20"/>
              </w:rPr>
              <w:t xml:space="preserve">В рамках </w:t>
            </w:r>
            <w:r w:rsidRPr="003F6D7A">
              <w:rPr>
                <w:sz w:val="20"/>
                <w:szCs w:val="20"/>
                <w:lang w:eastAsia="en-US"/>
              </w:rPr>
              <w:t>федерального проекта</w:t>
            </w:r>
            <w:r w:rsidRPr="003F6D7A">
              <w:rPr>
                <w:sz w:val="20"/>
                <w:szCs w:val="20"/>
              </w:rPr>
              <w:t xml:space="preserve"> «Развитие передовой инфраструктуры для проведения исследований и разработок в Российской Федерации» по мероприятию «Проектирование современных научно-исследовательских судов неограниченного района плавания» уровень исполнения составил 75,2 % показателя сводной росписи с изменениями. По информации </w:t>
            </w:r>
            <w:proofErr w:type="spellStart"/>
            <w:r w:rsidRPr="003F6D7A">
              <w:rPr>
                <w:sz w:val="20"/>
                <w:szCs w:val="20"/>
              </w:rPr>
              <w:t>Минобрнауки</w:t>
            </w:r>
            <w:proofErr w:type="spellEnd"/>
            <w:r w:rsidRPr="003F6D7A">
              <w:rPr>
                <w:sz w:val="20"/>
                <w:szCs w:val="20"/>
              </w:rPr>
              <w:t xml:space="preserve"> России по указанному мероприятию сложилась экономия по результатам конкурсных процедур. Уровень исполнения по мероприятию «Создание цифровой системы управления сервисами научной инфраструктуры коллективного пользования» (77,6 %) связан с решениями, принятыми на бюджетных комиссиях </w:t>
            </w:r>
            <w:proofErr w:type="spellStart"/>
            <w:r w:rsidRPr="003F6D7A">
              <w:rPr>
                <w:sz w:val="20"/>
                <w:szCs w:val="20"/>
              </w:rPr>
              <w:t>Минобрнауки</w:t>
            </w:r>
            <w:proofErr w:type="spellEnd"/>
            <w:r w:rsidRPr="003F6D7A">
              <w:rPr>
                <w:sz w:val="20"/>
                <w:szCs w:val="20"/>
              </w:rPr>
              <w:t xml:space="preserve"> России. Уровень исполнения по мероприятию «Субсидии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(91,6 %) связан с поздним проведением конкурса (в сентябре 2019 года).</w:t>
            </w:r>
          </w:p>
          <w:p w:rsidR="003F6D7A" w:rsidRPr="003F6D7A" w:rsidRDefault="003F6D7A" w:rsidP="000C15B1">
            <w:pPr>
              <w:ind w:left="0" w:right="0" w:firstLine="284"/>
              <w:rPr>
                <w:sz w:val="20"/>
                <w:szCs w:val="20"/>
              </w:rPr>
            </w:pPr>
            <w:r w:rsidRPr="003F6D7A">
              <w:rPr>
                <w:sz w:val="20"/>
                <w:szCs w:val="20"/>
              </w:rPr>
              <w:t xml:space="preserve">По данным ФСО России (декабрь 2019 года) </w:t>
            </w:r>
            <w:r w:rsidRPr="00663FAC">
              <w:rPr>
                <w:sz w:val="20"/>
                <w:szCs w:val="20"/>
              </w:rPr>
              <w:t xml:space="preserve">недостатками реализации </w:t>
            </w:r>
            <w:r w:rsidRPr="00663FAC">
              <w:rPr>
                <w:sz w:val="20"/>
                <w:szCs w:val="20"/>
                <w:lang w:eastAsia="en-US"/>
              </w:rPr>
              <w:t>национального проекта</w:t>
            </w:r>
            <w:r w:rsidRPr="003F6D7A">
              <w:rPr>
                <w:sz w:val="20"/>
                <w:szCs w:val="20"/>
              </w:rPr>
              <w:t xml:space="preserve"> «Наука» являются: низкое качество публикаций в российских научных журналах; необходимость создания цифровых систем для обработки геномных данных; низкая привлекательность научно-технической сферы для инвесторов; </w:t>
            </w:r>
            <w:proofErr w:type="gramStart"/>
            <w:r w:rsidRPr="003F6D7A">
              <w:rPr>
                <w:sz w:val="20"/>
                <w:szCs w:val="20"/>
              </w:rPr>
              <w:t xml:space="preserve">низкая эффективность государственного финансирования научных разработок из-за длительности административных процедур, приобретается уже устаревшее оборудование, при этом технологии быстро уходят вперед, в результате чего за счет бюджета оплачиваются устаревшие уже невостребованные технологии; отсутствие возможности на региональном уровне определять преимущественные направления научных исследований; </w:t>
            </w:r>
            <w:proofErr w:type="spellStart"/>
            <w:r w:rsidRPr="003F6D7A">
              <w:rPr>
                <w:sz w:val="20"/>
                <w:szCs w:val="20"/>
              </w:rPr>
              <w:t>забюрократизированность</w:t>
            </w:r>
            <w:proofErr w:type="spellEnd"/>
            <w:r w:rsidRPr="003F6D7A">
              <w:rPr>
                <w:sz w:val="20"/>
                <w:szCs w:val="20"/>
              </w:rPr>
              <w:t xml:space="preserve"> деятельности </w:t>
            </w:r>
            <w:proofErr w:type="spellStart"/>
            <w:r w:rsidRPr="003F6D7A">
              <w:rPr>
                <w:sz w:val="20"/>
                <w:szCs w:val="20"/>
              </w:rPr>
              <w:t>Минобрнауки</w:t>
            </w:r>
            <w:proofErr w:type="spellEnd"/>
            <w:r w:rsidRPr="003F6D7A">
              <w:rPr>
                <w:sz w:val="20"/>
                <w:szCs w:val="20"/>
              </w:rPr>
              <w:t xml:space="preserve"> России в части получения данных о рецензентах научных публикаций, работающих на общественных началах;</w:t>
            </w:r>
            <w:proofErr w:type="gramEnd"/>
            <w:r w:rsidRPr="003F6D7A">
              <w:rPr>
                <w:sz w:val="20"/>
                <w:szCs w:val="20"/>
              </w:rPr>
              <w:t xml:space="preserve"> дефицит специалистов в области «ученых по данным», то есть специалистов по искусственному интеллекту и работе с большими массивами данных; длительность вывода продуктов на рынок; ограничение на общение с зарубежными учеными.</w:t>
            </w:r>
          </w:p>
          <w:p w:rsidR="003F6D7A" w:rsidRPr="003F6D7A" w:rsidRDefault="003F6D7A" w:rsidP="000C15B1">
            <w:pPr>
              <w:ind w:left="0" w:right="0" w:firstLine="284"/>
              <w:rPr>
                <w:sz w:val="20"/>
                <w:szCs w:val="20"/>
              </w:rPr>
            </w:pPr>
            <w:r w:rsidRPr="003F6D7A">
              <w:rPr>
                <w:sz w:val="20"/>
                <w:szCs w:val="20"/>
              </w:rPr>
              <w:t xml:space="preserve">По </w:t>
            </w:r>
            <w:r w:rsidRPr="003F6D7A">
              <w:rPr>
                <w:sz w:val="20"/>
                <w:szCs w:val="20"/>
                <w:lang w:eastAsia="en-US"/>
              </w:rPr>
              <w:t>национальному проекту</w:t>
            </w:r>
            <w:r w:rsidRPr="003F6D7A">
              <w:rPr>
                <w:sz w:val="20"/>
                <w:szCs w:val="20"/>
              </w:rPr>
              <w:t xml:space="preserve"> «Наука» статус выполнения 5 задач, предусмотренных для исполнения в 2019 году, по 3 задачам - отсутствие отклонений, </w:t>
            </w:r>
            <w:r w:rsidRPr="00352079">
              <w:rPr>
                <w:b/>
                <w:sz w:val="20"/>
                <w:szCs w:val="20"/>
              </w:rPr>
              <w:t>по 2 задачам – наличие отклонений по</w:t>
            </w:r>
            <w:r w:rsidRPr="003F6D7A">
              <w:rPr>
                <w:sz w:val="20"/>
                <w:szCs w:val="20"/>
              </w:rPr>
              <w:t xml:space="preserve"> прогнозным сведениям. По достижению результатов </w:t>
            </w:r>
            <w:r w:rsidRPr="003F6D7A">
              <w:rPr>
                <w:sz w:val="20"/>
                <w:szCs w:val="20"/>
                <w:lang w:eastAsia="en-US"/>
              </w:rPr>
              <w:t>национального проекта</w:t>
            </w:r>
            <w:r w:rsidRPr="003F6D7A">
              <w:rPr>
                <w:sz w:val="20"/>
                <w:szCs w:val="20"/>
              </w:rPr>
              <w:t xml:space="preserve"> «Наука» установлено следующее.</w:t>
            </w:r>
          </w:p>
          <w:p w:rsidR="003F6D7A" w:rsidRPr="003F6D7A" w:rsidRDefault="003F6D7A" w:rsidP="000C15B1">
            <w:pPr>
              <w:ind w:left="0" w:right="0" w:firstLine="284"/>
              <w:rPr>
                <w:sz w:val="20"/>
                <w:szCs w:val="20"/>
              </w:rPr>
            </w:pPr>
            <w:r w:rsidRPr="003F6D7A">
              <w:rPr>
                <w:sz w:val="20"/>
                <w:szCs w:val="20"/>
              </w:rPr>
              <w:t xml:space="preserve">Результаты в рамках федерального проекта «Развитие передовой инфраструктуры для проведения исследований и разработок в Российской Федерации» по задаче «Обновление не менее 50 процентов приборной базы ведущих организаций, </w:t>
            </w:r>
            <w:r w:rsidRPr="003F6D7A">
              <w:rPr>
                <w:sz w:val="20"/>
                <w:szCs w:val="20"/>
              </w:rPr>
              <w:lastRenderedPageBreak/>
              <w:t xml:space="preserve">выполняющих научные исследования и разработки» из 7 результатов, </w:t>
            </w:r>
            <w:r w:rsidRPr="00352079">
              <w:rPr>
                <w:b/>
                <w:sz w:val="20"/>
                <w:szCs w:val="20"/>
              </w:rPr>
              <w:t>наличие отклонений по 3</w:t>
            </w:r>
            <w:r w:rsidRPr="003F6D7A">
              <w:rPr>
                <w:sz w:val="20"/>
                <w:szCs w:val="20"/>
              </w:rPr>
              <w:t xml:space="preserve"> следующим результатам:</w:t>
            </w:r>
          </w:p>
          <w:p w:rsidR="003F6D7A" w:rsidRPr="003F6D7A" w:rsidRDefault="003F6D7A" w:rsidP="000C15B1">
            <w:pPr>
              <w:ind w:left="0" w:right="0" w:firstLine="284"/>
              <w:rPr>
                <w:sz w:val="20"/>
                <w:szCs w:val="20"/>
              </w:rPr>
            </w:pPr>
            <w:r w:rsidRPr="003F6D7A">
              <w:rPr>
                <w:sz w:val="20"/>
                <w:szCs w:val="20"/>
              </w:rPr>
              <w:t xml:space="preserve">1. «В ведущих организациях, выполняющих научные исследования и разработки, отобранных с учетом следующих показателей: </w:t>
            </w:r>
          </w:p>
          <w:p w:rsidR="003F6D7A" w:rsidRPr="003F6D7A" w:rsidRDefault="003F6D7A" w:rsidP="000C15B1">
            <w:pPr>
              <w:ind w:left="0" w:right="0" w:firstLine="284"/>
              <w:rPr>
                <w:sz w:val="20"/>
                <w:szCs w:val="20"/>
              </w:rPr>
            </w:pPr>
            <w:r w:rsidRPr="003F6D7A">
              <w:rPr>
                <w:sz w:val="20"/>
                <w:szCs w:val="20"/>
              </w:rPr>
              <w:t xml:space="preserve">уровень загрузки оборудования; </w:t>
            </w:r>
          </w:p>
          <w:p w:rsidR="003F6D7A" w:rsidRPr="003F6D7A" w:rsidRDefault="003F6D7A" w:rsidP="000C15B1">
            <w:pPr>
              <w:ind w:left="0" w:right="0" w:firstLine="284"/>
              <w:rPr>
                <w:sz w:val="20"/>
                <w:szCs w:val="20"/>
              </w:rPr>
            </w:pPr>
            <w:r w:rsidRPr="003F6D7A">
              <w:rPr>
                <w:sz w:val="20"/>
                <w:szCs w:val="20"/>
              </w:rPr>
              <w:t xml:space="preserve">доля исследований, проводимых под руководством молодых ученых в возрасте до 39 лет; </w:t>
            </w:r>
          </w:p>
          <w:p w:rsidR="003F6D7A" w:rsidRPr="003F6D7A" w:rsidRDefault="003F6D7A" w:rsidP="000C15B1">
            <w:pPr>
              <w:ind w:left="0" w:right="0" w:firstLine="284"/>
              <w:rPr>
                <w:sz w:val="20"/>
                <w:szCs w:val="20"/>
              </w:rPr>
            </w:pPr>
            <w:r w:rsidRPr="003F6D7A">
              <w:rPr>
                <w:sz w:val="20"/>
                <w:szCs w:val="20"/>
              </w:rPr>
              <w:t xml:space="preserve">доля внешних пользователей научного оборудования (в первую очередь - ведущих научных и образовательных организаций, вовлеченных в деятельность НОЦ, центров компетенции НТИ, научных центров мирового уровня) обновлено в отчетном году: на 31.12.2019 - 2 </w:t>
            </w:r>
            <w:proofErr w:type="gramStart"/>
            <w:r w:rsidRPr="003F6D7A">
              <w:rPr>
                <w:sz w:val="20"/>
                <w:szCs w:val="20"/>
              </w:rPr>
              <w:t>ПРОЦ</w:t>
            </w:r>
            <w:proofErr w:type="gramEnd"/>
            <w:r w:rsidRPr="003F6D7A">
              <w:rPr>
                <w:sz w:val="20"/>
                <w:szCs w:val="20"/>
              </w:rPr>
              <w:t xml:space="preserve">» </w:t>
            </w:r>
            <w:r w:rsidR="00352079">
              <w:rPr>
                <w:sz w:val="20"/>
                <w:szCs w:val="20"/>
              </w:rPr>
              <w:t>в связи с</w:t>
            </w:r>
            <w:r w:rsidRPr="003F6D7A">
              <w:rPr>
                <w:sz w:val="20"/>
                <w:szCs w:val="20"/>
              </w:rPr>
              <w:t xml:space="preserve"> предоставлени</w:t>
            </w:r>
            <w:r w:rsidR="00352079">
              <w:rPr>
                <w:sz w:val="20"/>
                <w:szCs w:val="20"/>
              </w:rPr>
              <w:t>ем</w:t>
            </w:r>
            <w:r w:rsidRPr="003F6D7A">
              <w:rPr>
                <w:sz w:val="20"/>
                <w:szCs w:val="20"/>
              </w:rPr>
              <w:t xml:space="preserve"> отчетной информации не позднее 20 ноября 2020 года. При этом </w:t>
            </w:r>
            <w:proofErr w:type="gramStart"/>
            <w:r w:rsidRPr="003F6D7A">
              <w:rPr>
                <w:sz w:val="20"/>
                <w:szCs w:val="20"/>
              </w:rPr>
              <w:t>результат</w:t>
            </w:r>
            <w:proofErr w:type="gramEnd"/>
            <w:r w:rsidRPr="003F6D7A">
              <w:rPr>
                <w:sz w:val="20"/>
                <w:szCs w:val="20"/>
              </w:rPr>
              <w:t xml:space="preserve"> достигнут в 2019 году 3 %, при планируемых 2 %;</w:t>
            </w:r>
          </w:p>
          <w:p w:rsidR="003F6D7A" w:rsidRPr="003F6D7A" w:rsidRDefault="003F6D7A" w:rsidP="000C15B1">
            <w:pPr>
              <w:ind w:left="0" w:right="0" w:firstLine="284"/>
              <w:rPr>
                <w:sz w:val="20"/>
                <w:szCs w:val="20"/>
              </w:rPr>
            </w:pPr>
            <w:r w:rsidRPr="003F6D7A">
              <w:rPr>
                <w:sz w:val="20"/>
                <w:szCs w:val="20"/>
              </w:rPr>
              <w:t xml:space="preserve">2. «Проведена оценка состояния приборной базы организаций, выполняющих научные исследования и разработки, и определены критерии обновления приборной базы на 31.12.2019 - 1 </w:t>
            </w:r>
            <w:proofErr w:type="gramStart"/>
            <w:r w:rsidRPr="003F6D7A">
              <w:rPr>
                <w:sz w:val="20"/>
                <w:szCs w:val="20"/>
              </w:rPr>
              <w:t>ЕД</w:t>
            </w:r>
            <w:proofErr w:type="gramEnd"/>
            <w:r w:rsidRPr="003F6D7A">
              <w:rPr>
                <w:sz w:val="20"/>
                <w:szCs w:val="20"/>
              </w:rPr>
              <w:t xml:space="preserve">» </w:t>
            </w:r>
            <w:r w:rsidR="00352079">
              <w:rPr>
                <w:sz w:val="20"/>
                <w:szCs w:val="20"/>
              </w:rPr>
              <w:t>в связи с</w:t>
            </w:r>
            <w:r w:rsidRPr="003F6D7A">
              <w:rPr>
                <w:sz w:val="20"/>
                <w:szCs w:val="20"/>
              </w:rPr>
              <w:t xml:space="preserve"> предоставлени</w:t>
            </w:r>
            <w:r w:rsidR="00352079">
              <w:rPr>
                <w:sz w:val="20"/>
                <w:szCs w:val="20"/>
              </w:rPr>
              <w:t>ем</w:t>
            </w:r>
            <w:r w:rsidRPr="003F6D7A">
              <w:rPr>
                <w:sz w:val="20"/>
                <w:szCs w:val="20"/>
              </w:rPr>
              <w:t xml:space="preserve"> отчетов организациями не позднее 1 марта 2020 г</w:t>
            </w:r>
            <w:r w:rsidR="00352079">
              <w:rPr>
                <w:sz w:val="20"/>
                <w:szCs w:val="20"/>
              </w:rPr>
              <w:t>ода</w:t>
            </w:r>
            <w:r w:rsidRPr="003F6D7A">
              <w:rPr>
                <w:sz w:val="20"/>
                <w:szCs w:val="20"/>
              </w:rPr>
              <w:t>;</w:t>
            </w:r>
          </w:p>
          <w:p w:rsidR="003F6D7A" w:rsidRPr="003F6D7A" w:rsidRDefault="003F6D7A" w:rsidP="000C15B1">
            <w:pPr>
              <w:ind w:left="0" w:right="0" w:firstLine="284"/>
              <w:rPr>
                <w:sz w:val="20"/>
                <w:szCs w:val="20"/>
              </w:rPr>
            </w:pPr>
            <w:r w:rsidRPr="003F6D7A">
              <w:rPr>
                <w:sz w:val="20"/>
                <w:szCs w:val="20"/>
              </w:rPr>
              <w:t xml:space="preserve">3. «Увеличена доля внешних заказов услуг и работ центров коллективного пользования нарастающим итогом не менее чем на 70 процентов, в том числе в отчетных годах, не менее чем на: на 31.12.2019 - 7 </w:t>
            </w:r>
            <w:proofErr w:type="gramStart"/>
            <w:r w:rsidRPr="003F6D7A">
              <w:rPr>
                <w:sz w:val="20"/>
                <w:szCs w:val="20"/>
              </w:rPr>
              <w:t>ПРОЦ</w:t>
            </w:r>
            <w:proofErr w:type="gramEnd"/>
            <w:r w:rsidRPr="003F6D7A">
              <w:rPr>
                <w:sz w:val="20"/>
                <w:szCs w:val="20"/>
              </w:rPr>
              <w:t xml:space="preserve">» </w:t>
            </w:r>
            <w:r w:rsidR="00352079">
              <w:rPr>
                <w:sz w:val="20"/>
                <w:szCs w:val="20"/>
              </w:rPr>
              <w:t>в связи с</w:t>
            </w:r>
            <w:r w:rsidRPr="003F6D7A">
              <w:rPr>
                <w:sz w:val="20"/>
                <w:szCs w:val="20"/>
              </w:rPr>
              <w:t xml:space="preserve"> не согласованност</w:t>
            </w:r>
            <w:r w:rsidR="00352079">
              <w:rPr>
                <w:sz w:val="20"/>
                <w:szCs w:val="20"/>
              </w:rPr>
              <w:t>ью</w:t>
            </w:r>
            <w:r w:rsidRPr="003F6D7A">
              <w:rPr>
                <w:sz w:val="20"/>
                <w:szCs w:val="20"/>
              </w:rPr>
              <w:t xml:space="preserve"> сроков представления сведений о результатах деятельности научными организациями в соответствии с пунктом 28 раздела IV Постановления Правительства Российской Федерации от 8 апреля 2009 г. № 312 «Об оценке и о мониторинге результативности деятельности научных организаций, выполняющих научно-исследовательские, опытно-конструкторские и технологические работы гражданского назначения», со сроками реализации обеспечивающих контрольных точек.</w:t>
            </w:r>
          </w:p>
          <w:p w:rsidR="003F6D7A" w:rsidRPr="003F6D7A" w:rsidRDefault="003F6D7A" w:rsidP="000C15B1">
            <w:pPr>
              <w:ind w:left="0" w:right="0" w:firstLine="284"/>
              <w:rPr>
                <w:sz w:val="20"/>
                <w:szCs w:val="20"/>
              </w:rPr>
            </w:pPr>
            <w:r w:rsidRPr="003F6D7A">
              <w:rPr>
                <w:sz w:val="20"/>
                <w:szCs w:val="20"/>
              </w:rPr>
              <w:t xml:space="preserve">Ключевым риском данного федерального проекта является снижение количества лиц, получивших </w:t>
            </w:r>
            <w:proofErr w:type="spellStart"/>
            <w:r w:rsidRPr="003F6D7A">
              <w:rPr>
                <w:sz w:val="20"/>
                <w:szCs w:val="20"/>
              </w:rPr>
              <w:t>грантовую</w:t>
            </w:r>
            <w:proofErr w:type="spellEnd"/>
            <w:r w:rsidRPr="003F6D7A">
              <w:rPr>
                <w:sz w:val="20"/>
                <w:szCs w:val="20"/>
              </w:rPr>
              <w:t xml:space="preserve"> поддержку в рамках результата «Усовершенствованы механизмы обучения в аспирантуре по программам подготовки научных и научно-педагогических кадров, </w:t>
            </w:r>
            <w:proofErr w:type="gramStart"/>
            <w:r w:rsidRPr="003F6D7A">
              <w:rPr>
                <w:sz w:val="20"/>
                <w:szCs w:val="20"/>
              </w:rPr>
              <w:t>предусматривающие</w:t>
            </w:r>
            <w:proofErr w:type="gramEnd"/>
            <w:r w:rsidRPr="003F6D7A">
              <w:rPr>
                <w:sz w:val="20"/>
                <w:szCs w:val="20"/>
              </w:rPr>
              <w:t xml:space="preserve"> в том числе специальную </w:t>
            </w:r>
            <w:proofErr w:type="spellStart"/>
            <w:r w:rsidRPr="003F6D7A">
              <w:rPr>
                <w:sz w:val="20"/>
                <w:szCs w:val="20"/>
              </w:rPr>
              <w:t>грантовую</w:t>
            </w:r>
            <w:proofErr w:type="spellEnd"/>
            <w:r w:rsidRPr="003F6D7A">
              <w:rPr>
                <w:sz w:val="20"/>
                <w:szCs w:val="20"/>
              </w:rPr>
              <w:t xml:space="preserve"> поддержку выполняемого научного или научно-технического проекта, которую получили нарастающим итогом» по причине отказа от заключения соглашений со стороны победителей грантов по разным причинам. Поддержано 1 494 проектов при целевом показателе 1 500 проектов. Недостающие гранты предоставят аспирантам в 2020 году, срок исполнения 1 июля 2020 года</w:t>
            </w:r>
          </w:p>
        </w:tc>
      </w:tr>
      <w:tr w:rsidR="009B2BBD" w:rsidTr="00D46E03">
        <w:tc>
          <w:tcPr>
            <w:tcW w:w="568" w:type="dxa"/>
          </w:tcPr>
          <w:p w:rsidR="009B2BBD" w:rsidRPr="009B2BBD" w:rsidRDefault="009B2BBD" w:rsidP="000C15B1">
            <w:pPr>
              <w:overflowPunct/>
              <w:autoSpaceDE/>
              <w:autoSpaceDN/>
              <w:adjustRightInd/>
              <w:ind w:left="0" w:right="0" w:firstLine="0"/>
              <w:jc w:val="center"/>
              <w:textAlignment w:val="auto"/>
              <w:rPr>
                <w:rFonts w:eastAsia="Times New Roman"/>
                <w:b/>
                <w:sz w:val="20"/>
                <w:szCs w:val="20"/>
              </w:rPr>
            </w:pPr>
            <w:r>
              <w:rPr>
                <w:rFonts w:eastAsia="Times New Roman"/>
                <w:b/>
                <w:sz w:val="20"/>
                <w:szCs w:val="20"/>
              </w:rPr>
              <w:lastRenderedPageBreak/>
              <w:t>8</w:t>
            </w:r>
            <w:r w:rsidRPr="009B2BBD">
              <w:rPr>
                <w:rFonts w:eastAsia="Times New Roman"/>
                <w:b/>
                <w:sz w:val="20"/>
                <w:szCs w:val="20"/>
              </w:rPr>
              <w:t>.</w:t>
            </w:r>
          </w:p>
        </w:tc>
        <w:tc>
          <w:tcPr>
            <w:tcW w:w="2268" w:type="dxa"/>
          </w:tcPr>
          <w:p w:rsidR="009B2BBD" w:rsidRPr="009B2BBD" w:rsidRDefault="009B2BBD" w:rsidP="000C15B1">
            <w:pPr>
              <w:ind w:left="0" w:right="0" w:firstLine="0"/>
              <w:rPr>
                <w:b/>
                <w:sz w:val="20"/>
                <w:szCs w:val="20"/>
                <w:lang w:eastAsia="en-US"/>
              </w:rPr>
            </w:pPr>
            <w:r w:rsidRPr="009B2BBD">
              <w:rPr>
                <w:b/>
                <w:sz w:val="20"/>
                <w:szCs w:val="20"/>
                <w:lang w:eastAsia="en-US"/>
              </w:rPr>
              <w:t>Цифровая экономика Российской Федерации</w:t>
            </w:r>
          </w:p>
        </w:tc>
        <w:tc>
          <w:tcPr>
            <w:tcW w:w="7796" w:type="dxa"/>
          </w:tcPr>
          <w:p w:rsidR="009B2BBD" w:rsidRPr="00122992"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В рамках реализации национальной программы «</w:t>
            </w:r>
            <w:r w:rsidRPr="009B2BBD">
              <w:rPr>
                <w:b/>
                <w:sz w:val="20"/>
                <w:szCs w:val="20"/>
                <w:lang w:eastAsia="en-US"/>
              </w:rPr>
              <w:t>Цифровая экономика Российской Федерации»</w:t>
            </w:r>
            <w:r w:rsidRPr="009B2BBD">
              <w:rPr>
                <w:sz w:val="20"/>
                <w:szCs w:val="20"/>
                <w:lang w:eastAsia="en-US"/>
              </w:rPr>
              <w:t xml:space="preserve"> уровень исполнения бюджетных ассигнований составил 73,3 % показателя сводной росписи с изменениями. </w:t>
            </w:r>
            <w:r w:rsidRPr="009B2BBD">
              <w:rPr>
                <w:bCs/>
                <w:sz w:val="20"/>
                <w:szCs w:val="20"/>
                <w:lang w:eastAsia="en-US"/>
              </w:rPr>
              <w:t xml:space="preserve">По итогам 2019 года отмечается значительный объем неисполненных бюджетных ассигнований в сумме 26 849,3 млн. рублей, или 26,7 %. </w:t>
            </w:r>
            <w:r w:rsidRPr="00122992">
              <w:rPr>
                <w:sz w:val="20"/>
                <w:szCs w:val="20"/>
                <w:lang w:eastAsia="en-US"/>
              </w:rPr>
              <w:t>По всем шести федеральным проектам, входящим в состав национальной программы, расходы исполнены на низком уровне: «Нормативное регулирование цифровой среды» (48,8 % показателя сводной росписи с изменениями), «Информационная инфраструктура» (83,9 %), «Кадры для цифровой экономики» (41,2 %), «Информационная безопасность» (39,8 %), «Цифровые технологии» (58,2 %), «Цифровое государственное управление» (84,1 %).</w:t>
            </w:r>
          </w:p>
          <w:p w:rsidR="009B2BBD" w:rsidRPr="009B2BBD" w:rsidRDefault="00122992" w:rsidP="000C15B1">
            <w:pPr>
              <w:overflowPunct/>
              <w:autoSpaceDE/>
              <w:autoSpaceDN/>
              <w:adjustRightInd/>
              <w:ind w:left="0" w:right="0" w:firstLine="284"/>
              <w:textAlignment w:val="auto"/>
              <w:rPr>
                <w:sz w:val="20"/>
                <w:szCs w:val="20"/>
                <w:lang w:eastAsia="en-US"/>
              </w:rPr>
            </w:pPr>
            <w:r>
              <w:rPr>
                <w:sz w:val="20"/>
                <w:szCs w:val="20"/>
                <w:lang w:eastAsia="en-US"/>
              </w:rPr>
              <w:t>Н</w:t>
            </w:r>
            <w:r w:rsidRPr="009B2BBD">
              <w:rPr>
                <w:sz w:val="20"/>
                <w:szCs w:val="20"/>
                <w:lang w:eastAsia="en-US"/>
              </w:rPr>
              <w:t>ациональн</w:t>
            </w:r>
            <w:r>
              <w:rPr>
                <w:sz w:val="20"/>
                <w:szCs w:val="20"/>
                <w:lang w:eastAsia="en-US"/>
              </w:rPr>
              <w:t>ая</w:t>
            </w:r>
            <w:r w:rsidRPr="009B2BBD">
              <w:rPr>
                <w:sz w:val="20"/>
                <w:szCs w:val="20"/>
                <w:lang w:eastAsia="en-US"/>
              </w:rPr>
              <w:t xml:space="preserve"> программ</w:t>
            </w:r>
            <w:r>
              <w:rPr>
                <w:sz w:val="20"/>
                <w:szCs w:val="20"/>
                <w:lang w:eastAsia="en-US"/>
              </w:rPr>
              <w:t>а</w:t>
            </w:r>
            <w:r w:rsidRPr="009B2BBD">
              <w:rPr>
                <w:sz w:val="20"/>
                <w:szCs w:val="20"/>
                <w:lang w:eastAsia="en-US"/>
              </w:rPr>
              <w:t xml:space="preserve"> утвержден</w:t>
            </w:r>
            <w:r>
              <w:rPr>
                <w:sz w:val="20"/>
                <w:szCs w:val="20"/>
                <w:lang w:eastAsia="en-US"/>
              </w:rPr>
              <w:t>а</w:t>
            </w:r>
            <w:r w:rsidRPr="009B2BBD">
              <w:rPr>
                <w:sz w:val="20"/>
                <w:szCs w:val="20"/>
                <w:lang w:eastAsia="en-US"/>
              </w:rPr>
              <w:t xml:space="preserve"> </w:t>
            </w:r>
            <w:r>
              <w:rPr>
                <w:sz w:val="20"/>
                <w:szCs w:val="20"/>
                <w:lang w:eastAsia="en-US"/>
              </w:rPr>
              <w:t>в новой редакции 4 июня 2019 года,</w:t>
            </w:r>
            <w:r w:rsidRPr="009B2BBD">
              <w:rPr>
                <w:sz w:val="20"/>
                <w:szCs w:val="20"/>
                <w:lang w:eastAsia="en-US"/>
              </w:rPr>
              <w:t xml:space="preserve"> </w:t>
            </w:r>
            <w:r>
              <w:rPr>
                <w:sz w:val="20"/>
                <w:szCs w:val="20"/>
                <w:lang w:eastAsia="en-US"/>
              </w:rPr>
              <w:t>з</w:t>
            </w:r>
            <w:r w:rsidR="009B2BBD" w:rsidRPr="009B2BBD">
              <w:rPr>
                <w:sz w:val="20"/>
                <w:szCs w:val="20"/>
                <w:lang w:eastAsia="en-US"/>
              </w:rPr>
              <w:t>а 2019 год утверждено 33 запроса на изменение национальной программы и 54 запроса на изменение федеральных проектов.</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Анализ запросов на изменение паспорта национальной программы показывает, что основные изменения связаны с перераспределением финансирования между результатами федеральных проектов, что </w:t>
            </w:r>
            <w:r w:rsidR="00122992">
              <w:rPr>
                <w:sz w:val="20"/>
                <w:szCs w:val="20"/>
                <w:lang w:eastAsia="en-US"/>
              </w:rPr>
              <w:t>привело к</w:t>
            </w:r>
            <w:r w:rsidRPr="009B2BBD">
              <w:rPr>
                <w:sz w:val="20"/>
                <w:szCs w:val="20"/>
                <w:lang w:eastAsia="en-US"/>
              </w:rPr>
              <w:t xml:space="preserve"> блокировк</w:t>
            </w:r>
            <w:r w:rsidR="00122992">
              <w:rPr>
                <w:sz w:val="20"/>
                <w:szCs w:val="20"/>
                <w:lang w:eastAsia="en-US"/>
              </w:rPr>
              <w:t>е</w:t>
            </w:r>
            <w:r w:rsidRPr="009B2BBD">
              <w:rPr>
                <w:sz w:val="20"/>
                <w:szCs w:val="20"/>
                <w:lang w:eastAsia="en-US"/>
              </w:rPr>
              <w:t xml:space="preserve"> лимитов бюджетных обязательств в течение года.</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Так, по состоянию на 1 июля 2019 года лимиты бюджетных обязательств доведены в объеме 68 031,1 млн. рублей (63 % показателя сводной росписи с изменениями), на 1 ноября 2019 года – 94 955,2 млн. рублей (87,9 %) и на 1 декабря 2019 года – 100 631,2 млн. рублей (93,1 %). </w:t>
            </w:r>
          </w:p>
          <w:p w:rsidR="009B2BBD" w:rsidRPr="00122992"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В результате в течение 2019 года </w:t>
            </w:r>
            <w:r w:rsidRPr="00122992">
              <w:rPr>
                <w:sz w:val="20"/>
                <w:szCs w:val="20"/>
                <w:lang w:eastAsia="en-US"/>
              </w:rPr>
              <w:t xml:space="preserve">отмечалось неравномерное кассовое исполнение расходов по национальной программе: на 1 ноября 2019 года - 17 475,4 млн. рублей </w:t>
            </w:r>
            <w:r w:rsidRPr="00122992">
              <w:rPr>
                <w:sz w:val="20"/>
                <w:szCs w:val="20"/>
                <w:lang w:eastAsia="en-US"/>
              </w:rPr>
              <w:lastRenderedPageBreak/>
              <w:t>(16,2 %); на 1 декабря 2019 года – 25 760,7 млн. рублей (23,8 %); на 1 января 2020 года – 73 816,8 млн. рублей (73,3 %).</w:t>
            </w:r>
          </w:p>
          <w:p w:rsidR="009B2BBD" w:rsidRPr="009B2BBD" w:rsidRDefault="009B2BBD" w:rsidP="000C15B1">
            <w:pPr>
              <w:overflowPunct/>
              <w:autoSpaceDE/>
              <w:autoSpaceDN/>
              <w:adjustRightInd/>
              <w:ind w:left="0" w:right="0" w:firstLine="284"/>
              <w:textAlignment w:val="auto"/>
              <w:rPr>
                <w:sz w:val="20"/>
                <w:szCs w:val="20"/>
                <w:lang w:eastAsia="en-US"/>
              </w:rPr>
            </w:pPr>
            <w:r w:rsidRPr="00122992">
              <w:rPr>
                <w:sz w:val="20"/>
                <w:szCs w:val="20"/>
                <w:lang w:eastAsia="en-US"/>
              </w:rPr>
              <w:t>Следует отметить низкое кассовое исполнение на предоставление субсидий юридическим лицам - 50,5 % (15 662,8 млн. рублей), доля</w:t>
            </w:r>
            <w:r w:rsidRPr="009B2BBD">
              <w:rPr>
                <w:sz w:val="20"/>
                <w:szCs w:val="20"/>
                <w:lang w:eastAsia="en-US"/>
              </w:rPr>
              <w:t xml:space="preserve"> которых в общем объеме расходов на национальную программу составила 30,8 %.</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С учетом низкого кассового исполнения мероприятий федеральных проектов и поздних сроков реализации отдельных мероприятий,</w:t>
            </w:r>
            <w:r w:rsidRPr="00122992">
              <w:rPr>
                <w:sz w:val="20"/>
                <w:szCs w:val="20"/>
                <w:lang w:eastAsia="en-US"/>
              </w:rPr>
              <w:t xml:space="preserve"> существует</w:t>
            </w:r>
            <w:r w:rsidRPr="00176C6F">
              <w:rPr>
                <w:b/>
                <w:sz w:val="20"/>
                <w:szCs w:val="20"/>
                <w:lang w:eastAsia="en-US"/>
              </w:rPr>
              <w:t xml:space="preserve"> риск </w:t>
            </w:r>
            <w:proofErr w:type="spellStart"/>
            <w:r w:rsidRPr="00176C6F">
              <w:rPr>
                <w:b/>
                <w:sz w:val="20"/>
                <w:szCs w:val="20"/>
                <w:lang w:eastAsia="en-US"/>
              </w:rPr>
              <w:t>недостижения</w:t>
            </w:r>
            <w:proofErr w:type="spellEnd"/>
            <w:r w:rsidRPr="00176C6F">
              <w:rPr>
                <w:b/>
                <w:sz w:val="20"/>
                <w:szCs w:val="20"/>
                <w:lang w:eastAsia="en-US"/>
              </w:rPr>
              <w:t xml:space="preserve"> плановых показателей</w:t>
            </w:r>
            <w:r w:rsidRPr="009B2BBD">
              <w:rPr>
                <w:sz w:val="20"/>
                <w:szCs w:val="20"/>
                <w:lang w:eastAsia="en-US"/>
              </w:rPr>
              <w:t xml:space="preserve">. </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В соответствии с отчетом, размещенном </w:t>
            </w:r>
            <w:proofErr w:type="spellStart"/>
            <w:r w:rsidRPr="009B2BBD">
              <w:rPr>
                <w:sz w:val="20"/>
                <w:szCs w:val="20"/>
                <w:lang w:eastAsia="en-US"/>
              </w:rPr>
              <w:t>Минкомсвязью</w:t>
            </w:r>
            <w:proofErr w:type="spellEnd"/>
            <w:r w:rsidRPr="009B2BBD">
              <w:rPr>
                <w:sz w:val="20"/>
                <w:szCs w:val="20"/>
                <w:lang w:eastAsia="en-US"/>
              </w:rPr>
              <w:t xml:space="preserve"> России в ГИ</w:t>
            </w:r>
            <w:r w:rsidR="0050685F">
              <w:rPr>
                <w:sz w:val="20"/>
                <w:szCs w:val="20"/>
                <w:lang w:eastAsia="en-US"/>
              </w:rPr>
              <w:t>И</w:t>
            </w:r>
            <w:r w:rsidRPr="009B2BBD">
              <w:rPr>
                <w:sz w:val="20"/>
                <w:szCs w:val="20"/>
                <w:lang w:eastAsia="en-US"/>
              </w:rPr>
              <w:t xml:space="preserve">С «Электронный бюджет», отмечаются </w:t>
            </w:r>
            <w:r w:rsidRPr="00122992">
              <w:rPr>
                <w:b/>
                <w:sz w:val="20"/>
                <w:szCs w:val="20"/>
                <w:lang w:eastAsia="en-US"/>
              </w:rPr>
              <w:t>критические отклонения в достижении результатов</w:t>
            </w:r>
            <w:r w:rsidRPr="009B2BBD">
              <w:rPr>
                <w:sz w:val="20"/>
                <w:szCs w:val="20"/>
                <w:lang w:eastAsia="en-US"/>
              </w:rPr>
              <w:t xml:space="preserve"> по контрольным точкам: достигнуто 118 результатов (64,1 %), </w:t>
            </w:r>
            <w:r w:rsidRPr="00122992">
              <w:rPr>
                <w:sz w:val="20"/>
                <w:szCs w:val="20"/>
                <w:lang w:eastAsia="en-US"/>
              </w:rPr>
              <w:t>не достигнуто в срок (находятся в работе) 66 результатов (35,9 %), в том числе по</w:t>
            </w:r>
            <w:r w:rsidRPr="009B2BBD">
              <w:rPr>
                <w:sz w:val="20"/>
                <w:szCs w:val="20"/>
                <w:lang w:eastAsia="en-US"/>
              </w:rPr>
              <w:t xml:space="preserve"> федеральным проектам: </w:t>
            </w:r>
            <w:proofErr w:type="gramStart"/>
            <w:r w:rsidRPr="009B2BBD">
              <w:rPr>
                <w:sz w:val="20"/>
                <w:szCs w:val="20"/>
                <w:lang w:eastAsia="en-US"/>
              </w:rPr>
              <w:t>«Нормативное регулирование цифровой среды» - из 14 результатов не достигнуто в срок 9 результатов (64,3 %), «Информационная инфраструктура» - из 41 результата не достигнуто 11 результатов (26,8 %), «Кадры для цифровой экономики» - из 28 результатов не достигнуто 11 результатов (39,3 %), «Информационная безопасность» - из 29 результатов не достигнуто 14 результатов (48,3 %), «Цифровые технологии» - из 30 результатов не достигнут 1 результат (3,3 %), «Цифровое государственное управление» из</w:t>
            </w:r>
            <w:proofErr w:type="gramEnd"/>
            <w:r w:rsidRPr="009B2BBD">
              <w:rPr>
                <w:sz w:val="20"/>
                <w:szCs w:val="20"/>
                <w:lang w:eastAsia="en-US"/>
              </w:rPr>
              <w:t xml:space="preserve"> 42 результатов не достигнуто 20 результатов (47,6 %).</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Существующая практика перераспределения средств между задачами (результатами) федеральных проектов, а также </w:t>
            </w:r>
            <w:proofErr w:type="spellStart"/>
            <w:r w:rsidRPr="009B2BBD">
              <w:rPr>
                <w:sz w:val="20"/>
                <w:szCs w:val="20"/>
                <w:lang w:eastAsia="en-US"/>
              </w:rPr>
              <w:t>недостижение</w:t>
            </w:r>
            <w:proofErr w:type="spellEnd"/>
            <w:r w:rsidRPr="009B2BBD">
              <w:rPr>
                <w:sz w:val="20"/>
                <w:szCs w:val="20"/>
                <w:lang w:eastAsia="en-US"/>
              </w:rPr>
              <w:t xml:space="preserve"> результатов по контрольным точкам федеральных проектов </w:t>
            </w:r>
            <w:r w:rsidRPr="00122992">
              <w:rPr>
                <w:sz w:val="20"/>
                <w:szCs w:val="20"/>
                <w:lang w:eastAsia="en-US"/>
              </w:rPr>
              <w:t xml:space="preserve">создает </w:t>
            </w:r>
            <w:r w:rsidRPr="00176C6F">
              <w:rPr>
                <w:b/>
                <w:sz w:val="20"/>
                <w:szCs w:val="20"/>
                <w:lang w:eastAsia="en-US"/>
              </w:rPr>
              <w:t>риски невыполнения национальной программы</w:t>
            </w:r>
            <w:r w:rsidRPr="009B2BBD">
              <w:rPr>
                <w:sz w:val="20"/>
                <w:szCs w:val="20"/>
                <w:lang w:eastAsia="en-US"/>
              </w:rPr>
              <w:t>.</w:t>
            </w:r>
          </w:p>
          <w:p w:rsidR="009B2BBD" w:rsidRPr="009B2BBD" w:rsidRDefault="009B2BBD" w:rsidP="000C15B1">
            <w:pPr>
              <w:overflowPunct/>
              <w:autoSpaceDE/>
              <w:autoSpaceDN/>
              <w:adjustRightInd/>
              <w:ind w:left="0" w:right="0" w:firstLine="284"/>
              <w:textAlignment w:val="auto"/>
              <w:rPr>
                <w:sz w:val="20"/>
                <w:szCs w:val="20"/>
                <w:lang w:eastAsia="en-US"/>
              </w:rPr>
            </w:pPr>
            <w:r w:rsidRPr="009B2BBD">
              <w:rPr>
                <w:sz w:val="20"/>
                <w:szCs w:val="20"/>
                <w:lang w:eastAsia="en-US"/>
              </w:rPr>
              <w:t xml:space="preserve">Существенным недостатком национальной программы является отсутствие </w:t>
            </w:r>
            <w:proofErr w:type="gramStart"/>
            <w:r w:rsidRPr="009B2BBD">
              <w:rPr>
                <w:sz w:val="20"/>
                <w:szCs w:val="20"/>
                <w:lang w:eastAsia="en-US"/>
              </w:rPr>
              <w:t>возможности своевременного проведения мониторинга достижения целей национальной программы</w:t>
            </w:r>
            <w:proofErr w:type="gramEnd"/>
            <w:r w:rsidRPr="009B2BBD">
              <w:rPr>
                <w:sz w:val="20"/>
                <w:szCs w:val="20"/>
                <w:lang w:eastAsia="en-US"/>
              </w:rPr>
              <w:t xml:space="preserve"> в связи с тем, что ежеквартальный сбор информации и расчет показателей для составления квартальных отчетов по реализации национальной программы не предусмотрен. Также необходимо доработать методики определения дополнительных показателей национальной программы.</w:t>
            </w:r>
          </w:p>
          <w:p w:rsidR="009B2BBD" w:rsidRPr="009B2BBD" w:rsidRDefault="009B2BBD" w:rsidP="000C15B1">
            <w:pPr>
              <w:overflowPunct/>
              <w:autoSpaceDE/>
              <w:autoSpaceDN/>
              <w:adjustRightInd/>
              <w:ind w:left="0" w:right="0" w:firstLine="284"/>
              <w:textAlignment w:val="auto"/>
              <w:rPr>
                <w:sz w:val="20"/>
                <w:szCs w:val="20"/>
                <w:lang w:eastAsia="en-US"/>
              </w:rPr>
            </w:pPr>
            <w:proofErr w:type="gramStart"/>
            <w:r w:rsidRPr="009B2BBD">
              <w:rPr>
                <w:sz w:val="20"/>
                <w:szCs w:val="20"/>
                <w:lang w:eastAsia="en-US"/>
              </w:rPr>
              <w:t xml:space="preserve">Так, из 8 показателей национальной программы по 6 показателям - окончательные данные будут уточняться в марте 2020 года после сдачи статистических отчетов; по показателю «Доля социально-значимых объектов инфраструктуры, имеющих возможность подключения к широкополосному доступу к сети «Интернет» показатель выполнен на уровне 77,8 %, </w:t>
            </w:r>
            <w:r w:rsidRPr="00176C6F">
              <w:rPr>
                <w:b/>
                <w:sz w:val="20"/>
                <w:szCs w:val="20"/>
                <w:lang w:eastAsia="en-US"/>
              </w:rPr>
              <w:t xml:space="preserve">существует риск </w:t>
            </w:r>
            <w:proofErr w:type="spellStart"/>
            <w:r w:rsidRPr="00176C6F">
              <w:rPr>
                <w:b/>
                <w:sz w:val="20"/>
                <w:szCs w:val="20"/>
                <w:lang w:eastAsia="en-US"/>
              </w:rPr>
              <w:t>недостижения</w:t>
            </w:r>
            <w:proofErr w:type="spellEnd"/>
            <w:r w:rsidRPr="00176C6F">
              <w:rPr>
                <w:b/>
                <w:sz w:val="20"/>
                <w:szCs w:val="20"/>
                <w:lang w:eastAsia="en-US"/>
              </w:rPr>
              <w:t xml:space="preserve"> показателя</w:t>
            </w:r>
            <w:r w:rsidRPr="009B2BBD">
              <w:rPr>
                <w:sz w:val="20"/>
                <w:szCs w:val="20"/>
                <w:lang w:eastAsia="en-US"/>
              </w:rPr>
              <w:t xml:space="preserve"> программы, данные будут уточнены в конце </w:t>
            </w:r>
            <w:r w:rsidRPr="009B2BBD">
              <w:rPr>
                <w:sz w:val="20"/>
                <w:szCs w:val="20"/>
                <w:lang w:val="en-US" w:eastAsia="en-US"/>
              </w:rPr>
              <w:t>I</w:t>
            </w:r>
            <w:r w:rsidRPr="009B2BBD">
              <w:rPr>
                <w:sz w:val="20"/>
                <w:szCs w:val="20"/>
                <w:lang w:eastAsia="en-US"/>
              </w:rPr>
              <w:t xml:space="preserve"> квартала 2020 года;</w:t>
            </w:r>
            <w:proofErr w:type="gramEnd"/>
            <w:r w:rsidRPr="009B2BBD">
              <w:rPr>
                <w:sz w:val="20"/>
                <w:szCs w:val="20"/>
                <w:lang w:eastAsia="en-US"/>
              </w:rPr>
              <w:t xml:space="preserve"> по показателю «Доля Российской Федерации в мировом объеме оказания услуг по хранению и обработке данных» результат отсутствует, </w:t>
            </w:r>
            <w:r w:rsidRPr="00176C6F">
              <w:rPr>
                <w:b/>
                <w:sz w:val="20"/>
                <w:szCs w:val="20"/>
                <w:lang w:eastAsia="en-US"/>
              </w:rPr>
              <w:t xml:space="preserve">существует риск </w:t>
            </w:r>
            <w:proofErr w:type="spellStart"/>
            <w:r w:rsidRPr="00176C6F">
              <w:rPr>
                <w:b/>
                <w:sz w:val="20"/>
                <w:szCs w:val="20"/>
                <w:lang w:eastAsia="en-US"/>
              </w:rPr>
              <w:t>недостижения</w:t>
            </w:r>
            <w:proofErr w:type="spellEnd"/>
            <w:r w:rsidRPr="00176C6F">
              <w:rPr>
                <w:b/>
                <w:sz w:val="20"/>
                <w:szCs w:val="20"/>
                <w:lang w:eastAsia="en-US"/>
              </w:rPr>
              <w:t xml:space="preserve"> показателя</w:t>
            </w:r>
          </w:p>
        </w:tc>
      </w:tr>
      <w:tr w:rsidR="00AF6305" w:rsidTr="00D46E03">
        <w:tc>
          <w:tcPr>
            <w:tcW w:w="568" w:type="dxa"/>
          </w:tcPr>
          <w:p w:rsidR="00AF6305" w:rsidRPr="00AF6305" w:rsidRDefault="00AF6305" w:rsidP="000C15B1">
            <w:pPr>
              <w:ind w:left="0" w:right="0" w:firstLine="0"/>
              <w:rPr>
                <w:b/>
                <w:sz w:val="20"/>
                <w:szCs w:val="20"/>
              </w:rPr>
            </w:pPr>
            <w:r w:rsidRPr="00AF6305">
              <w:rPr>
                <w:b/>
                <w:sz w:val="20"/>
                <w:szCs w:val="20"/>
              </w:rPr>
              <w:lastRenderedPageBreak/>
              <w:t>9.</w:t>
            </w:r>
          </w:p>
        </w:tc>
        <w:tc>
          <w:tcPr>
            <w:tcW w:w="2268" w:type="dxa"/>
          </w:tcPr>
          <w:p w:rsidR="00AF6305" w:rsidRPr="00AF6305" w:rsidRDefault="00AF6305" w:rsidP="000C15B1">
            <w:pPr>
              <w:ind w:left="0" w:right="0" w:firstLine="0"/>
              <w:rPr>
                <w:b/>
                <w:sz w:val="20"/>
                <w:szCs w:val="20"/>
              </w:rPr>
            </w:pPr>
            <w:r w:rsidRPr="00AF6305">
              <w:rPr>
                <w:b/>
                <w:sz w:val="20"/>
                <w:szCs w:val="20"/>
              </w:rPr>
              <w:t>Культура</w:t>
            </w:r>
          </w:p>
        </w:tc>
        <w:tc>
          <w:tcPr>
            <w:tcW w:w="7796" w:type="dxa"/>
          </w:tcPr>
          <w:p w:rsidR="00AF6305" w:rsidRPr="00AF6305" w:rsidRDefault="00AF6305" w:rsidP="000C15B1">
            <w:pPr>
              <w:ind w:left="0" w:right="0" w:firstLine="284"/>
              <w:rPr>
                <w:sz w:val="20"/>
                <w:szCs w:val="20"/>
              </w:rPr>
            </w:pPr>
            <w:r w:rsidRPr="00AF6305">
              <w:rPr>
                <w:sz w:val="20"/>
                <w:szCs w:val="20"/>
              </w:rPr>
              <w:t xml:space="preserve">В рамках реализации </w:t>
            </w:r>
            <w:r w:rsidRPr="00AF6305">
              <w:rPr>
                <w:b/>
                <w:sz w:val="20"/>
                <w:szCs w:val="20"/>
              </w:rPr>
              <w:t xml:space="preserve">национального проекта «Культура» </w:t>
            </w:r>
            <w:r w:rsidRPr="00AF6305">
              <w:rPr>
                <w:sz w:val="20"/>
                <w:szCs w:val="20"/>
              </w:rPr>
              <w:t>уровень исполнения бюджетных ассигнований составил 99 % показателя сводной росписи с изменениями.</w:t>
            </w:r>
            <w:r w:rsidRPr="00AF6305">
              <w:rPr>
                <w:bCs/>
                <w:sz w:val="20"/>
                <w:szCs w:val="20"/>
              </w:rPr>
              <w:t xml:space="preserve"> По итогам 2019 года бюджетные ассигнования в рамках указанного национального проекта не исполнены в сумме 138,3 млн. рублей, или 1 %.</w:t>
            </w:r>
          </w:p>
          <w:p w:rsidR="00AF6305" w:rsidRPr="00AF6305" w:rsidRDefault="00AF6305" w:rsidP="000C15B1">
            <w:pPr>
              <w:ind w:left="0" w:right="0" w:firstLine="284"/>
              <w:rPr>
                <w:sz w:val="20"/>
                <w:szCs w:val="20"/>
              </w:rPr>
            </w:pPr>
            <w:r w:rsidRPr="00AF6305">
              <w:rPr>
                <w:sz w:val="20"/>
                <w:szCs w:val="20"/>
              </w:rPr>
              <w:t xml:space="preserve">Исполнение расходов по федеральному проекту «Культурная среда» составило 98,5 % показателя сводной росписи с изменениями, </w:t>
            </w:r>
            <w:r w:rsidRPr="00AF6305">
              <w:rPr>
                <w:sz w:val="20"/>
                <w:szCs w:val="20"/>
                <w:lang w:eastAsia="en-US"/>
              </w:rPr>
              <w:t>федеральным проектам</w:t>
            </w:r>
            <w:r w:rsidRPr="00AF6305">
              <w:rPr>
                <w:sz w:val="20"/>
                <w:szCs w:val="20"/>
              </w:rPr>
              <w:t xml:space="preserve"> «Творческие люди» и «Цифровая культура» - 100 %.</w:t>
            </w:r>
          </w:p>
          <w:p w:rsidR="00AF6305" w:rsidRPr="00AF6305" w:rsidRDefault="00AF6305" w:rsidP="000C15B1">
            <w:pPr>
              <w:ind w:left="0" w:right="0" w:firstLine="284"/>
              <w:rPr>
                <w:sz w:val="20"/>
                <w:szCs w:val="20"/>
              </w:rPr>
            </w:pPr>
            <w:r w:rsidRPr="00AF6305">
              <w:rPr>
                <w:sz w:val="20"/>
                <w:szCs w:val="20"/>
              </w:rPr>
              <w:t xml:space="preserve">Следует отметить, что информация, представленная в отчете о реализации </w:t>
            </w:r>
            <w:r w:rsidRPr="00AF6305">
              <w:rPr>
                <w:sz w:val="20"/>
                <w:szCs w:val="20"/>
                <w:lang w:eastAsia="en-US"/>
              </w:rPr>
              <w:t>национального проекта</w:t>
            </w:r>
            <w:r w:rsidRPr="00AF6305">
              <w:rPr>
                <w:sz w:val="20"/>
                <w:szCs w:val="20"/>
              </w:rPr>
              <w:t xml:space="preserve"> «Культура» и </w:t>
            </w:r>
            <w:r w:rsidRPr="00AF6305">
              <w:rPr>
                <w:sz w:val="20"/>
                <w:szCs w:val="20"/>
                <w:lang w:eastAsia="en-US"/>
              </w:rPr>
              <w:t>федерального проекта</w:t>
            </w:r>
            <w:r w:rsidRPr="00AF6305">
              <w:rPr>
                <w:sz w:val="20"/>
                <w:szCs w:val="20"/>
              </w:rPr>
              <w:t xml:space="preserve"> «Творческие люди» в части финансового обеспечения, установленного сводной бюджетной росписью, и кассового исполнения не соответствует оперативным данным Федерального казначейства. </w:t>
            </w:r>
          </w:p>
          <w:p w:rsidR="00AF6305" w:rsidRPr="00AF6305" w:rsidRDefault="00AF6305" w:rsidP="000C15B1">
            <w:pPr>
              <w:ind w:left="0" w:right="0" w:firstLine="284"/>
              <w:rPr>
                <w:sz w:val="20"/>
                <w:szCs w:val="20"/>
              </w:rPr>
            </w:pPr>
            <w:r w:rsidRPr="00AF6305">
              <w:rPr>
                <w:sz w:val="20"/>
                <w:szCs w:val="20"/>
              </w:rPr>
              <w:t xml:space="preserve">Так, в отчете о реализации </w:t>
            </w:r>
            <w:r w:rsidRPr="00AF6305">
              <w:rPr>
                <w:sz w:val="20"/>
                <w:szCs w:val="20"/>
                <w:lang w:eastAsia="en-US"/>
              </w:rPr>
              <w:t>федерального проекта</w:t>
            </w:r>
            <w:r w:rsidRPr="00AF6305">
              <w:rPr>
                <w:sz w:val="20"/>
                <w:szCs w:val="20"/>
              </w:rPr>
              <w:t xml:space="preserve"> «Творческие люди» </w:t>
            </w:r>
            <w:r w:rsidRPr="00122992">
              <w:rPr>
                <w:sz w:val="20"/>
                <w:szCs w:val="20"/>
              </w:rPr>
              <w:t>не учтены средства,</w:t>
            </w:r>
            <w:r w:rsidRPr="00AF6305">
              <w:rPr>
                <w:sz w:val="20"/>
                <w:szCs w:val="20"/>
              </w:rPr>
              <w:t xml:space="preserve"> выделенные на организацию и проведение творческих фестивалей и конкурсов для детей и молодежи, установленные сводной бюджетной росписью в общей сумме 121,9 млн. рублей, а также их кассовое исполнение в сумме 121,7 млн. рублей. </w:t>
            </w:r>
          </w:p>
          <w:p w:rsidR="00AF6305" w:rsidRPr="00AF6305" w:rsidRDefault="00AF6305" w:rsidP="000C15B1">
            <w:pPr>
              <w:ind w:left="0" w:right="0" w:firstLine="284"/>
              <w:rPr>
                <w:sz w:val="20"/>
                <w:szCs w:val="20"/>
              </w:rPr>
            </w:pPr>
            <w:r w:rsidRPr="00AF6305">
              <w:rPr>
                <w:sz w:val="20"/>
                <w:szCs w:val="20"/>
              </w:rPr>
              <w:t xml:space="preserve">В рамках </w:t>
            </w:r>
            <w:r w:rsidRPr="00AF6305">
              <w:rPr>
                <w:sz w:val="20"/>
                <w:szCs w:val="20"/>
                <w:lang w:eastAsia="en-US"/>
              </w:rPr>
              <w:t>федерального проекта</w:t>
            </w:r>
            <w:r w:rsidRPr="00AF6305">
              <w:rPr>
                <w:sz w:val="20"/>
                <w:szCs w:val="20"/>
              </w:rPr>
              <w:t xml:space="preserve"> «Культурная среда» (98,5 %) сложилась экономия средств по итогам проведения конкурсных процедур при строительстве дворца культуры в п. Сита Хабаровского края (остаток 4,6 млн. рублей), а также при строительстве дворца культуры в п. Волжский Астраханской области (остаток 8,1 млн. рублей).</w:t>
            </w:r>
          </w:p>
          <w:p w:rsidR="00AF6305" w:rsidRPr="00AF6305" w:rsidRDefault="00AF6305" w:rsidP="000C15B1">
            <w:pPr>
              <w:ind w:left="0" w:right="0" w:firstLine="284"/>
              <w:rPr>
                <w:sz w:val="20"/>
                <w:szCs w:val="20"/>
              </w:rPr>
            </w:pPr>
            <w:proofErr w:type="gramStart"/>
            <w:r w:rsidRPr="00AF6305">
              <w:rPr>
                <w:sz w:val="20"/>
                <w:szCs w:val="20"/>
              </w:rPr>
              <w:lastRenderedPageBreak/>
              <w:t xml:space="preserve">В соответствии с отчетом о ходе реализации </w:t>
            </w:r>
            <w:r w:rsidRPr="00AF6305">
              <w:rPr>
                <w:sz w:val="20"/>
                <w:szCs w:val="20"/>
                <w:lang w:eastAsia="en-US"/>
              </w:rPr>
              <w:t>национального проекта</w:t>
            </w:r>
            <w:r w:rsidRPr="00AF6305">
              <w:rPr>
                <w:sz w:val="20"/>
                <w:szCs w:val="20"/>
              </w:rPr>
              <w:t xml:space="preserve"> «Культура» на конец 2019 года значение показателя «Увеличение на 15 % числа посещений организаций культуры» достигло 108,4 % (при плановом значении - 101%), значение показателя «Увеличение числа обращений к цифровым ресурсам культуры в 5 раз» - 56,46 млн. обращений в год (при плановом значении – 24 млн. обращений в год), что соответствует плановым значениям показателей на</w:t>
            </w:r>
            <w:proofErr w:type="gramEnd"/>
            <w:r w:rsidRPr="00AF6305">
              <w:rPr>
                <w:sz w:val="20"/>
                <w:szCs w:val="20"/>
              </w:rPr>
              <w:t xml:space="preserve"> 2022 - 2023 годы. </w:t>
            </w:r>
          </w:p>
          <w:p w:rsidR="00AF6305" w:rsidRPr="00AF6305" w:rsidRDefault="00AF6305" w:rsidP="000C15B1">
            <w:pPr>
              <w:ind w:left="0" w:right="0" w:firstLine="284"/>
              <w:rPr>
                <w:sz w:val="20"/>
                <w:szCs w:val="20"/>
              </w:rPr>
            </w:pPr>
            <w:r w:rsidRPr="00AF6305">
              <w:rPr>
                <w:sz w:val="20"/>
                <w:szCs w:val="20"/>
              </w:rPr>
              <w:t>При этом ряд показателей федеральных проектов «Культурная среда», «Творческие люди», установленных на 2019 год, были исполнены к ноябрю 2019 года.</w:t>
            </w:r>
          </w:p>
          <w:p w:rsidR="00AF6305" w:rsidRPr="00122992" w:rsidRDefault="00122992" w:rsidP="000C15B1">
            <w:pPr>
              <w:ind w:left="0" w:right="0" w:firstLine="284"/>
              <w:rPr>
                <w:sz w:val="20"/>
                <w:szCs w:val="20"/>
              </w:rPr>
            </w:pPr>
            <w:r>
              <w:rPr>
                <w:sz w:val="20"/>
                <w:szCs w:val="20"/>
              </w:rPr>
              <w:t>В</w:t>
            </w:r>
            <w:r w:rsidR="00AF6305" w:rsidRPr="00AF6305">
              <w:rPr>
                <w:sz w:val="20"/>
                <w:szCs w:val="20"/>
              </w:rPr>
              <w:t xml:space="preserve"> ходе анализа методики расчета целевого показателя «Увеличение на 15 % числа посещений организаций культуры» выявлено, что </w:t>
            </w:r>
            <w:r w:rsidR="00AF6305" w:rsidRPr="00122992">
              <w:rPr>
                <w:sz w:val="20"/>
                <w:szCs w:val="20"/>
              </w:rPr>
              <w:t>изменение методики сбора первичных данных по показателям отдельных типов организаций культуры, создает возможность достижения с опережением предусмотренных темпов роста показателей.</w:t>
            </w:r>
          </w:p>
          <w:p w:rsidR="00AF6305" w:rsidRPr="00AF6305" w:rsidRDefault="00AF6305" w:rsidP="000C15B1">
            <w:pPr>
              <w:ind w:left="0" w:right="0" w:firstLine="284"/>
              <w:rPr>
                <w:sz w:val="20"/>
                <w:szCs w:val="20"/>
              </w:rPr>
            </w:pPr>
            <w:proofErr w:type="gramStart"/>
            <w:r w:rsidRPr="00AF6305">
              <w:rPr>
                <w:sz w:val="20"/>
                <w:szCs w:val="20"/>
              </w:rPr>
              <w:t xml:space="preserve">По состоянию на 24 января 2020 года в подсистеме управление национальными проектами ГИИС «Электронный бюджет» размещены отчеты об исполнении региональных проектов (далее – РП) в рамках </w:t>
            </w:r>
            <w:r w:rsidRPr="00AF6305">
              <w:rPr>
                <w:sz w:val="20"/>
                <w:szCs w:val="20"/>
                <w:lang w:eastAsia="en-US"/>
              </w:rPr>
              <w:t>национального проекта</w:t>
            </w:r>
            <w:r w:rsidRPr="00AF6305">
              <w:rPr>
                <w:sz w:val="20"/>
                <w:szCs w:val="20"/>
              </w:rPr>
              <w:t xml:space="preserve"> «Культура» за 2019 год: по РП «Культурная среда» по 36 регионами, по РП «Творческие люди» по 45 регионам, по РП «Цифровая культура» по 43 регионам.</w:t>
            </w:r>
            <w:proofErr w:type="gramEnd"/>
          </w:p>
          <w:p w:rsidR="00AF6305" w:rsidRPr="00122992" w:rsidRDefault="00AF6305" w:rsidP="000C15B1">
            <w:pPr>
              <w:ind w:left="0" w:right="0" w:firstLine="284"/>
              <w:rPr>
                <w:sz w:val="20"/>
                <w:szCs w:val="20"/>
              </w:rPr>
            </w:pPr>
            <w:r w:rsidRPr="00AF6305">
              <w:rPr>
                <w:sz w:val="20"/>
                <w:szCs w:val="20"/>
              </w:rPr>
              <w:t xml:space="preserve">Анализ отчетов о ходе реализации </w:t>
            </w:r>
            <w:r w:rsidRPr="00AF6305">
              <w:rPr>
                <w:sz w:val="20"/>
                <w:szCs w:val="20"/>
                <w:lang w:eastAsia="en-US"/>
              </w:rPr>
              <w:t>национального проекта</w:t>
            </w:r>
            <w:r w:rsidRPr="00AF6305">
              <w:rPr>
                <w:sz w:val="20"/>
                <w:szCs w:val="20"/>
              </w:rPr>
              <w:t xml:space="preserve"> «Культура» и входящих в него федеральных и региональных проектов показал, что </w:t>
            </w:r>
            <w:r w:rsidRPr="00122992">
              <w:rPr>
                <w:sz w:val="20"/>
                <w:szCs w:val="20"/>
              </w:rPr>
              <w:t xml:space="preserve">во всех отчетах процент достижения значений показателей указан некорректно. </w:t>
            </w:r>
          </w:p>
          <w:p w:rsidR="00AF6305" w:rsidRPr="00AF6305" w:rsidRDefault="00AF6305" w:rsidP="000C15B1">
            <w:pPr>
              <w:ind w:left="0" w:right="0" w:firstLine="284"/>
              <w:rPr>
                <w:sz w:val="20"/>
                <w:szCs w:val="20"/>
              </w:rPr>
            </w:pPr>
            <w:r w:rsidRPr="00AF6305">
              <w:rPr>
                <w:sz w:val="20"/>
                <w:szCs w:val="20"/>
              </w:rPr>
              <w:t xml:space="preserve">Так, при достижении результата больше установленного планового значения процент достижения указывается 100 % независимо от уровня превышения планового значения (которое может составлять до 4 раз). </w:t>
            </w:r>
          </w:p>
          <w:p w:rsidR="00AF6305" w:rsidRPr="00AF6305" w:rsidRDefault="00AF6305" w:rsidP="000C15B1">
            <w:pPr>
              <w:ind w:left="0" w:right="0" w:firstLine="284"/>
              <w:rPr>
                <w:sz w:val="20"/>
                <w:szCs w:val="20"/>
              </w:rPr>
            </w:pPr>
            <w:r w:rsidRPr="00AF6305">
              <w:rPr>
                <w:sz w:val="20"/>
                <w:szCs w:val="20"/>
              </w:rPr>
              <w:t xml:space="preserve">Анализ исполнения мероприятий по </w:t>
            </w:r>
            <w:r w:rsidRPr="00AF6305">
              <w:rPr>
                <w:sz w:val="20"/>
                <w:szCs w:val="20"/>
                <w:lang w:eastAsia="en-US"/>
              </w:rPr>
              <w:t>федеральному проекту</w:t>
            </w:r>
            <w:r w:rsidR="00122992">
              <w:rPr>
                <w:sz w:val="20"/>
                <w:szCs w:val="20"/>
              </w:rPr>
              <w:t xml:space="preserve"> «Культурная среда»</w:t>
            </w:r>
            <w:r w:rsidRPr="00AF6305">
              <w:rPr>
                <w:sz w:val="20"/>
                <w:szCs w:val="20"/>
              </w:rPr>
              <w:t xml:space="preserve"> показал следующее.</w:t>
            </w:r>
          </w:p>
          <w:p w:rsidR="00AF6305" w:rsidRPr="00AF6305" w:rsidRDefault="00AF6305" w:rsidP="000C15B1">
            <w:pPr>
              <w:ind w:left="0" w:right="0" w:firstLine="284"/>
              <w:rPr>
                <w:sz w:val="20"/>
                <w:szCs w:val="20"/>
              </w:rPr>
            </w:pPr>
            <w:r w:rsidRPr="00AF6305">
              <w:rPr>
                <w:sz w:val="20"/>
                <w:szCs w:val="20"/>
              </w:rPr>
              <w:t>В отчетном периоде значение показателя «Доля граждан Российской Федерации, удовлетворенных качеством предоставления услуг в сфере культуры» составило 49,4 % (плановое значение отсутствует, фактически достигнутые значения – результаты социологического опроса ФСО России, характеризующие информированность и узнаваемость г</w:t>
            </w:r>
            <w:r w:rsidR="009E37C2">
              <w:rPr>
                <w:sz w:val="20"/>
                <w:szCs w:val="20"/>
              </w:rPr>
              <w:t>раждан о национальных проектах).</w:t>
            </w:r>
          </w:p>
          <w:p w:rsidR="00AF6305" w:rsidRPr="00AF6305" w:rsidRDefault="009E37C2" w:rsidP="000C15B1">
            <w:pPr>
              <w:ind w:left="0" w:right="0" w:firstLine="284"/>
              <w:rPr>
                <w:sz w:val="20"/>
                <w:szCs w:val="20"/>
              </w:rPr>
            </w:pPr>
            <w:r>
              <w:rPr>
                <w:sz w:val="20"/>
                <w:szCs w:val="20"/>
              </w:rPr>
              <w:t>П</w:t>
            </w:r>
            <w:r w:rsidR="00AF6305" w:rsidRPr="00AF6305">
              <w:rPr>
                <w:sz w:val="20"/>
                <w:szCs w:val="20"/>
              </w:rPr>
              <w:t>о показателю «Количество созданных (реконструированных) и капитально отремонтированных объектов организации культуры</w:t>
            </w:r>
            <w:r>
              <w:rPr>
                <w:sz w:val="20"/>
                <w:szCs w:val="20"/>
              </w:rPr>
              <w:t>»</w:t>
            </w:r>
            <w:r w:rsidR="00AF6305" w:rsidRPr="00AF6305">
              <w:rPr>
                <w:sz w:val="20"/>
                <w:szCs w:val="20"/>
              </w:rPr>
              <w:t xml:space="preserve"> (нарастающим итогом), (ед.) по данным мониторинга Минкультуры России плановое значение показателя перевыполнено (161,1 %), при плановом значении 723 ед., фактичес</w:t>
            </w:r>
            <w:r>
              <w:rPr>
                <w:sz w:val="20"/>
                <w:szCs w:val="20"/>
              </w:rPr>
              <w:t>ки сложившийся результат – 1165.</w:t>
            </w:r>
          </w:p>
          <w:p w:rsidR="00AF6305" w:rsidRPr="00AF6305" w:rsidRDefault="009E37C2" w:rsidP="000C15B1">
            <w:pPr>
              <w:ind w:left="0" w:right="0" w:firstLine="284"/>
              <w:rPr>
                <w:sz w:val="20"/>
                <w:szCs w:val="20"/>
              </w:rPr>
            </w:pPr>
            <w:r>
              <w:rPr>
                <w:sz w:val="20"/>
                <w:szCs w:val="20"/>
              </w:rPr>
              <w:t>П</w:t>
            </w:r>
            <w:r w:rsidR="00AF6305" w:rsidRPr="00AF6305">
              <w:rPr>
                <w:sz w:val="20"/>
                <w:szCs w:val="20"/>
              </w:rPr>
              <w:t xml:space="preserve">о </w:t>
            </w:r>
            <w:r>
              <w:rPr>
                <w:sz w:val="20"/>
                <w:szCs w:val="20"/>
              </w:rPr>
              <w:t>показателю «К</w:t>
            </w:r>
            <w:r w:rsidR="00AF6305" w:rsidRPr="00AF6305">
              <w:rPr>
                <w:sz w:val="20"/>
                <w:szCs w:val="20"/>
              </w:rPr>
              <w:t>оличеств</w:t>
            </w:r>
            <w:r>
              <w:rPr>
                <w:sz w:val="20"/>
                <w:szCs w:val="20"/>
              </w:rPr>
              <w:t>о</w:t>
            </w:r>
            <w:r w:rsidR="00AF6305" w:rsidRPr="00AF6305">
              <w:rPr>
                <w:sz w:val="20"/>
                <w:szCs w:val="20"/>
              </w:rPr>
              <w:t xml:space="preserve"> организаций культуры, получивших современное оборудование</w:t>
            </w:r>
            <w:r>
              <w:rPr>
                <w:sz w:val="20"/>
                <w:szCs w:val="20"/>
              </w:rPr>
              <w:t>»</w:t>
            </w:r>
            <w:r w:rsidR="00AF6305" w:rsidRPr="00AF6305">
              <w:rPr>
                <w:sz w:val="20"/>
                <w:szCs w:val="20"/>
              </w:rPr>
              <w:t xml:space="preserve"> (ед.) (нарастающим итогом) уровень выполнения составил 105,2 % (при плановом значении 2399 единиц, фактически достигнутое значение – 2523).</w:t>
            </w:r>
          </w:p>
          <w:p w:rsidR="00AF6305" w:rsidRPr="00AF6305" w:rsidRDefault="00AF6305" w:rsidP="000C15B1">
            <w:pPr>
              <w:ind w:left="0" w:right="0" w:firstLine="284"/>
              <w:rPr>
                <w:sz w:val="20"/>
                <w:szCs w:val="20"/>
              </w:rPr>
            </w:pPr>
            <w:r w:rsidRPr="00AF6305">
              <w:rPr>
                <w:sz w:val="20"/>
                <w:szCs w:val="20"/>
              </w:rPr>
              <w:t>Согласно разделу отчета «Сведения о достижении результатов, контрольных точек и мероприятий» по всем мероприятиям (контрольным точкам) отмечается отсутствие отклонений (зеленый индикатор).</w:t>
            </w:r>
          </w:p>
          <w:p w:rsidR="00AF6305" w:rsidRPr="00AF6305" w:rsidRDefault="00AF6305" w:rsidP="000C15B1">
            <w:pPr>
              <w:ind w:left="0" w:right="0" w:firstLine="284"/>
              <w:rPr>
                <w:sz w:val="20"/>
                <w:szCs w:val="20"/>
              </w:rPr>
            </w:pPr>
            <w:proofErr w:type="gramStart"/>
            <w:r w:rsidRPr="00AF6305">
              <w:rPr>
                <w:sz w:val="20"/>
                <w:szCs w:val="20"/>
              </w:rPr>
              <w:t xml:space="preserve">При этом 9 результатов и контрольных точек </w:t>
            </w:r>
            <w:r w:rsidRPr="00BE572B">
              <w:rPr>
                <w:b/>
                <w:sz w:val="20"/>
                <w:szCs w:val="20"/>
              </w:rPr>
              <w:t>выполнены с нарушением сроков</w:t>
            </w:r>
            <w:r w:rsidRPr="00AF6305">
              <w:rPr>
                <w:sz w:val="20"/>
                <w:szCs w:val="20"/>
              </w:rPr>
              <w:t xml:space="preserve">, например, такие как «Утверждено распределение межбюджетных трансфертов по субъектам Российской Федерации (муниципальным образованиям» на 288 дней,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w:t>
            </w:r>
            <w:r w:rsidR="009E37C2">
              <w:rPr>
                <w:sz w:val="20"/>
                <w:szCs w:val="20"/>
              </w:rPr>
              <w:t xml:space="preserve">- </w:t>
            </w:r>
            <w:r w:rsidRPr="00AF6305">
              <w:rPr>
                <w:sz w:val="20"/>
                <w:szCs w:val="20"/>
              </w:rPr>
              <w:t>на 34 дня, «Соглашение о порядке и условиях предоставления субсидии на выполнение государственного (муниципального</w:t>
            </w:r>
            <w:proofErr w:type="gramEnd"/>
            <w:r w:rsidRPr="00AF6305">
              <w:rPr>
                <w:sz w:val="20"/>
                <w:szCs w:val="20"/>
              </w:rPr>
              <w:t xml:space="preserve">) задания на оказание государственных (муниципальных) услуг (выполнение работ) заключено (включено в реестр соглашений)» </w:t>
            </w:r>
            <w:r w:rsidR="009E37C2">
              <w:rPr>
                <w:sz w:val="20"/>
                <w:szCs w:val="20"/>
              </w:rPr>
              <w:t xml:space="preserve">- </w:t>
            </w:r>
            <w:r w:rsidRPr="00AF6305">
              <w:rPr>
                <w:sz w:val="20"/>
                <w:szCs w:val="20"/>
              </w:rPr>
              <w:t>на 26 дней.</w:t>
            </w:r>
          </w:p>
          <w:p w:rsidR="00AF6305" w:rsidRPr="00AF6305" w:rsidRDefault="00AF6305" w:rsidP="000C15B1">
            <w:pPr>
              <w:ind w:left="0" w:right="0" w:firstLine="284"/>
              <w:rPr>
                <w:sz w:val="20"/>
                <w:szCs w:val="20"/>
              </w:rPr>
            </w:pPr>
            <w:r w:rsidRPr="00AF6305">
              <w:rPr>
                <w:sz w:val="20"/>
                <w:szCs w:val="20"/>
              </w:rPr>
              <w:t xml:space="preserve">Анализ исполнения мероприятий по </w:t>
            </w:r>
            <w:r w:rsidRPr="00AF6305">
              <w:rPr>
                <w:sz w:val="20"/>
                <w:szCs w:val="20"/>
                <w:lang w:eastAsia="en-US"/>
              </w:rPr>
              <w:t>федеральному проекту</w:t>
            </w:r>
            <w:r w:rsidRPr="00AF6305">
              <w:rPr>
                <w:sz w:val="20"/>
                <w:szCs w:val="20"/>
              </w:rPr>
              <w:t xml:space="preserve"> «Творческие люди» показал, что в отчетном периоде значение показателя «Количество любительских творческих коллективов, получивших </w:t>
            </w:r>
            <w:proofErr w:type="spellStart"/>
            <w:r w:rsidRPr="00AF6305">
              <w:rPr>
                <w:sz w:val="20"/>
                <w:szCs w:val="20"/>
              </w:rPr>
              <w:t>грантовую</w:t>
            </w:r>
            <w:proofErr w:type="spellEnd"/>
            <w:r w:rsidRPr="00AF6305">
              <w:rPr>
                <w:sz w:val="20"/>
                <w:szCs w:val="20"/>
              </w:rPr>
              <w:t xml:space="preserve"> поддержку (ед.) (нарастающим итогом)» составило 100 % (при плановом значении 20 единиц, фактически достигнутое значение – 20 единиц);</w:t>
            </w:r>
            <w:r w:rsidR="009E37C2">
              <w:rPr>
                <w:sz w:val="20"/>
                <w:szCs w:val="20"/>
              </w:rPr>
              <w:t xml:space="preserve"> </w:t>
            </w:r>
            <w:r w:rsidRPr="00AF6305">
              <w:rPr>
                <w:sz w:val="20"/>
                <w:szCs w:val="20"/>
              </w:rPr>
              <w:t>по показателю «Количество волонтеров, вовлеченных в программу «Волонтеры культуры» (чел.) (нарастающим итогом)» составило 426,9 % (при плановом значении 10 000 единиц, фактически достигнутое значение – 42 690 единиц).</w:t>
            </w:r>
          </w:p>
          <w:p w:rsidR="00AF6305" w:rsidRPr="00AF6305" w:rsidRDefault="00AF6305" w:rsidP="000C15B1">
            <w:pPr>
              <w:ind w:left="0" w:right="0" w:firstLine="284"/>
              <w:rPr>
                <w:sz w:val="20"/>
                <w:szCs w:val="20"/>
              </w:rPr>
            </w:pPr>
            <w:r w:rsidRPr="00AF6305">
              <w:rPr>
                <w:sz w:val="20"/>
                <w:szCs w:val="20"/>
              </w:rPr>
              <w:t xml:space="preserve">Согласно разделу отчета «Сведения о достижении результатов, контрольных точек и </w:t>
            </w:r>
            <w:r w:rsidRPr="00AF6305">
              <w:rPr>
                <w:sz w:val="20"/>
                <w:szCs w:val="20"/>
              </w:rPr>
              <w:lastRenderedPageBreak/>
              <w:t>мероприятий» по всем мероприятиям (контрольным точкам) отмечается отсутствие отклонений (зеленый индикатор).</w:t>
            </w:r>
          </w:p>
          <w:p w:rsidR="00AF6305" w:rsidRPr="00AF6305" w:rsidRDefault="00AF6305" w:rsidP="000C15B1">
            <w:pPr>
              <w:ind w:left="0" w:right="0" w:firstLine="284"/>
              <w:rPr>
                <w:sz w:val="20"/>
                <w:szCs w:val="20"/>
              </w:rPr>
            </w:pPr>
            <w:r w:rsidRPr="00AF6305">
              <w:rPr>
                <w:sz w:val="20"/>
                <w:szCs w:val="20"/>
              </w:rPr>
              <w:t xml:space="preserve">При этом 4 результата и контрольные точки </w:t>
            </w:r>
            <w:r w:rsidRPr="005718EE">
              <w:rPr>
                <w:b/>
                <w:sz w:val="20"/>
                <w:szCs w:val="20"/>
              </w:rPr>
              <w:t>выполнены с нарушением сроков</w:t>
            </w:r>
            <w:r w:rsidRPr="00AF6305">
              <w:rPr>
                <w:sz w:val="20"/>
                <w:szCs w:val="20"/>
              </w:rPr>
              <w:t xml:space="preserve">, из них: «Для оказания услуги (выполнения работы) подготовлено материально-техническое (кадровое) обеспечение» на 54 дня, «Созданы памятные места, связанные с военной историей России» на 26 дней. </w:t>
            </w:r>
          </w:p>
          <w:p w:rsidR="00AF6305" w:rsidRPr="00AF6305" w:rsidRDefault="00AF6305" w:rsidP="000C15B1">
            <w:pPr>
              <w:ind w:left="0" w:right="0" w:firstLine="284"/>
              <w:rPr>
                <w:sz w:val="20"/>
                <w:szCs w:val="20"/>
              </w:rPr>
            </w:pPr>
            <w:r w:rsidRPr="00AF6305">
              <w:rPr>
                <w:sz w:val="20"/>
                <w:szCs w:val="20"/>
              </w:rPr>
              <w:t xml:space="preserve">Анализ исполнения мероприятий по </w:t>
            </w:r>
            <w:r w:rsidRPr="00AF6305">
              <w:rPr>
                <w:sz w:val="20"/>
                <w:szCs w:val="20"/>
                <w:lang w:eastAsia="en-US"/>
              </w:rPr>
              <w:t>федеральному проекту</w:t>
            </w:r>
            <w:r w:rsidRPr="00AF6305">
              <w:rPr>
                <w:sz w:val="20"/>
                <w:szCs w:val="20"/>
              </w:rPr>
              <w:t xml:space="preserve"> «Цифровая культура» показал, что в отчетном периоде значение показателя «Количество онлайн-трансляций мероприятий, размещаемых на портале «</w:t>
            </w:r>
            <w:proofErr w:type="spellStart"/>
            <w:r w:rsidRPr="00AF6305">
              <w:rPr>
                <w:sz w:val="20"/>
                <w:szCs w:val="20"/>
              </w:rPr>
              <w:t>Культура</w:t>
            </w:r>
            <w:proofErr w:type="gramStart"/>
            <w:r w:rsidRPr="00AF6305">
              <w:rPr>
                <w:sz w:val="20"/>
                <w:szCs w:val="20"/>
              </w:rPr>
              <w:t>.Р</w:t>
            </w:r>
            <w:proofErr w:type="gramEnd"/>
            <w:r w:rsidRPr="00AF6305">
              <w:rPr>
                <w:sz w:val="20"/>
                <w:szCs w:val="20"/>
              </w:rPr>
              <w:t>Ф</w:t>
            </w:r>
            <w:proofErr w:type="spellEnd"/>
            <w:r w:rsidRPr="00AF6305">
              <w:rPr>
                <w:sz w:val="20"/>
                <w:szCs w:val="20"/>
              </w:rPr>
              <w:t>» (ед.)» составило 137 % (при плановом значении 100 единиц, фактически достигнутое значение – 137 единиц);</w:t>
            </w:r>
            <w:r w:rsidR="009E37C2">
              <w:rPr>
                <w:sz w:val="20"/>
                <w:szCs w:val="20"/>
              </w:rPr>
              <w:t xml:space="preserve"> </w:t>
            </w:r>
            <w:r w:rsidRPr="00AF6305">
              <w:rPr>
                <w:sz w:val="20"/>
                <w:szCs w:val="20"/>
              </w:rPr>
              <w:t>по показателю «Количество созданных виртуальных концертных залов (нарастающим итогом) (ед.)» составило 100 % (при плановом значении 403 единиц, фактически достигнутое значение – 403 единиц);</w:t>
            </w:r>
            <w:r w:rsidR="009E37C2">
              <w:rPr>
                <w:sz w:val="20"/>
                <w:szCs w:val="20"/>
              </w:rPr>
              <w:t xml:space="preserve"> </w:t>
            </w:r>
            <w:r w:rsidRPr="00AF6305">
              <w:rPr>
                <w:sz w:val="20"/>
                <w:szCs w:val="20"/>
              </w:rPr>
              <w:t xml:space="preserve">по показателю «Охват молодежной аудитории контентом, </w:t>
            </w:r>
            <w:proofErr w:type="gramStart"/>
            <w:r w:rsidRPr="00AF6305">
              <w:rPr>
                <w:sz w:val="20"/>
                <w:szCs w:val="20"/>
              </w:rPr>
              <w:t>направленным</w:t>
            </w:r>
            <w:proofErr w:type="gramEnd"/>
            <w:r w:rsidRPr="00AF6305">
              <w:rPr>
                <w:sz w:val="20"/>
                <w:szCs w:val="20"/>
              </w:rPr>
              <w:t xml:space="preserve"> на укрепление гражданской идентичности и духовно-нравственных ценностей (ед.)» составило 217,9 % (при плановом значении 251 единиц, фактически достигнутое значение – 547 единиц).</w:t>
            </w:r>
          </w:p>
          <w:p w:rsidR="00AF6305" w:rsidRPr="00AF6305" w:rsidRDefault="00AF6305" w:rsidP="000C15B1">
            <w:pPr>
              <w:ind w:left="0" w:right="0" w:firstLine="284"/>
              <w:rPr>
                <w:sz w:val="20"/>
                <w:szCs w:val="20"/>
              </w:rPr>
            </w:pPr>
            <w:r w:rsidRPr="00AF6305">
              <w:rPr>
                <w:sz w:val="20"/>
                <w:szCs w:val="20"/>
              </w:rPr>
              <w:t>Согласно разделу отчета «Сведения о достижении результатов, контрольных точек и мероприятий» по всем мероприятиям (контрольным точкам) отмечается отсутствие отклонений (зеленый индикатор).</w:t>
            </w:r>
          </w:p>
          <w:p w:rsidR="00AF6305" w:rsidRPr="00AF6305" w:rsidRDefault="00AF6305" w:rsidP="000C15B1">
            <w:pPr>
              <w:ind w:left="0" w:right="0" w:firstLine="284"/>
              <w:rPr>
                <w:sz w:val="20"/>
                <w:szCs w:val="20"/>
              </w:rPr>
            </w:pPr>
            <w:r w:rsidRPr="00AF6305">
              <w:rPr>
                <w:sz w:val="20"/>
                <w:szCs w:val="20"/>
              </w:rPr>
              <w:t xml:space="preserve">При этом 6 результатов и контрольных точек </w:t>
            </w:r>
            <w:r w:rsidRPr="005718EE">
              <w:rPr>
                <w:b/>
                <w:sz w:val="20"/>
                <w:szCs w:val="20"/>
              </w:rPr>
              <w:t>выполнены с нарушением сроков</w:t>
            </w:r>
            <w:r w:rsidRPr="00AF6305">
              <w:rPr>
                <w:sz w:val="20"/>
                <w:szCs w:val="20"/>
              </w:rPr>
              <w:t>, например, такие как «Закупка включена в план закупок» на 76 дней, «Сведения о государственном (муниципальном) контракте внесены в реестр контрактов, заключенных заказчиками по результатам закупок» на 36 дней</w:t>
            </w:r>
          </w:p>
        </w:tc>
      </w:tr>
      <w:tr w:rsidR="00AF6305" w:rsidTr="00D46E03">
        <w:tc>
          <w:tcPr>
            <w:tcW w:w="568" w:type="dxa"/>
          </w:tcPr>
          <w:p w:rsidR="00AF6305" w:rsidRPr="00AF6305" w:rsidRDefault="00AF6305" w:rsidP="000C15B1">
            <w:pPr>
              <w:overflowPunct/>
              <w:autoSpaceDE/>
              <w:autoSpaceDN/>
              <w:adjustRightInd/>
              <w:ind w:left="0" w:right="0" w:firstLine="0"/>
              <w:jc w:val="center"/>
              <w:textAlignment w:val="auto"/>
              <w:rPr>
                <w:rFonts w:eastAsia="Times New Roman"/>
                <w:b/>
                <w:sz w:val="20"/>
                <w:szCs w:val="20"/>
              </w:rPr>
            </w:pPr>
            <w:r>
              <w:rPr>
                <w:rFonts w:eastAsia="Times New Roman"/>
                <w:b/>
                <w:sz w:val="20"/>
                <w:szCs w:val="20"/>
              </w:rPr>
              <w:lastRenderedPageBreak/>
              <w:t>10</w:t>
            </w:r>
            <w:r w:rsidRPr="00AF6305">
              <w:rPr>
                <w:rFonts w:eastAsia="Times New Roman"/>
                <w:b/>
                <w:sz w:val="20"/>
                <w:szCs w:val="20"/>
              </w:rPr>
              <w:t xml:space="preserve">. </w:t>
            </w:r>
          </w:p>
        </w:tc>
        <w:tc>
          <w:tcPr>
            <w:tcW w:w="2268" w:type="dxa"/>
          </w:tcPr>
          <w:p w:rsidR="00AF6305" w:rsidRPr="00AF6305" w:rsidRDefault="00AF6305" w:rsidP="000C15B1">
            <w:pPr>
              <w:ind w:left="0" w:right="0" w:firstLine="0"/>
              <w:rPr>
                <w:b/>
                <w:sz w:val="20"/>
                <w:szCs w:val="20"/>
              </w:rPr>
            </w:pPr>
            <w:r w:rsidRPr="00AF6305">
              <w:rPr>
                <w:b/>
                <w:sz w:val="20"/>
                <w:szCs w:val="20"/>
              </w:rPr>
              <w:t>Малое и среднее предпринимательство и поддержка индивидуальной предпринимательской инициативы</w:t>
            </w:r>
          </w:p>
        </w:tc>
        <w:tc>
          <w:tcPr>
            <w:tcW w:w="7796" w:type="dxa"/>
          </w:tcPr>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В рамках реализации </w:t>
            </w:r>
            <w:r w:rsidRPr="00AF6305">
              <w:rPr>
                <w:b/>
                <w:sz w:val="20"/>
                <w:szCs w:val="20"/>
                <w:lang w:eastAsia="en-US"/>
              </w:rPr>
              <w:t xml:space="preserve">национального проекта «Малое и среднее предпринимательство и поддержка индивидуальной предпринимательской инициативы» </w:t>
            </w:r>
            <w:r w:rsidRPr="00AF6305">
              <w:rPr>
                <w:sz w:val="20"/>
                <w:szCs w:val="20"/>
                <w:lang w:eastAsia="en-US"/>
              </w:rPr>
              <w:t>расходы федерального бюджета осуществлялись в рамках федеральных проектов «Финансовая поддержка МСП», «Акселерация», «Поддержка МФХ и развития кооперации», «Популяризация предпринимательства», уровень исполнения бюджетных ассигнований составил 93,1 % показателя сводной росписи с изменениями.</w:t>
            </w:r>
            <w:r w:rsidRPr="00AF6305">
              <w:rPr>
                <w:bCs/>
                <w:sz w:val="20"/>
                <w:szCs w:val="20"/>
                <w:lang w:eastAsia="en-US"/>
              </w:rPr>
              <w:t xml:space="preserve"> По итогам 2019 года бюджетные ассигнования в рамках указанного национального проекта не исполнены в сумме 4 158,1 млн. рублей, или 6,9 %.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В 2019 году финансовое обеспечение реализации федерального проекта «Условия для бизнеса» не предусмотрено.</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Расходы по федеральному проекту «Финансовая поддержка МСП» исполнены на уровне 91,1 % показателя сводной росписи с изменениями, по федеральным проектам «Акселерация», «Популяризации предпринимательства» и «Поддержка МФХ и развития кооперации» – 96,6 %, 68,4 % и 99,6 % соответственно.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Исполнение в основном обусловлено предоставлением из федерального бюджета межбюджетных трансфертов бюджетам субъектов Российской Федерации. По федеральному проекту «Финансовая поддержка МСП» межбюджетные трансферты предусмотрены сводной росписью с изменениями в сумме 15 168,7 млн. рублей и составляют 61,5 % всех расходов на его реализацию. Для федеральных проектов «Акселерация», «Поддержка МФХ и развития кооперации» и «Популяризации предпринимательства» доля межбюджетных трансфертов бюджетам субъектов Российской Федерации составляет 75,5 % (18 532,5 млн. рублей), 100 % (5 353,9 млн. рублей) и 51,2 % (951,9 млн. рублей) соответственно.</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По состоянию на 1 января 2020 года исполнение расходов на предоставление межбюджетных трансфертов в рамках реализации указанного национального проекта составило 40 007,0 млн. рублей, или 97,8 % показателя сводной росписи с изменениями.</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По отдельным направлениям расходов сложился </w:t>
            </w:r>
            <w:r w:rsidRPr="00C1653C">
              <w:rPr>
                <w:b/>
                <w:sz w:val="20"/>
                <w:szCs w:val="20"/>
                <w:lang w:eastAsia="en-US"/>
              </w:rPr>
              <w:t>низкий уровень исполнения</w:t>
            </w:r>
            <w:r w:rsidRPr="00AF6305">
              <w:rPr>
                <w:sz w:val="20"/>
                <w:szCs w:val="20"/>
                <w:lang w:eastAsia="en-US"/>
              </w:rPr>
              <w:t xml:space="preserve">. </w:t>
            </w:r>
          </w:p>
          <w:p w:rsidR="00AF6305" w:rsidRPr="00AF6305" w:rsidRDefault="00AF6305" w:rsidP="000C15B1">
            <w:pPr>
              <w:overflowPunct/>
              <w:autoSpaceDE/>
              <w:autoSpaceDN/>
              <w:adjustRightInd/>
              <w:ind w:left="0" w:right="0" w:firstLine="284"/>
              <w:textAlignment w:val="auto"/>
              <w:rPr>
                <w:sz w:val="20"/>
                <w:szCs w:val="20"/>
                <w:lang w:eastAsia="en-US"/>
              </w:rPr>
            </w:pPr>
            <w:proofErr w:type="gramStart"/>
            <w:r w:rsidRPr="00AF6305">
              <w:rPr>
                <w:sz w:val="20"/>
                <w:szCs w:val="20"/>
                <w:lang w:eastAsia="en-US"/>
              </w:rPr>
              <w:t>Так, в рамках федерального проекта «Финансовая поддержка МСП» государственная поддержка российских кредитных организаций в целях возмещения недополученных ими доходов по кредитам, выданным субъектам МСП по льготной ставке осуществляется в соответствии с постановлением Правительства Российской Федерации от 30 декабря 2018 г. № 1764 (КБК 139 04 12 15 2 I4 60302 800) (далее - программа льготного кредитования).</w:t>
            </w:r>
            <w:proofErr w:type="gramEnd"/>
            <w:r w:rsidRPr="00AF6305">
              <w:rPr>
                <w:sz w:val="20"/>
                <w:szCs w:val="20"/>
                <w:lang w:eastAsia="en-US"/>
              </w:rPr>
              <w:t xml:space="preserve"> По состоянию на 1 января 2020 года исполнение расходов по программе льготного кредитования составило 1 853,0 млн. рублей или 46,5 % показателя сводной росписи с изменениями.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Следует отметить, что по состоянию на 1 января 2020 года в рамках федерального </w:t>
            </w:r>
            <w:r w:rsidRPr="00AF6305">
              <w:rPr>
                <w:sz w:val="20"/>
                <w:szCs w:val="20"/>
                <w:lang w:eastAsia="en-US"/>
              </w:rPr>
              <w:lastRenderedPageBreak/>
              <w:t>проекта «Финансовая поддержка МСП» не осуществлялось исполнение бюджетных ассигнований по 3 направлениям, на реализацию которых в 2019 году Федеральным законом № 459-ФЗ (с изменениями) предусмотрено 1 280,0 млн. рублей (4,6 % предусмотренных расходов).</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В рамках федерального проекта «Популяризация предпринимательства» 3 из 4 направлений расходов исполнены на уровне менее 60 % показателя сводной росписи с изменениями:</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проведение мероприятий, направленных на популяризацию предпринимательства (ЦСР 15 2 I8 60334) – 28,0 млн. рублей</w:t>
            </w:r>
            <w:r w:rsidR="009470B2">
              <w:rPr>
                <w:sz w:val="20"/>
                <w:szCs w:val="20"/>
                <w:lang w:eastAsia="en-US"/>
              </w:rPr>
              <w:t>,</w:t>
            </w:r>
            <w:r w:rsidRPr="00AF6305">
              <w:rPr>
                <w:sz w:val="20"/>
                <w:szCs w:val="20"/>
                <w:lang w:eastAsia="en-US"/>
              </w:rPr>
              <w:t xml:space="preserve"> или 56 %;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 (ЦСР 15 2 I8 60453) - 797,9 млн. рублей</w:t>
            </w:r>
            <w:r w:rsidR="009470B2">
              <w:rPr>
                <w:sz w:val="20"/>
                <w:szCs w:val="20"/>
                <w:lang w:eastAsia="en-US"/>
              </w:rPr>
              <w:t>,</w:t>
            </w:r>
            <w:r w:rsidRPr="00AF6305">
              <w:rPr>
                <w:sz w:val="20"/>
                <w:szCs w:val="20"/>
                <w:lang w:eastAsia="en-US"/>
              </w:rPr>
              <w:t xml:space="preserve"> или 52,3 %;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подготовка тренеров для </w:t>
            </w:r>
            <w:proofErr w:type="gramStart"/>
            <w:r w:rsidRPr="00AF6305">
              <w:rPr>
                <w:sz w:val="20"/>
                <w:szCs w:val="20"/>
                <w:lang w:eastAsia="en-US"/>
              </w:rPr>
              <w:t>обучения целевых групп по</w:t>
            </w:r>
            <w:proofErr w:type="gramEnd"/>
            <w:r w:rsidRPr="00AF6305">
              <w:rPr>
                <w:sz w:val="20"/>
                <w:szCs w:val="20"/>
                <w:lang w:eastAsia="en-US"/>
              </w:rPr>
              <w:t xml:space="preserve"> утвержденным методикам (ЦСР 15 2 I8 60454) - 83,0 млн. рублей</w:t>
            </w:r>
            <w:r w:rsidR="009470B2">
              <w:rPr>
                <w:sz w:val="20"/>
                <w:szCs w:val="20"/>
                <w:lang w:eastAsia="en-US"/>
              </w:rPr>
              <w:t>,</w:t>
            </w:r>
            <w:r w:rsidRPr="00AF6305">
              <w:rPr>
                <w:sz w:val="20"/>
                <w:szCs w:val="20"/>
                <w:lang w:eastAsia="en-US"/>
              </w:rPr>
              <w:t xml:space="preserve"> или 44,6 %.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Бюджетные ассигнования, предусмотренные на государственную поддержку МСП в субъектах Российской Федерации, исполнены </w:t>
            </w:r>
            <w:r w:rsidR="009470B2">
              <w:rPr>
                <w:sz w:val="20"/>
                <w:szCs w:val="20"/>
                <w:lang w:eastAsia="en-US"/>
              </w:rPr>
              <w:t>в объеме</w:t>
            </w:r>
            <w:r w:rsidRPr="00AF6305">
              <w:rPr>
                <w:sz w:val="20"/>
                <w:szCs w:val="20"/>
                <w:lang w:eastAsia="en-US"/>
              </w:rPr>
              <w:t xml:space="preserve"> 951,9 млн. рублей, или 99,2 % показателя сводной росписи с изменениями.</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В соответствии с Федеральным планом статистических работ, утвержденным распоряжением Правительства Российской Федерации от 6 мая 2008 г. № 671-р</w:t>
            </w:r>
            <w:r w:rsidR="009470B2">
              <w:rPr>
                <w:sz w:val="20"/>
                <w:szCs w:val="20"/>
                <w:lang w:eastAsia="en-US"/>
              </w:rPr>
              <w:t>,</w:t>
            </w:r>
            <w:r w:rsidRPr="00AF6305">
              <w:rPr>
                <w:sz w:val="20"/>
                <w:szCs w:val="20"/>
                <w:lang w:eastAsia="en-US"/>
              </w:rPr>
              <w:t xml:space="preserve"> официальная статистическая информация для оценки реализации национального проекта «Малое и среднее предпринимательство и поддержка индивидуальной предпринимательской инициативы» (целевые показатели) публикуется со значительным временным лагом, а именно: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по показателю «численность занятых в сфере МСП, включая индивидуальных предпринимателей, млн. человек» - 15 апреля года, следующего за отчетным (субъект официального статистического учета – Минэкономразвития России);</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по показателю «доля экспорта субъектов МСП, включая индивидуальных предпринимателей, в общем объеме </w:t>
            </w:r>
            <w:proofErr w:type="spellStart"/>
            <w:r w:rsidRPr="00AF6305">
              <w:rPr>
                <w:sz w:val="20"/>
                <w:szCs w:val="20"/>
                <w:lang w:eastAsia="en-US"/>
              </w:rPr>
              <w:t>несырьевого</w:t>
            </w:r>
            <w:proofErr w:type="spellEnd"/>
            <w:r w:rsidRPr="00AF6305">
              <w:rPr>
                <w:sz w:val="20"/>
                <w:szCs w:val="20"/>
                <w:lang w:eastAsia="en-US"/>
              </w:rPr>
              <w:t xml:space="preserve"> экспорта, %» – 1 мая года, следующего за </w:t>
            </w:r>
            <w:proofErr w:type="gramStart"/>
            <w:r w:rsidRPr="00AF6305">
              <w:rPr>
                <w:sz w:val="20"/>
                <w:szCs w:val="20"/>
                <w:lang w:eastAsia="en-US"/>
              </w:rPr>
              <w:t>отчетным</w:t>
            </w:r>
            <w:proofErr w:type="gramEnd"/>
            <w:r w:rsidRPr="00AF6305">
              <w:rPr>
                <w:sz w:val="20"/>
                <w:szCs w:val="20"/>
                <w:lang w:eastAsia="en-US"/>
              </w:rPr>
              <w:t xml:space="preserve"> (субъект официального статистического учета – ФТС России);</w:t>
            </w:r>
          </w:p>
          <w:p w:rsidR="00AF6305" w:rsidRPr="00AF6305" w:rsidRDefault="00AF6305" w:rsidP="000C15B1">
            <w:pPr>
              <w:overflowPunct/>
              <w:autoSpaceDE/>
              <w:autoSpaceDN/>
              <w:adjustRightInd/>
              <w:ind w:left="0" w:right="0" w:firstLine="284"/>
              <w:textAlignment w:val="auto"/>
              <w:rPr>
                <w:sz w:val="20"/>
                <w:szCs w:val="20"/>
                <w:lang w:eastAsia="en-US"/>
              </w:rPr>
            </w:pPr>
            <w:proofErr w:type="gramStart"/>
            <w:r w:rsidRPr="00AF6305">
              <w:rPr>
                <w:sz w:val="20"/>
                <w:szCs w:val="20"/>
                <w:lang w:eastAsia="en-US"/>
              </w:rPr>
              <w:t xml:space="preserve">по показателю «доля МСП в ВВП, %» – 31 декабря года, следующего за отчетным (субъекты официального статистического учета – Росстат, ФНС России). </w:t>
            </w:r>
            <w:proofErr w:type="gramEnd"/>
          </w:p>
          <w:p w:rsidR="00AF6305" w:rsidRPr="009470B2"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Таким образом, </w:t>
            </w:r>
            <w:r w:rsidRPr="009470B2">
              <w:rPr>
                <w:sz w:val="20"/>
                <w:szCs w:val="20"/>
                <w:lang w:eastAsia="en-US"/>
              </w:rPr>
              <w:t>отсутствует возможность формирования годовой отчетности о ходе реализации указанного национального проекта в полном объеме и, соответственно, о фактическом достижении его целевых показателей.</w:t>
            </w:r>
          </w:p>
          <w:p w:rsidR="00AF6305" w:rsidRPr="009470B2"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Как показал анализ «Моделей функционирования результатов и достижения показателей федерального проекта» (приложение к паспортам соответствующих федеральных проектов), </w:t>
            </w:r>
            <w:r w:rsidRPr="00C1653C">
              <w:rPr>
                <w:b/>
                <w:sz w:val="20"/>
                <w:szCs w:val="20"/>
                <w:lang w:eastAsia="en-US"/>
              </w:rPr>
              <w:t>ряд результатов</w:t>
            </w:r>
            <w:r w:rsidRPr="00AF6305">
              <w:rPr>
                <w:sz w:val="20"/>
                <w:szCs w:val="20"/>
                <w:lang w:eastAsia="en-US"/>
              </w:rPr>
              <w:t xml:space="preserve"> преимущественно федеральных проектов «Условия для бизнеса» и «Акселерация», по данным Минэкономразвития России, </w:t>
            </w:r>
            <w:r w:rsidRPr="00C1653C">
              <w:rPr>
                <w:b/>
                <w:sz w:val="20"/>
                <w:szCs w:val="20"/>
                <w:lang w:eastAsia="en-US"/>
              </w:rPr>
              <w:t xml:space="preserve">не оказывают влияние на достижение ни одного целевого показателя </w:t>
            </w:r>
            <w:r w:rsidRPr="009470B2">
              <w:rPr>
                <w:sz w:val="20"/>
                <w:szCs w:val="20"/>
                <w:lang w:eastAsia="en-US"/>
              </w:rPr>
              <w:t xml:space="preserve">указанного национального проекта. </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Таким образом, сохраняется вероятность реализации мероприятий, не оказывающих влияния на достижение целевых показателей и неэффективного расходования бюджетных средств.</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По итогам 2019 года </w:t>
            </w:r>
            <w:r w:rsidRPr="009470B2">
              <w:rPr>
                <w:sz w:val="20"/>
                <w:szCs w:val="20"/>
                <w:lang w:eastAsia="en-US"/>
              </w:rPr>
              <w:t>существуют риски невыполнения плановых значений целевых показателей</w:t>
            </w:r>
            <w:r w:rsidRPr="00AF6305">
              <w:rPr>
                <w:sz w:val="20"/>
                <w:szCs w:val="20"/>
                <w:lang w:eastAsia="en-US"/>
              </w:rPr>
              <w:t xml:space="preserve"> национального проекта.</w:t>
            </w:r>
          </w:p>
          <w:p w:rsidR="00AF6305" w:rsidRPr="00AF6305" w:rsidRDefault="00AF6305" w:rsidP="000C15B1">
            <w:pPr>
              <w:overflowPunct/>
              <w:autoSpaceDE/>
              <w:autoSpaceDN/>
              <w:adjustRightInd/>
              <w:ind w:left="0" w:right="0" w:firstLine="284"/>
              <w:textAlignment w:val="auto"/>
              <w:rPr>
                <w:sz w:val="20"/>
                <w:szCs w:val="20"/>
                <w:lang w:eastAsia="en-US"/>
              </w:rPr>
            </w:pPr>
            <w:r w:rsidRPr="00AF6305">
              <w:rPr>
                <w:sz w:val="20"/>
                <w:szCs w:val="20"/>
                <w:lang w:eastAsia="en-US"/>
              </w:rPr>
              <w:t xml:space="preserve">Информация по целевым показателям национального проекта «Малое и среднее предпринимательство и поддержка индивидуальной предпринимательской инициативы» «Доля МСП в ВВП» и «Численность занятых в сфере МСП, включая индивидуальных предпринимателей» в рамках статистического наблюдения формируется с годовой периодичностью и существенным временным лагом и не может использоваться для мониторинга в течение года. При этом какие-либо показатели, </w:t>
            </w:r>
            <w:r w:rsidRPr="009470B2">
              <w:rPr>
                <w:b/>
                <w:sz w:val="20"/>
                <w:szCs w:val="20"/>
                <w:lang w:eastAsia="en-US"/>
              </w:rPr>
              <w:t xml:space="preserve">методики расчетов или </w:t>
            </w:r>
            <w:proofErr w:type="gramStart"/>
            <w:r w:rsidRPr="009470B2">
              <w:rPr>
                <w:b/>
                <w:sz w:val="20"/>
                <w:szCs w:val="20"/>
                <w:lang w:eastAsia="en-US"/>
              </w:rPr>
              <w:t>методические подходы</w:t>
            </w:r>
            <w:proofErr w:type="gramEnd"/>
            <w:r w:rsidRPr="009470B2">
              <w:rPr>
                <w:b/>
                <w:sz w:val="20"/>
                <w:szCs w:val="20"/>
                <w:lang w:eastAsia="en-US"/>
              </w:rPr>
              <w:t xml:space="preserve"> к оценке</w:t>
            </w:r>
            <w:r w:rsidRPr="00AF6305">
              <w:rPr>
                <w:sz w:val="20"/>
                <w:szCs w:val="20"/>
                <w:lang w:eastAsia="en-US"/>
              </w:rPr>
              <w:t xml:space="preserve"> динамики достижения целевых показателей указанного национального проекта и развития сектора МСП </w:t>
            </w:r>
            <w:r w:rsidRPr="009470B2">
              <w:rPr>
                <w:b/>
                <w:sz w:val="20"/>
                <w:szCs w:val="20"/>
                <w:lang w:eastAsia="en-US"/>
              </w:rPr>
              <w:t>отсутствуют</w:t>
            </w:r>
          </w:p>
        </w:tc>
      </w:tr>
      <w:tr w:rsidR="00AF6305" w:rsidTr="00D46E03">
        <w:tc>
          <w:tcPr>
            <w:tcW w:w="568" w:type="dxa"/>
          </w:tcPr>
          <w:p w:rsidR="00AF6305" w:rsidRPr="00AF6305" w:rsidRDefault="00AF6305" w:rsidP="000C15B1">
            <w:pPr>
              <w:ind w:left="0" w:right="0" w:firstLine="0"/>
              <w:rPr>
                <w:b/>
                <w:sz w:val="20"/>
                <w:szCs w:val="20"/>
              </w:rPr>
            </w:pPr>
            <w:r>
              <w:rPr>
                <w:b/>
                <w:sz w:val="20"/>
                <w:szCs w:val="20"/>
              </w:rPr>
              <w:lastRenderedPageBreak/>
              <w:t>11</w:t>
            </w:r>
            <w:r w:rsidRPr="00AF6305">
              <w:rPr>
                <w:b/>
                <w:sz w:val="20"/>
                <w:szCs w:val="20"/>
              </w:rPr>
              <w:t>.</w:t>
            </w:r>
          </w:p>
        </w:tc>
        <w:tc>
          <w:tcPr>
            <w:tcW w:w="2268" w:type="dxa"/>
          </w:tcPr>
          <w:p w:rsidR="00AF6305" w:rsidRPr="00AF6305" w:rsidRDefault="00AF6305" w:rsidP="000C15B1">
            <w:pPr>
              <w:ind w:left="0" w:right="0" w:firstLine="0"/>
              <w:rPr>
                <w:b/>
                <w:sz w:val="20"/>
                <w:szCs w:val="20"/>
                <w:lang w:eastAsia="en-US"/>
              </w:rPr>
            </w:pPr>
            <w:r w:rsidRPr="00AF6305">
              <w:rPr>
                <w:b/>
                <w:sz w:val="20"/>
                <w:szCs w:val="20"/>
                <w:lang w:eastAsia="en-US"/>
              </w:rPr>
              <w:t>Международная кооперация и экспорт</w:t>
            </w:r>
          </w:p>
          <w:p w:rsidR="00AF6305" w:rsidRPr="00AF6305" w:rsidRDefault="00AF6305" w:rsidP="000C15B1">
            <w:pPr>
              <w:ind w:left="0" w:right="0" w:firstLine="0"/>
              <w:rPr>
                <w:b/>
                <w:sz w:val="20"/>
                <w:szCs w:val="20"/>
                <w:lang w:eastAsia="en-US"/>
              </w:rPr>
            </w:pPr>
          </w:p>
          <w:p w:rsidR="00AF6305" w:rsidRPr="00AF6305" w:rsidRDefault="00AF6305" w:rsidP="000C15B1">
            <w:pPr>
              <w:ind w:left="0" w:right="0" w:firstLine="0"/>
              <w:rPr>
                <w:b/>
                <w:sz w:val="20"/>
                <w:szCs w:val="20"/>
                <w:lang w:eastAsia="en-US"/>
              </w:rPr>
            </w:pPr>
          </w:p>
          <w:p w:rsidR="00AF6305" w:rsidRPr="00AF6305" w:rsidRDefault="00AF6305" w:rsidP="000C15B1">
            <w:pPr>
              <w:ind w:left="0" w:right="0" w:firstLine="0"/>
              <w:rPr>
                <w:b/>
                <w:sz w:val="20"/>
                <w:szCs w:val="20"/>
                <w:lang w:eastAsia="en-US"/>
              </w:rPr>
            </w:pPr>
          </w:p>
        </w:tc>
        <w:tc>
          <w:tcPr>
            <w:tcW w:w="7796" w:type="dxa"/>
          </w:tcPr>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lastRenderedPageBreak/>
              <w:t xml:space="preserve">В рамках реализации </w:t>
            </w:r>
            <w:r w:rsidRPr="00AF6305">
              <w:rPr>
                <w:b/>
                <w:sz w:val="20"/>
                <w:szCs w:val="20"/>
                <w:lang w:eastAsia="en-US"/>
              </w:rPr>
              <w:t xml:space="preserve">национального проекта «Международная кооперация и экспорт» </w:t>
            </w:r>
            <w:r w:rsidRPr="00AF6305">
              <w:rPr>
                <w:sz w:val="20"/>
                <w:szCs w:val="20"/>
                <w:lang w:eastAsia="en-US"/>
              </w:rPr>
              <w:t>уровень исполнения бюджетных ассигнований составил 8</w:t>
            </w:r>
            <w:r w:rsidR="00952237">
              <w:rPr>
                <w:sz w:val="20"/>
                <w:szCs w:val="20"/>
                <w:lang w:eastAsia="en-US"/>
              </w:rPr>
              <w:t>9</w:t>
            </w:r>
            <w:r w:rsidRPr="00AF6305">
              <w:rPr>
                <w:sz w:val="20"/>
                <w:szCs w:val="20"/>
                <w:lang w:eastAsia="en-US"/>
              </w:rPr>
              <w:t>,1 % показателя сводной росписи с изменениями.</w:t>
            </w:r>
            <w:r w:rsidRPr="00AF6305">
              <w:rPr>
                <w:bCs/>
                <w:sz w:val="20"/>
                <w:szCs w:val="20"/>
                <w:lang w:eastAsia="en-US"/>
              </w:rPr>
              <w:t xml:space="preserve"> По итогам 2019 года бюджетные ассигнования в рамках указанного национального проекта не исполнены в сумме 9 556,2 млн. рублей, </w:t>
            </w:r>
            <w:r w:rsidRPr="00AF6305">
              <w:rPr>
                <w:bCs/>
                <w:sz w:val="20"/>
                <w:szCs w:val="20"/>
                <w:lang w:eastAsia="en-US"/>
              </w:rPr>
              <w:lastRenderedPageBreak/>
              <w:t>или 10,9 %.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Бюджетные ассигнования на реализацию национального проекта предусмотрены Федеральным законом № 459-ФЗ (с изменениями) в объеме 86 224,6 млн. рублей, которые сводной бюджетной росписью увеличены за счет резервного фонда Правительства Российской Федерации на 1 430,0 млн. рублей, или на 1,7 %, и составили 87 654,6 млн. рублей. Финансовое обеспечение национального проекта, предусмотренное его паспортом, составляет 85 626,21 млн. рублей (из них межбюджетные трансферты 2 041,8 млн. рублей) и </w:t>
            </w:r>
            <w:r w:rsidRPr="00D95B07">
              <w:rPr>
                <w:sz w:val="20"/>
                <w:szCs w:val="20"/>
                <w:lang w:eastAsia="en-US"/>
              </w:rPr>
              <w:t>не соответствует объему финансирования, отраженному в отчете о реализации национального проекта</w:t>
            </w:r>
            <w:r w:rsidRPr="00AF6305">
              <w:rPr>
                <w:sz w:val="20"/>
                <w:szCs w:val="20"/>
                <w:lang w:eastAsia="en-US"/>
              </w:rPr>
              <w:t>, объем которого составляет 82 785,19 млн. рублей.</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Общий объем заблокированных лимитов бюджетных обязательств сократился с 10 929,3 млн. рублей (на 1 октября 2019 года) до 4,0 млн. рублей и сложился по федеральному проекту «Логистика международной торговли».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По состоянию на 1 января 2020 года кассовое исполнение расходов по федеральному проекту «Промышленный экспорт» составило (89,9 % показателя сводной росписи с изменениями), по федеральному проекту «Экспорт продукции АПК» - 95,5 %, по федеральному проекту «Логистика международной торговли» - 87,3 %, по федеральному проекту «Экспорт услуг» - 44,1 %, по федеральному проекту «Системные меры» - 62,3 %.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В рамках указанного национального проекта </w:t>
            </w:r>
            <w:r w:rsidRPr="00D95B07">
              <w:rPr>
                <w:b/>
                <w:sz w:val="20"/>
                <w:szCs w:val="20"/>
                <w:lang w:eastAsia="en-US"/>
              </w:rPr>
              <w:t>на низком уровне исполнены расходы</w:t>
            </w:r>
            <w:r w:rsidRPr="00AF6305">
              <w:rPr>
                <w:sz w:val="20"/>
                <w:szCs w:val="20"/>
                <w:lang w:eastAsia="en-US"/>
              </w:rPr>
              <w:t xml:space="preserve"> по Минэкономразвития России (51,7 %), и Ростуризму (64 %).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Реализация национального проекта и федеральных проектов, входящих в его структуру, характеризуется формированием значительного количества запросов на изменение паспортов, предусматривающих корректировку показателей и результатов, а также перераспределение их финансового обеспечения.</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Так, за счет перераспределения бюджетных ассигнований между федеральными проектами в пределах национального проекта сокращены объемы финансирования федерального проекта «Промышленный экспорт» с 40 118,69 млн. рублей до 38 676,69 млн. рублей (на 3,6 %), а также федерального проекта «Логистика международной торговли» с 2 407,1 млн. рублей до 660,7 млн. рублей (</w:t>
            </w:r>
            <w:proofErr w:type="gramStart"/>
            <w:r w:rsidRPr="00AF6305">
              <w:rPr>
                <w:sz w:val="20"/>
                <w:szCs w:val="20"/>
                <w:lang w:eastAsia="en-US"/>
              </w:rPr>
              <w:t>на</w:t>
            </w:r>
            <w:proofErr w:type="gramEnd"/>
            <w:r w:rsidRPr="00AF6305">
              <w:rPr>
                <w:sz w:val="20"/>
                <w:szCs w:val="20"/>
                <w:lang w:eastAsia="en-US"/>
              </w:rPr>
              <w:t xml:space="preserve"> 27 %).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proofErr w:type="gramStart"/>
            <w:r w:rsidRPr="00AF6305">
              <w:rPr>
                <w:sz w:val="20"/>
                <w:szCs w:val="20"/>
                <w:lang w:eastAsia="en-US"/>
              </w:rPr>
              <w:t xml:space="preserve">Более чем в 2 раза увеличены бюджетные ассигнования на реализацию федерального проекта «Системные меры» (с 4 067,9 млн. рублей до 8 316,3 млн. рублей) за счет средств резервного фонда Правительства Российской Федерации (1 430,0 млн. рублей), а также за счет перераспределения бюджетных ассигнований, предусмотренных на реализацию других федеральных проектов в рамках национального проекта (2 818,4 млн. рублей). </w:t>
            </w:r>
            <w:proofErr w:type="gramEnd"/>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Бюджетные ассигнования на реализацию 30 % мероприятий федерального проекта «Промышленный экспорт» в полном объеме перераспределены в рамках федерального проекта, а также на реализацию мероприятий федерального проекта «Системные меры».</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proofErr w:type="gramStart"/>
            <w:r w:rsidRPr="00AF6305">
              <w:rPr>
                <w:sz w:val="20"/>
                <w:szCs w:val="20"/>
                <w:lang w:eastAsia="en-US"/>
              </w:rPr>
              <w:t>Так, бюджетные ассигнования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(3 098,4 млн. рублей), а также на реализацию корпоративных программ международной конкурентоспособности (9 461,9 млн. рублей) в полном объеме перераспределены между результатами федерального проекта (11 888,7 млн. рублей), а также на реализацию федерального проекта «Системные</w:t>
            </w:r>
            <w:proofErr w:type="gramEnd"/>
            <w:r w:rsidRPr="00AF6305">
              <w:rPr>
                <w:sz w:val="20"/>
                <w:szCs w:val="20"/>
                <w:lang w:eastAsia="en-US"/>
              </w:rPr>
              <w:t xml:space="preserve"> меры» (671,6 млн. рублей).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proofErr w:type="gramStart"/>
            <w:r w:rsidRPr="00AF6305">
              <w:rPr>
                <w:sz w:val="20"/>
                <w:szCs w:val="20"/>
                <w:lang w:eastAsia="en-US"/>
              </w:rPr>
              <w:t xml:space="preserve">Основные изменения объемов финансирования федерального проекта «Экспорт продукции АПК» связаны с расходами на субсидирование льготного кредитования </w:t>
            </w:r>
            <w:proofErr w:type="spellStart"/>
            <w:r w:rsidRPr="00AF6305">
              <w:rPr>
                <w:sz w:val="20"/>
                <w:szCs w:val="20"/>
                <w:lang w:eastAsia="en-US"/>
              </w:rPr>
              <w:t>сельхозтоваропроизводителей</w:t>
            </w:r>
            <w:proofErr w:type="spellEnd"/>
            <w:r w:rsidRPr="00AF6305">
              <w:rPr>
                <w:sz w:val="20"/>
                <w:szCs w:val="20"/>
                <w:lang w:eastAsia="en-US"/>
              </w:rPr>
              <w:t>, осуществляющих производство, первичную и (или) последующую (промышленную) переработку сельхозпродукции и ее реализацию, которые в отчетный период были сокращены в 11 раз (с 17 733,9 до 1 632,6 млн. рублей).</w:t>
            </w:r>
            <w:proofErr w:type="gramEnd"/>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По состоянию на 1 января 2020 года объем бюджетных ассигнований на реализацию федерального проекта «Экспорт продукции АПК», предусмотренных сводной росписью, составил 38 809,6 млн. рублей. Объем бюджетных ассигнований, предусмотренный паспортом федерального проекта, превышает показатель сводной росписи на 16,4 млн. рублей, указанные бюджетные ассигнования предусматривались для предоставления субсидии на капитальные вложения ФГБУ «ВНИИЗЖ» </w:t>
            </w:r>
            <w:r w:rsidRPr="00AF6305">
              <w:rPr>
                <w:sz w:val="20"/>
                <w:szCs w:val="20"/>
                <w:lang w:eastAsia="en-US"/>
              </w:rPr>
              <w:lastRenderedPageBreak/>
              <w:t>(</w:t>
            </w:r>
            <w:proofErr w:type="spellStart"/>
            <w:r w:rsidRPr="00AF6305">
              <w:rPr>
                <w:sz w:val="20"/>
                <w:szCs w:val="20"/>
                <w:lang w:eastAsia="en-US"/>
              </w:rPr>
              <w:t>Россельхознадзор</w:t>
            </w:r>
            <w:proofErr w:type="spellEnd"/>
            <w:r w:rsidRPr="00AF6305">
              <w:rPr>
                <w:sz w:val="20"/>
                <w:szCs w:val="20"/>
                <w:lang w:eastAsia="en-US"/>
              </w:rPr>
              <w:t>) с целью создания информационно-аналитического центра. В связи с тем, что учреждением разработана проектно-сметная документация за счет средств от приносящей доход деятельности, указанные средства федерального бюджета были перераспределены.</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На низком уровне (7,2 %) исполнены расходы на предоставление субсидии на льготное кредитование </w:t>
            </w:r>
            <w:proofErr w:type="spellStart"/>
            <w:r w:rsidRPr="009470B2">
              <w:rPr>
                <w:sz w:val="20"/>
                <w:szCs w:val="20"/>
                <w:lang w:eastAsia="en-US"/>
              </w:rPr>
              <w:t>сельхозтоваропроизводителей</w:t>
            </w:r>
            <w:proofErr w:type="spellEnd"/>
            <w:r w:rsidRPr="009470B2">
              <w:rPr>
                <w:sz w:val="20"/>
                <w:szCs w:val="20"/>
                <w:lang w:eastAsia="en-US"/>
              </w:rPr>
              <w:t xml:space="preserve">, несмотря на их значительное сокращение. По данным Минсельхоза России, экономия средств федерального бюджета образовалась в связи со снижением ключевой ставки Центрального банка Российской Федерации, а также поздним запуском механизма льготного кредитования (с сентября 2019 года). Остатки средств федерального бюджета будут восстановлены </w:t>
            </w:r>
            <w:proofErr w:type="gramStart"/>
            <w:r w:rsidRPr="009470B2">
              <w:rPr>
                <w:sz w:val="20"/>
                <w:szCs w:val="20"/>
                <w:lang w:eastAsia="en-US"/>
              </w:rPr>
              <w:t>на те</w:t>
            </w:r>
            <w:proofErr w:type="gramEnd"/>
            <w:r w:rsidRPr="009470B2">
              <w:rPr>
                <w:sz w:val="20"/>
                <w:szCs w:val="20"/>
                <w:lang w:eastAsia="en-US"/>
              </w:rPr>
              <w:t xml:space="preserve"> же цели в 2020 году.</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Низкий уровень кассового исполнения сложился также в части субсидирования организаций в целях продвижения продукции АПК на внешние рынки и составил 34,7 %. При этом размер государственной поддержки в 2019 году был увеличен на 244,8 млн. рублей в связи с изменением результата реализации проекта 4.1.  </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Согласно отчету Минсельхоза России, </w:t>
            </w:r>
            <w:r w:rsidRPr="009470B2">
              <w:rPr>
                <w:b/>
                <w:sz w:val="20"/>
                <w:szCs w:val="20"/>
                <w:lang w:eastAsia="en-US"/>
              </w:rPr>
              <w:t>плановое значени</w:t>
            </w:r>
            <w:r w:rsidR="009470B2" w:rsidRPr="009470B2">
              <w:rPr>
                <w:b/>
                <w:sz w:val="20"/>
                <w:szCs w:val="20"/>
                <w:lang w:eastAsia="en-US"/>
              </w:rPr>
              <w:t>е</w:t>
            </w:r>
            <w:r w:rsidRPr="009470B2">
              <w:rPr>
                <w:sz w:val="20"/>
                <w:szCs w:val="20"/>
                <w:lang w:eastAsia="en-US"/>
              </w:rPr>
              <w:t xml:space="preserve"> результата 4.1 на 2019 год в части субсидирования продвижения продукции АПК на внешние рынки 136 организаций </w:t>
            </w:r>
            <w:r w:rsidRPr="009470B2">
              <w:rPr>
                <w:b/>
                <w:sz w:val="20"/>
                <w:szCs w:val="20"/>
                <w:lang w:eastAsia="en-US"/>
              </w:rPr>
              <w:t>не достигнуто</w:t>
            </w:r>
            <w:r w:rsidRPr="009470B2">
              <w:rPr>
                <w:sz w:val="20"/>
                <w:szCs w:val="20"/>
                <w:lang w:eastAsia="en-US"/>
              </w:rPr>
              <w:t xml:space="preserve"> (фактическое значение – 88 организаций).</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Следует отметить, что, несмотря на низкое кассовое исполнение указанных субсидий, плановые значения 5 из 8 показателей федерального проекта (включая основной – «Объем экспорта продукции АПК, млрд. долл. США»), согласно отчету Минсельхоза России, были достигнуты. Указанный факт свидетельствует </w:t>
            </w:r>
            <w:r w:rsidRPr="009470B2">
              <w:rPr>
                <w:b/>
                <w:sz w:val="20"/>
                <w:szCs w:val="20"/>
                <w:lang w:eastAsia="en-US"/>
              </w:rPr>
              <w:t xml:space="preserve">о непрямом влиянии </w:t>
            </w:r>
            <w:r w:rsidRPr="009470B2">
              <w:rPr>
                <w:sz w:val="20"/>
                <w:szCs w:val="20"/>
                <w:lang w:eastAsia="en-US"/>
              </w:rPr>
              <w:t>указанных форм государственной поддержки</w:t>
            </w:r>
            <w:r w:rsidRPr="00AF6305">
              <w:rPr>
                <w:sz w:val="20"/>
                <w:szCs w:val="20"/>
                <w:lang w:eastAsia="en-US"/>
              </w:rPr>
              <w:t xml:space="preserve"> </w:t>
            </w:r>
            <w:r w:rsidRPr="009470B2">
              <w:rPr>
                <w:b/>
                <w:sz w:val="20"/>
                <w:szCs w:val="20"/>
                <w:lang w:eastAsia="en-US"/>
              </w:rPr>
              <w:t>на достижение показателей федерального проекта</w:t>
            </w:r>
            <w:r w:rsidRPr="00AF6305">
              <w:rPr>
                <w:sz w:val="20"/>
                <w:szCs w:val="20"/>
                <w:lang w:eastAsia="en-US"/>
              </w:rPr>
              <w:t xml:space="preserve">. </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Уровень исполнения расходов по федеральному проекту «Системные меры» (62,3 %) обусловлен </w:t>
            </w:r>
            <w:r w:rsidRPr="009470B2">
              <w:rPr>
                <w:sz w:val="20"/>
                <w:szCs w:val="20"/>
                <w:lang w:eastAsia="en-US"/>
              </w:rPr>
              <w:t>низким кассовым исполнением по государственной поддержке кредитных организаций в целях субсидирования процентных ставок по экспортным кредитам, на реализацию которого сводной росписью предусмотрено 2 850,0 млн. рублей. Кассовое исполнение составило 466,1 млн. рублей (16,4 %), что связано с отсутствием заключенных в 2019 году соглашений с кредитными организациями. В отчетном периоде механизм льготного кредитования с привлечением для этих целей коммерческих банков в полном объеме не реализован.</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Кассовое исполнение расходов по федеральному проекту «Экспорт услуг» составило 44,1 %, что в основном обусловлено поздними сроками принятия соответствующих нормативных правовых актов, регламентирующих использование бюджетных средств.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Так, правила предоставления субсидий из федерального бюджета на государственную поддержку проектов повышения конкурентоспособности, связанных с продвижением, сертификацией и (или) адаптацией </w:t>
            </w:r>
            <w:r w:rsidR="009470B2">
              <w:rPr>
                <w:sz w:val="20"/>
                <w:szCs w:val="20"/>
                <w:lang w:eastAsia="en-US"/>
              </w:rPr>
              <w:t>р</w:t>
            </w:r>
            <w:r w:rsidRPr="00AF6305">
              <w:rPr>
                <w:sz w:val="20"/>
                <w:szCs w:val="20"/>
                <w:lang w:eastAsia="en-US"/>
              </w:rPr>
              <w:t xml:space="preserve">оссийской продукции, в том числе содержащей результаты интеллектуальной деятельности, к требованиям внешних рынков, утверждены постановлением Правительства Российской Федерации от 5 декабря 2019 г. № 1596. Правила предоставления субсидий из федерального бюджета организациям кинематографии, оказывающим услуги (выполняющим работы), связанные с осуществлением производства иностранными производителями аудиовизуальной продукции на территории Российской Федерации утверждены постановлением Правительства Российской Федерации от 7 ноября 2019 г. № 1420.   </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В рамках федерального проекта «Экспорт услуг» </w:t>
            </w:r>
            <w:r w:rsidRPr="009470B2">
              <w:rPr>
                <w:sz w:val="20"/>
                <w:szCs w:val="20"/>
                <w:lang w:eastAsia="en-US"/>
              </w:rPr>
              <w:t>низкий уровень исполнения расходов на реализацию мероприятия по поддержке организаций, обеспечивающих прирост количества посетивших Российскую Федерацию иностранных туристов (48,3 % показателя сводной росписи с изменениями) также обусловлено поздними сроками принятия изменений в соответствующий нормативный правовой акт. Так, изменения в Правила предоставления субсидий из федерального бюджета, существенно изменяющие порядок ее предоставления и круг получателей субсидии, утверждены постановлением Правительства Российской Федерации № 1439 только 11 ноября 2019 года.</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Реализация национального проекта, в соответствии с Отчетом о ходе реализации национального проекта за 2019 год, размещенным в ГИИС «Электронный бюджет», характеризуется наличием критических рисков достижения результатов, а также некритическими отклонениями в достижении показателей и исполнении бюджета </w:t>
            </w:r>
            <w:r w:rsidRPr="009470B2">
              <w:rPr>
                <w:sz w:val="20"/>
                <w:szCs w:val="20"/>
                <w:lang w:eastAsia="en-US"/>
              </w:rPr>
              <w:lastRenderedPageBreak/>
              <w:t xml:space="preserve">национального проекта. </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Степень достижения целевых и дополнительных показателей национального проекта составляет от 87,9 % до 100 % (в третьем квартале - от 43 % до 62 %). Из 15 показателей плановое значение достигнуто по 6 показателям (40 %). </w:t>
            </w:r>
            <w:proofErr w:type="gramStart"/>
            <w:r w:rsidRPr="009470B2">
              <w:rPr>
                <w:sz w:val="20"/>
                <w:szCs w:val="20"/>
                <w:lang w:eastAsia="en-US"/>
              </w:rPr>
              <w:t xml:space="preserve">Исполнение 9 показателей (от 87,9 % до 97,11 %), фактические значения которых в отчетном периоде не достигли плановых, характеризуется </w:t>
            </w:r>
            <w:r w:rsidRPr="009470B2">
              <w:rPr>
                <w:b/>
                <w:sz w:val="20"/>
                <w:szCs w:val="20"/>
                <w:lang w:eastAsia="en-US"/>
              </w:rPr>
              <w:t>наличием рисков</w:t>
            </w:r>
            <w:r w:rsidRPr="009470B2">
              <w:rPr>
                <w:sz w:val="20"/>
                <w:szCs w:val="20"/>
                <w:lang w:eastAsia="en-US"/>
              </w:rPr>
              <w:t xml:space="preserve"> с вероятностью от 40 до 100 %, связанных со спадом объемов экспорта услуг (1 показатель, вероятность 100 %), влиянием внешних факторов, а также нелинейностью экспортной деятельности и отсутствием отчетных данных в сроки составления отчета о реализации национального проекта (8 показателей).</w:t>
            </w:r>
            <w:proofErr w:type="gramEnd"/>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 xml:space="preserve">В целях решения 14 задач национального проекта в 2019 году предусмотрено достижение 78 результатов, из которых более 35 % (28 результатов) достигнуты с нарушением установленных сроков. Достижение 17 результатов (21,8 %) характеризуется наличием отклонений и 3 (3,8 %) – </w:t>
            </w:r>
            <w:r w:rsidRPr="009470B2">
              <w:rPr>
                <w:b/>
                <w:sz w:val="20"/>
                <w:szCs w:val="20"/>
                <w:lang w:eastAsia="en-US"/>
              </w:rPr>
              <w:t>наличием критических отклонений</w:t>
            </w:r>
            <w:r w:rsidRPr="009470B2">
              <w:rPr>
                <w:sz w:val="20"/>
                <w:szCs w:val="20"/>
                <w:lang w:eastAsia="en-US"/>
              </w:rPr>
              <w:t xml:space="preserve">. </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Критическими отклонениями характеризуется ряд мероприятий в рамках федеральных проектов «Экспорт услуг» и «Системные меры».</w:t>
            </w:r>
          </w:p>
          <w:p w:rsidR="00AF6305" w:rsidRPr="009470B2" w:rsidRDefault="00AF6305" w:rsidP="000C15B1">
            <w:pPr>
              <w:widowControl w:val="0"/>
              <w:overflowPunct/>
              <w:autoSpaceDE/>
              <w:autoSpaceDN/>
              <w:adjustRightInd/>
              <w:ind w:left="0" w:right="0" w:firstLine="284"/>
              <w:textAlignment w:val="auto"/>
              <w:rPr>
                <w:sz w:val="20"/>
                <w:szCs w:val="20"/>
                <w:lang w:eastAsia="en-US"/>
              </w:rPr>
            </w:pPr>
            <w:r w:rsidRPr="009470B2">
              <w:rPr>
                <w:sz w:val="20"/>
                <w:szCs w:val="20"/>
                <w:lang w:eastAsia="en-US"/>
              </w:rPr>
              <w:t>Так, в связи с длительностью межведомственного согласования не реализован комплекс мер по минимизации требований валютного контроля в отношении экспорта услуг, связанных с внесением изменений в статью 15.25 Кодекса Российской Федерации об административных правонарушениях. Кроме того, отсутствие официальной статистической информации об объемах экспорта медицинских услуг, которые Банк России учитывает в составе категории «Поездки» и «Услуги частным лицам и услуги в сфере культуры и отдыха»</w:t>
            </w:r>
            <w:r w:rsidR="009470B2">
              <w:rPr>
                <w:sz w:val="20"/>
                <w:szCs w:val="20"/>
                <w:lang w:eastAsia="en-US"/>
              </w:rPr>
              <w:t xml:space="preserve">, </w:t>
            </w:r>
            <w:r w:rsidRPr="009470B2">
              <w:rPr>
                <w:sz w:val="20"/>
                <w:szCs w:val="20"/>
                <w:lang w:eastAsia="en-US"/>
              </w:rPr>
              <w:t>расчет показателя объема экспорта медицинских услуг</w:t>
            </w:r>
            <w:r w:rsidR="009470B2">
              <w:rPr>
                <w:sz w:val="20"/>
                <w:szCs w:val="20"/>
                <w:lang w:eastAsia="en-US"/>
              </w:rPr>
              <w:t xml:space="preserve"> не возможен</w:t>
            </w:r>
            <w:r w:rsidRPr="009470B2">
              <w:rPr>
                <w:sz w:val="20"/>
                <w:szCs w:val="20"/>
                <w:lang w:eastAsia="en-US"/>
              </w:rPr>
              <w:t xml:space="preserve">. </w:t>
            </w:r>
          </w:p>
          <w:p w:rsidR="00AF6305" w:rsidRPr="00AF6305" w:rsidRDefault="00AF6305" w:rsidP="000C15B1">
            <w:pPr>
              <w:widowControl w:val="0"/>
              <w:overflowPunct/>
              <w:autoSpaceDE/>
              <w:autoSpaceDN/>
              <w:adjustRightInd/>
              <w:ind w:left="0" w:right="0" w:firstLine="284"/>
              <w:textAlignment w:val="auto"/>
              <w:rPr>
                <w:sz w:val="20"/>
                <w:szCs w:val="20"/>
                <w:lang w:eastAsia="en-US"/>
              </w:rPr>
            </w:pPr>
            <w:r w:rsidRPr="00AF6305">
              <w:rPr>
                <w:sz w:val="20"/>
                <w:szCs w:val="20"/>
                <w:lang w:eastAsia="en-US"/>
              </w:rPr>
              <w:t xml:space="preserve">В установленный срок </w:t>
            </w:r>
            <w:proofErr w:type="gramStart"/>
            <w:r w:rsidRPr="008F0363">
              <w:rPr>
                <w:b/>
                <w:sz w:val="20"/>
                <w:szCs w:val="20"/>
                <w:lang w:eastAsia="en-US"/>
              </w:rPr>
              <w:t>не достигнут</w:t>
            </w:r>
            <w:proofErr w:type="gramEnd"/>
            <w:r w:rsidRPr="008F0363">
              <w:rPr>
                <w:b/>
                <w:sz w:val="20"/>
                <w:szCs w:val="20"/>
                <w:lang w:eastAsia="en-US"/>
              </w:rPr>
              <w:t xml:space="preserve"> </w:t>
            </w:r>
            <w:r w:rsidRPr="007A1D19">
              <w:rPr>
                <w:sz w:val="20"/>
                <w:szCs w:val="20"/>
                <w:lang w:eastAsia="en-US"/>
              </w:rPr>
              <w:t>запланированный результат</w:t>
            </w:r>
            <w:r w:rsidRPr="00AF6305">
              <w:rPr>
                <w:sz w:val="20"/>
                <w:szCs w:val="20"/>
                <w:lang w:eastAsia="en-US"/>
              </w:rPr>
              <w:t xml:space="preserve"> по либерализации мер административной ответственности и уточнению составов уголовных преступлений за нарушения требований валютного законодательства Российской Федерации в рамках федерального проекта «Системные меры». Возникают риски </w:t>
            </w:r>
            <w:proofErr w:type="spellStart"/>
            <w:r w:rsidRPr="00AF6305">
              <w:rPr>
                <w:sz w:val="20"/>
                <w:szCs w:val="20"/>
                <w:lang w:eastAsia="en-US"/>
              </w:rPr>
              <w:t>недостижения</w:t>
            </w:r>
            <w:proofErr w:type="spellEnd"/>
            <w:r w:rsidRPr="00AF6305">
              <w:rPr>
                <w:sz w:val="20"/>
                <w:szCs w:val="20"/>
                <w:lang w:eastAsia="en-US"/>
              </w:rPr>
              <w:t xml:space="preserve"> результатов федерального проекта в связи с существенной задержкой в создании благоприятной регуляторной среды для осуществления экспортной деятельности</w:t>
            </w:r>
          </w:p>
        </w:tc>
      </w:tr>
      <w:tr w:rsidR="00365827" w:rsidTr="00D46E03">
        <w:tc>
          <w:tcPr>
            <w:tcW w:w="568" w:type="dxa"/>
          </w:tcPr>
          <w:p w:rsidR="00365827" w:rsidRPr="00AF6305" w:rsidRDefault="00365827" w:rsidP="00F63B24">
            <w:pPr>
              <w:overflowPunct/>
              <w:autoSpaceDE/>
              <w:autoSpaceDN/>
              <w:adjustRightInd/>
              <w:ind w:left="0" w:right="0" w:firstLine="0"/>
              <w:jc w:val="center"/>
              <w:textAlignment w:val="auto"/>
              <w:rPr>
                <w:rFonts w:eastAsia="Times New Roman"/>
                <w:b/>
                <w:sz w:val="20"/>
                <w:szCs w:val="20"/>
              </w:rPr>
            </w:pPr>
            <w:r w:rsidRPr="00AF6305">
              <w:rPr>
                <w:rFonts w:eastAsia="Times New Roman"/>
                <w:b/>
                <w:sz w:val="20"/>
                <w:szCs w:val="20"/>
              </w:rPr>
              <w:lastRenderedPageBreak/>
              <w:t>1</w:t>
            </w:r>
            <w:r w:rsidR="00AF6305" w:rsidRPr="00AF6305">
              <w:rPr>
                <w:rFonts w:eastAsia="Times New Roman"/>
                <w:b/>
                <w:sz w:val="20"/>
                <w:szCs w:val="20"/>
              </w:rPr>
              <w:t>2</w:t>
            </w:r>
            <w:r w:rsidRPr="00AF6305">
              <w:rPr>
                <w:rFonts w:eastAsia="Times New Roman"/>
                <w:b/>
                <w:sz w:val="20"/>
                <w:szCs w:val="20"/>
              </w:rPr>
              <w:t>.</w:t>
            </w:r>
          </w:p>
        </w:tc>
        <w:tc>
          <w:tcPr>
            <w:tcW w:w="2268" w:type="dxa"/>
          </w:tcPr>
          <w:p w:rsidR="00365827" w:rsidRPr="00AF6305" w:rsidRDefault="00365827" w:rsidP="00F63B24">
            <w:pPr>
              <w:ind w:left="0" w:right="0" w:firstLine="0"/>
              <w:rPr>
                <w:b/>
                <w:sz w:val="20"/>
                <w:szCs w:val="20"/>
                <w:lang w:eastAsia="en-US"/>
              </w:rPr>
            </w:pPr>
            <w:r w:rsidRPr="00AF6305">
              <w:rPr>
                <w:b/>
                <w:sz w:val="20"/>
                <w:szCs w:val="20"/>
                <w:lang w:eastAsia="en-US"/>
              </w:rPr>
              <w:t>Безопасные и качественные автомобильные дороги</w:t>
            </w:r>
            <w:r w:rsidRPr="00AF6305">
              <w:rPr>
                <w:sz w:val="20"/>
                <w:szCs w:val="20"/>
                <w:lang w:eastAsia="en-US"/>
              </w:rPr>
              <w:t xml:space="preserve"> и </w:t>
            </w:r>
            <w:r w:rsidRPr="00AF6305">
              <w:rPr>
                <w:b/>
                <w:sz w:val="20"/>
                <w:szCs w:val="20"/>
                <w:lang w:eastAsia="en-US"/>
              </w:rPr>
              <w:t xml:space="preserve">Комплексный план модернизации и расширения магистральной инфраструктуры на период до 2024 года </w:t>
            </w:r>
            <w:r w:rsidRPr="00AF6305">
              <w:rPr>
                <w:sz w:val="20"/>
                <w:szCs w:val="20"/>
                <w:lang w:eastAsia="en-US"/>
              </w:rPr>
              <w:t>(далее – Комплексный план)</w:t>
            </w:r>
          </w:p>
          <w:p w:rsidR="00365827" w:rsidRPr="00AF6305" w:rsidRDefault="00365827" w:rsidP="00F63B24">
            <w:pPr>
              <w:ind w:left="0" w:right="0" w:firstLine="0"/>
              <w:rPr>
                <w:sz w:val="20"/>
                <w:szCs w:val="20"/>
                <w:lang w:eastAsia="en-US"/>
              </w:rPr>
            </w:pPr>
          </w:p>
        </w:tc>
        <w:tc>
          <w:tcPr>
            <w:tcW w:w="7796" w:type="dxa"/>
          </w:tcPr>
          <w:p w:rsidR="00365827" w:rsidRPr="00AF6305" w:rsidRDefault="00365827" w:rsidP="00041A0C">
            <w:pPr>
              <w:overflowPunct/>
              <w:autoSpaceDE/>
              <w:autoSpaceDN/>
              <w:adjustRightInd/>
              <w:ind w:left="0" w:right="0" w:firstLine="284"/>
              <w:textAlignment w:val="auto"/>
              <w:rPr>
                <w:sz w:val="20"/>
                <w:szCs w:val="20"/>
                <w:lang w:eastAsia="en-US"/>
              </w:rPr>
            </w:pPr>
            <w:r w:rsidRPr="00AF6305">
              <w:rPr>
                <w:rFonts w:eastAsiaTheme="minorHAnsi"/>
                <w:sz w:val="20"/>
                <w:szCs w:val="20"/>
                <w:lang w:eastAsia="en-US"/>
              </w:rPr>
              <w:t xml:space="preserve">В рамках реализации </w:t>
            </w:r>
            <w:r w:rsidRPr="00AF6305">
              <w:rPr>
                <w:rFonts w:eastAsiaTheme="minorHAnsi"/>
                <w:b/>
                <w:sz w:val="20"/>
                <w:szCs w:val="20"/>
                <w:lang w:eastAsia="en-US"/>
              </w:rPr>
              <w:t xml:space="preserve">национального проекта «Безопасные и качественные автомобильные дороги» </w:t>
            </w:r>
            <w:r w:rsidRPr="00AF6305">
              <w:rPr>
                <w:rFonts w:eastAsiaTheme="minorHAnsi"/>
                <w:sz w:val="20"/>
                <w:szCs w:val="20"/>
                <w:lang w:eastAsia="en-US"/>
              </w:rPr>
              <w:t xml:space="preserve">уровень исполнения бюджетных ассигнований составил 97,1 % показателя сводной росписи с изменениями. </w:t>
            </w:r>
            <w:r w:rsidRPr="00AF6305">
              <w:rPr>
                <w:bCs/>
                <w:sz w:val="20"/>
                <w:szCs w:val="20"/>
                <w:lang w:eastAsia="en-US"/>
              </w:rPr>
              <w:t>По итогам 2019 года бюджетные ассигнования в рамках указанного национального проекта не исполнены в сумме 4 097,0 млн. рублей, или 2,9 %.</w:t>
            </w:r>
          </w:p>
          <w:p w:rsidR="00365827" w:rsidRPr="00AF6305" w:rsidRDefault="00365827" w:rsidP="00F63B24">
            <w:pPr>
              <w:overflowPunct/>
              <w:ind w:left="0" w:right="0" w:firstLine="284"/>
              <w:textAlignment w:val="auto"/>
              <w:rPr>
                <w:rFonts w:eastAsiaTheme="minorHAnsi"/>
                <w:sz w:val="20"/>
                <w:szCs w:val="20"/>
                <w:lang w:eastAsia="en-US"/>
              </w:rPr>
            </w:pPr>
            <w:r w:rsidRPr="00AF6305">
              <w:rPr>
                <w:rFonts w:eastAsiaTheme="minorHAnsi"/>
                <w:sz w:val="20"/>
                <w:szCs w:val="20"/>
                <w:lang w:eastAsia="en-US"/>
              </w:rPr>
              <w:t xml:space="preserve">В рамках указанного национального проекта на относительно </w:t>
            </w:r>
            <w:r w:rsidRPr="007A1D19">
              <w:rPr>
                <w:rFonts w:eastAsiaTheme="minorHAnsi"/>
                <w:sz w:val="20"/>
                <w:szCs w:val="20"/>
                <w:lang w:eastAsia="en-US"/>
              </w:rPr>
              <w:t xml:space="preserve">низком уровне исполнены расходы </w:t>
            </w:r>
            <w:r w:rsidRPr="00AF6305">
              <w:rPr>
                <w:rFonts w:eastAsiaTheme="minorHAnsi"/>
                <w:sz w:val="20"/>
                <w:szCs w:val="20"/>
                <w:lang w:eastAsia="en-US"/>
              </w:rPr>
              <w:t>на реализацию федерального проекта «Дорожная сеть» (96,9 %), что обусловлено в основном неиспользованием субъектами Российской Федерации бюджетных ассигнований в связи с необходимостью повторного проведения торгов из-за отсутствия заявок на участие, невыполнением обязательств подрядными организациями.</w:t>
            </w:r>
          </w:p>
          <w:p w:rsidR="00365827" w:rsidRPr="00AF6305" w:rsidRDefault="00365827" w:rsidP="00F63B24">
            <w:pPr>
              <w:overflowPunct/>
              <w:ind w:left="0" w:right="0" w:firstLine="284"/>
              <w:textAlignment w:val="auto"/>
              <w:rPr>
                <w:rFonts w:eastAsiaTheme="minorHAnsi"/>
                <w:sz w:val="20"/>
                <w:szCs w:val="20"/>
                <w:lang w:eastAsia="en-US"/>
              </w:rPr>
            </w:pPr>
            <w:r w:rsidRPr="00AF6305">
              <w:rPr>
                <w:rFonts w:eastAsiaTheme="minorHAnsi"/>
                <w:sz w:val="20"/>
                <w:szCs w:val="20"/>
                <w:lang w:eastAsia="en-US"/>
              </w:rPr>
              <w:t xml:space="preserve">В рамках реализации </w:t>
            </w:r>
            <w:r w:rsidRPr="00AF6305">
              <w:rPr>
                <w:rFonts w:eastAsiaTheme="minorHAnsi"/>
                <w:b/>
                <w:sz w:val="20"/>
                <w:szCs w:val="20"/>
                <w:lang w:eastAsia="en-US"/>
              </w:rPr>
              <w:t>Комплексного плана</w:t>
            </w:r>
            <w:r w:rsidRPr="00AF6305">
              <w:rPr>
                <w:rFonts w:eastAsiaTheme="minorHAnsi"/>
                <w:sz w:val="20"/>
                <w:szCs w:val="20"/>
                <w:lang w:eastAsia="en-US"/>
              </w:rPr>
              <w:t xml:space="preserve"> уровень исполнения бюджетных ассигнований составил 88 % показателя сводной росписи с изменениями. </w:t>
            </w:r>
            <w:r w:rsidRPr="00AF6305">
              <w:rPr>
                <w:bCs/>
                <w:sz w:val="20"/>
                <w:szCs w:val="20"/>
                <w:lang w:eastAsia="en-US"/>
              </w:rPr>
              <w:t xml:space="preserve">По итогам 2019 года отмечается значительный объем неисполненных бюджетных ассигнований в сумме 41 674,5 млн. рублей, или 12 %. Расходы по федеральному проекту </w:t>
            </w:r>
            <w:r w:rsidRPr="00AF6305">
              <w:rPr>
                <w:rFonts w:eastAsiaTheme="minorHAnsi"/>
                <w:sz w:val="20"/>
                <w:szCs w:val="20"/>
                <w:lang w:eastAsia="en-US"/>
              </w:rPr>
              <w:t>«Европа - Западный Китай» составили лишь 0,9 % показателя сводной росписи с изменениями.</w:t>
            </w:r>
          </w:p>
          <w:p w:rsidR="00365827" w:rsidRPr="00AF6305" w:rsidRDefault="00365827" w:rsidP="00F63B24">
            <w:pPr>
              <w:overflowPunct/>
              <w:ind w:left="0" w:right="0" w:firstLine="284"/>
              <w:textAlignment w:val="auto"/>
              <w:rPr>
                <w:rFonts w:eastAsiaTheme="minorHAnsi"/>
                <w:sz w:val="20"/>
                <w:szCs w:val="20"/>
                <w:lang w:eastAsia="en-US"/>
              </w:rPr>
            </w:pPr>
            <w:proofErr w:type="gramStart"/>
            <w:r w:rsidRPr="00AF6305">
              <w:rPr>
                <w:rFonts w:eastAsiaTheme="minorHAnsi"/>
                <w:sz w:val="20"/>
                <w:szCs w:val="20"/>
                <w:lang w:eastAsia="en-US"/>
              </w:rPr>
              <w:t xml:space="preserve">В ноябре - декабре 2019 года по ряду объектов транспортной и дорожной инфраструктуры, подлежащих к вводу в эксплуатацию в 2019 году, </w:t>
            </w:r>
            <w:r w:rsidRPr="007A1D19">
              <w:rPr>
                <w:rFonts w:eastAsiaTheme="minorHAnsi"/>
                <w:sz w:val="20"/>
                <w:szCs w:val="20"/>
                <w:lang w:eastAsia="en-US"/>
              </w:rPr>
              <w:t>срок ввода в эксплуатацию перенесен на более поздний</w:t>
            </w:r>
            <w:r w:rsidRPr="00AF6305">
              <w:rPr>
                <w:rFonts w:eastAsiaTheme="minorHAnsi"/>
                <w:sz w:val="20"/>
                <w:szCs w:val="20"/>
                <w:lang w:eastAsia="en-US"/>
              </w:rPr>
              <w:t xml:space="preserve">, что свидетельствует </w:t>
            </w:r>
            <w:r w:rsidRPr="007A1D19">
              <w:rPr>
                <w:rFonts w:eastAsiaTheme="minorHAnsi"/>
                <w:b/>
                <w:sz w:val="20"/>
                <w:szCs w:val="20"/>
                <w:lang w:eastAsia="en-US"/>
              </w:rPr>
              <w:t>о недостаточном качестве планирования</w:t>
            </w:r>
            <w:r w:rsidRPr="00AF6305">
              <w:rPr>
                <w:rFonts w:eastAsiaTheme="minorHAnsi"/>
                <w:sz w:val="20"/>
                <w:szCs w:val="20"/>
                <w:lang w:eastAsia="en-US"/>
              </w:rPr>
              <w:t xml:space="preserve"> и исполнения расходов и </w:t>
            </w:r>
            <w:r w:rsidRPr="007A1D19">
              <w:rPr>
                <w:rFonts w:eastAsiaTheme="minorHAnsi"/>
                <w:b/>
                <w:sz w:val="20"/>
                <w:szCs w:val="20"/>
                <w:lang w:eastAsia="en-US"/>
              </w:rPr>
              <w:t>создает риски несвоевременного завершения мероприятий</w:t>
            </w:r>
            <w:r w:rsidRPr="00AF6305">
              <w:rPr>
                <w:rFonts w:eastAsiaTheme="minorHAnsi"/>
                <w:sz w:val="20"/>
                <w:szCs w:val="20"/>
                <w:lang w:eastAsia="en-US"/>
              </w:rPr>
              <w:t>, в том числе реализуемых в рамках национальных проектов.</w:t>
            </w:r>
            <w:proofErr w:type="gramEnd"/>
          </w:p>
          <w:p w:rsidR="00365827" w:rsidRPr="00AF6305" w:rsidRDefault="00365827" w:rsidP="00F63B24">
            <w:pPr>
              <w:overflowPunct/>
              <w:ind w:left="0" w:right="0" w:firstLine="284"/>
              <w:textAlignment w:val="auto"/>
              <w:rPr>
                <w:rFonts w:eastAsiaTheme="minorHAnsi"/>
                <w:sz w:val="20"/>
                <w:szCs w:val="20"/>
                <w:lang w:eastAsia="en-US"/>
              </w:rPr>
            </w:pPr>
            <w:proofErr w:type="gramStart"/>
            <w:r w:rsidRPr="00AF6305">
              <w:rPr>
                <w:rFonts w:eastAsiaTheme="minorHAnsi"/>
                <w:sz w:val="20"/>
                <w:szCs w:val="20"/>
                <w:lang w:eastAsia="en-US"/>
              </w:rPr>
              <w:t xml:space="preserve">Так, перенесены сроки по 15 объектам </w:t>
            </w:r>
            <w:proofErr w:type="spellStart"/>
            <w:r w:rsidRPr="00AF6305">
              <w:rPr>
                <w:rFonts w:eastAsiaTheme="minorHAnsi"/>
                <w:sz w:val="20"/>
                <w:szCs w:val="20"/>
                <w:lang w:eastAsia="en-US"/>
              </w:rPr>
              <w:t>Росавтодора</w:t>
            </w:r>
            <w:proofErr w:type="spellEnd"/>
            <w:r w:rsidRPr="00AF6305">
              <w:rPr>
                <w:rFonts w:eastAsiaTheme="minorHAnsi"/>
                <w:sz w:val="20"/>
                <w:szCs w:val="20"/>
                <w:lang w:eastAsia="en-US"/>
              </w:rPr>
              <w:t>, входящим в федеральный проект «Коммуникации между центрами экономического роста» Комплексного плана, в том числе «Реконструкция автомобильной дороги М-7 «Волга» - от Москвы через Владимир, Нижний Новгород, Казань до Уфы на участке км 588+000 - км 601+000 в Чувашской Республике», «Реконструкция автомобильной дороги М-5 «Урал» - от Москвы через Рязань, Пензу, Самару, Уфу до Челябинска</w:t>
            </w:r>
            <w:proofErr w:type="gramEnd"/>
            <w:r w:rsidRPr="00AF6305">
              <w:rPr>
                <w:rFonts w:eastAsiaTheme="minorHAnsi"/>
                <w:sz w:val="20"/>
                <w:szCs w:val="20"/>
                <w:lang w:eastAsia="en-US"/>
              </w:rPr>
              <w:t xml:space="preserve"> на участке </w:t>
            </w:r>
            <w:proofErr w:type="gramStart"/>
            <w:r w:rsidRPr="00AF6305">
              <w:rPr>
                <w:rFonts w:eastAsiaTheme="minorHAnsi"/>
                <w:sz w:val="20"/>
                <w:szCs w:val="20"/>
                <w:lang w:eastAsia="en-US"/>
              </w:rPr>
              <w:t>км</w:t>
            </w:r>
            <w:proofErr w:type="gramEnd"/>
            <w:r w:rsidRPr="00AF6305">
              <w:rPr>
                <w:rFonts w:eastAsiaTheme="minorHAnsi"/>
                <w:sz w:val="20"/>
                <w:szCs w:val="20"/>
                <w:lang w:eastAsia="en-US"/>
              </w:rPr>
              <w:t xml:space="preserve"> 1809+232 - км </w:t>
            </w:r>
            <w:r w:rsidRPr="00AF6305">
              <w:rPr>
                <w:rFonts w:eastAsiaTheme="minorHAnsi"/>
                <w:sz w:val="20"/>
                <w:szCs w:val="20"/>
                <w:lang w:eastAsia="en-US"/>
              </w:rPr>
              <w:lastRenderedPageBreak/>
              <w:t xml:space="preserve">1820+233 в Челябинской области» и др.  </w:t>
            </w:r>
          </w:p>
          <w:p w:rsidR="00365827" w:rsidRPr="007A1D19" w:rsidRDefault="00365827" w:rsidP="00F63B24">
            <w:pPr>
              <w:overflowPunct/>
              <w:ind w:left="0" w:right="0" w:firstLine="284"/>
              <w:textAlignment w:val="auto"/>
              <w:rPr>
                <w:rFonts w:eastAsiaTheme="minorHAnsi"/>
                <w:sz w:val="20"/>
                <w:szCs w:val="20"/>
                <w:lang w:eastAsia="en-US"/>
              </w:rPr>
            </w:pPr>
            <w:r w:rsidRPr="00AF6305">
              <w:rPr>
                <w:rFonts w:eastAsiaTheme="minorHAnsi"/>
                <w:sz w:val="20"/>
                <w:szCs w:val="20"/>
                <w:lang w:eastAsia="en-US"/>
              </w:rPr>
              <w:t xml:space="preserve">Кроме того, </w:t>
            </w:r>
            <w:r w:rsidRPr="007A1D19">
              <w:rPr>
                <w:rFonts w:eastAsiaTheme="minorHAnsi"/>
                <w:sz w:val="20"/>
                <w:szCs w:val="20"/>
                <w:lang w:eastAsia="en-US"/>
              </w:rPr>
              <w:t>низкий уровень организации строительства Багаевского и Нижегородского гидроузлов и, как следствие, перенос срока завершения работ соответственно на 2023 и 2024 годы не обеспечивает выполнение поручения Президента Российской Федерации о ликвидации лимитирующих участков на внутренних водных путях Единой глубоководной системы европейской части Российской Федерации за счет реализации вышеуказанных мероприятий.</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В 2019 году на низком уровне исполнены расходы федерального бюджета на предоставление межбюджетных трансфертов, субвенций и субсидий юридическим лицам по Минтрансу России, </w:t>
            </w:r>
            <w:proofErr w:type="spellStart"/>
            <w:r w:rsidRPr="007A1D19">
              <w:rPr>
                <w:rFonts w:eastAsiaTheme="minorHAnsi"/>
                <w:sz w:val="20"/>
                <w:szCs w:val="20"/>
                <w:lang w:eastAsia="en-US"/>
              </w:rPr>
              <w:t>Росавтодору</w:t>
            </w:r>
            <w:proofErr w:type="spellEnd"/>
            <w:r w:rsidRPr="007A1D19">
              <w:rPr>
                <w:rFonts w:eastAsiaTheme="minorHAnsi"/>
                <w:sz w:val="20"/>
                <w:szCs w:val="20"/>
                <w:lang w:eastAsia="en-US"/>
              </w:rPr>
              <w:t xml:space="preserve">, </w:t>
            </w:r>
            <w:proofErr w:type="spellStart"/>
            <w:r w:rsidRPr="007A1D19">
              <w:rPr>
                <w:rFonts w:eastAsiaTheme="minorHAnsi"/>
                <w:sz w:val="20"/>
                <w:szCs w:val="20"/>
                <w:lang w:eastAsia="en-US"/>
              </w:rPr>
              <w:t>Росавиации</w:t>
            </w:r>
            <w:proofErr w:type="spellEnd"/>
            <w:r w:rsidRPr="007A1D19">
              <w:rPr>
                <w:rFonts w:eastAsiaTheme="minorHAnsi"/>
                <w:sz w:val="20"/>
                <w:szCs w:val="20"/>
                <w:lang w:eastAsia="en-US"/>
              </w:rPr>
              <w:t xml:space="preserve">, </w:t>
            </w:r>
            <w:proofErr w:type="spellStart"/>
            <w:r w:rsidRPr="007A1D19">
              <w:rPr>
                <w:rFonts w:eastAsiaTheme="minorHAnsi"/>
                <w:sz w:val="20"/>
                <w:szCs w:val="20"/>
                <w:lang w:eastAsia="en-US"/>
              </w:rPr>
              <w:t>Ространснадзору</w:t>
            </w:r>
            <w:proofErr w:type="spellEnd"/>
            <w:r w:rsidRPr="007A1D19">
              <w:rPr>
                <w:rFonts w:eastAsiaTheme="minorHAnsi"/>
                <w:sz w:val="20"/>
                <w:szCs w:val="20"/>
                <w:lang w:eastAsia="en-US"/>
              </w:rPr>
              <w:t xml:space="preserve">, </w:t>
            </w:r>
            <w:proofErr w:type="spellStart"/>
            <w:r w:rsidRPr="007A1D19">
              <w:rPr>
                <w:rFonts w:eastAsiaTheme="minorHAnsi"/>
                <w:sz w:val="20"/>
                <w:szCs w:val="20"/>
                <w:lang w:eastAsia="en-US"/>
              </w:rPr>
              <w:t>Росморречфлоту</w:t>
            </w:r>
            <w:proofErr w:type="spellEnd"/>
            <w:r w:rsidRPr="007A1D19">
              <w:rPr>
                <w:rFonts w:eastAsiaTheme="minorHAnsi"/>
                <w:sz w:val="20"/>
                <w:szCs w:val="20"/>
                <w:lang w:eastAsia="en-US"/>
              </w:rPr>
              <w:t xml:space="preserve"> и </w:t>
            </w:r>
            <w:proofErr w:type="spellStart"/>
            <w:r w:rsidRPr="007A1D19">
              <w:rPr>
                <w:rFonts w:eastAsiaTheme="minorHAnsi"/>
                <w:sz w:val="20"/>
                <w:szCs w:val="20"/>
                <w:lang w:eastAsia="en-US"/>
              </w:rPr>
              <w:t>Росжелдору</w:t>
            </w:r>
            <w:proofErr w:type="spellEnd"/>
            <w:r w:rsidRPr="007A1D19">
              <w:rPr>
                <w:rFonts w:eastAsiaTheme="minorHAnsi"/>
                <w:sz w:val="20"/>
                <w:szCs w:val="20"/>
                <w:lang w:eastAsia="en-US"/>
              </w:rPr>
              <w:t>. Исполнение составило 197 008,9 млн. рублей, или 87,1 %.</w:t>
            </w:r>
          </w:p>
          <w:p w:rsidR="00365827" w:rsidRPr="007A1D19" w:rsidRDefault="00365827" w:rsidP="00F63B24">
            <w:pPr>
              <w:overflowPunct/>
              <w:ind w:left="0" w:right="0" w:firstLine="284"/>
              <w:textAlignment w:val="auto"/>
              <w:rPr>
                <w:rFonts w:eastAsiaTheme="minorHAnsi"/>
                <w:sz w:val="20"/>
                <w:szCs w:val="20"/>
                <w:lang w:eastAsia="en-US"/>
              </w:rPr>
            </w:pPr>
            <w:proofErr w:type="gramStart"/>
            <w:r w:rsidRPr="007A1D19">
              <w:rPr>
                <w:rFonts w:eastAsiaTheme="minorHAnsi"/>
                <w:sz w:val="20"/>
                <w:szCs w:val="20"/>
                <w:lang w:eastAsia="en-US"/>
              </w:rPr>
              <w:t xml:space="preserve">Так, </w:t>
            </w:r>
            <w:proofErr w:type="spellStart"/>
            <w:r w:rsidRPr="007A1D19">
              <w:rPr>
                <w:rFonts w:eastAsiaTheme="minorHAnsi"/>
                <w:sz w:val="20"/>
                <w:szCs w:val="20"/>
                <w:lang w:eastAsia="en-US"/>
              </w:rPr>
              <w:t>Росавтодором</w:t>
            </w:r>
            <w:proofErr w:type="spellEnd"/>
            <w:r w:rsidRPr="007A1D19">
              <w:rPr>
                <w:rFonts w:eastAsiaTheme="minorHAnsi"/>
                <w:sz w:val="20"/>
                <w:szCs w:val="20"/>
                <w:lang w:eastAsia="en-US"/>
              </w:rPr>
              <w:t xml:space="preserve"> в полном объеме (14 544,97 млн. рублей) не исполнены расходы федерального бюджета на предоставление межбюджетных трансфертов бюджету Самарской области на развитие инфраструктуры дорожного хозяйства в рамках транспортного коридора «Европа - Западный Китай» (в рамках федерального проекта «Европа - Западный Китай») в связи с непредставлением Правительством Самарской области платежных документов, связанных с исполнением расходных обязательств.</w:t>
            </w:r>
            <w:proofErr w:type="gramEnd"/>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В рамках Комплексного плана за 2019 год на низком уровне исполнены расходы на реализацию федерального проекта «Железнодорожный транспорт и транзит» (75,7 %), что обусловлено, в том числе неиспользованием в 2019 году бюджетных ассигнований по объектам: </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«Создание сухогрузного района морского порта Тамань (объекты федеральной собственности) (мыс </w:t>
            </w:r>
            <w:proofErr w:type="spellStart"/>
            <w:r w:rsidRPr="007A1D19">
              <w:rPr>
                <w:rFonts w:eastAsiaTheme="minorHAnsi"/>
                <w:sz w:val="20"/>
                <w:szCs w:val="20"/>
                <w:lang w:eastAsia="en-US"/>
              </w:rPr>
              <w:t>Тузла</w:t>
            </w:r>
            <w:proofErr w:type="spellEnd"/>
            <w:r w:rsidRPr="007A1D19">
              <w:rPr>
                <w:rFonts w:eastAsiaTheme="minorHAnsi"/>
                <w:sz w:val="20"/>
                <w:szCs w:val="20"/>
                <w:lang w:eastAsia="en-US"/>
              </w:rPr>
              <w:t>, Таманский полуостров, Краснодарский край)» в сумме  1 934,7 млн. рублей в связи с поздним получением положительного заключения ФАУ «</w:t>
            </w:r>
            <w:proofErr w:type="spellStart"/>
            <w:r w:rsidRPr="007A1D19">
              <w:rPr>
                <w:rFonts w:eastAsiaTheme="minorHAnsi"/>
                <w:sz w:val="20"/>
                <w:szCs w:val="20"/>
                <w:lang w:eastAsia="en-US"/>
              </w:rPr>
              <w:t>Главгосэкспертиза</w:t>
            </w:r>
            <w:proofErr w:type="spellEnd"/>
            <w:r w:rsidRPr="007A1D19">
              <w:rPr>
                <w:rFonts w:eastAsiaTheme="minorHAnsi"/>
                <w:sz w:val="20"/>
                <w:szCs w:val="20"/>
                <w:lang w:eastAsia="en-US"/>
              </w:rPr>
              <w:t xml:space="preserve"> России» на скорректированную проектно-сметную документацию (в ноябре 2019 года); </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«Комплексное развитие Новороссийского транспортного узла (Краснодарский край)». </w:t>
            </w:r>
            <w:proofErr w:type="spellStart"/>
            <w:r w:rsidRPr="007A1D19">
              <w:rPr>
                <w:rFonts w:eastAsiaTheme="minorHAnsi"/>
                <w:sz w:val="20"/>
                <w:szCs w:val="20"/>
                <w:lang w:eastAsia="en-US"/>
              </w:rPr>
              <w:t>Подпроект</w:t>
            </w:r>
            <w:proofErr w:type="spellEnd"/>
            <w:r w:rsidRPr="007A1D19">
              <w:rPr>
                <w:rFonts w:eastAsiaTheme="minorHAnsi"/>
                <w:sz w:val="20"/>
                <w:szCs w:val="20"/>
                <w:lang w:eastAsia="en-US"/>
              </w:rPr>
              <w:t xml:space="preserve"> 3: Создание объектов железнодорожной инфраструктуры за счет федеральных средств. «Строительство станции в районе разъезда 9 км Северо-Кавказской железной дороги» в сумме 16,9 млн. рублей в связи с </w:t>
            </w:r>
            <w:proofErr w:type="spellStart"/>
            <w:r w:rsidRPr="007A1D19">
              <w:rPr>
                <w:rFonts w:eastAsiaTheme="minorHAnsi"/>
                <w:sz w:val="20"/>
                <w:szCs w:val="20"/>
                <w:lang w:eastAsia="en-US"/>
              </w:rPr>
              <w:t>незавершением</w:t>
            </w:r>
            <w:proofErr w:type="spellEnd"/>
            <w:r w:rsidRPr="007A1D19">
              <w:rPr>
                <w:rFonts w:eastAsiaTheme="minorHAnsi"/>
                <w:sz w:val="20"/>
                <w:szCs w:val="20"/>
                <w:lang w:eastAsia="en-US"/>
              </w:rPr>
              <w:t xml:space="preserve"> процедуры изъятия и оформления прав на земельные участки, в границах которых расположен объект;</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«Комплексное развитие Новороссийского транспортного узла (Краснодарский край). Строительство железнодорожных парков и развитие железнодорожной станции Новороссийск Северо-Кавказской железной дороги» в сумме 238,8 млн. рублей в связи с необходимостью корректировки проектной документации. </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На низком уровне исполнены расходы на реализацию федерального проекта «Северный морской путь» (62 %), в том числе в связи с низким исполнением ГК «</w:t>
            </w:r>
            <w:proofErr w:type="spellStart"/>
            <w:r w:rsidRPr="007A1D19">
              <w:rPr>
                <w:rFonts w:eastAsiaTheme="minorHAnsi"/>
                <w:sz w:val="20"/>
                <w:szCs w:val="20"/>
                <w:lang w:eastAsia="en-US"/>
              </w:rPr>
              <w:t>Росатом</w:t>
            </w:r>
            <w:proofErr w:type="spellEnd"/>
            <w:r w:rsidRPr="007A1D19">
              <w:rPr>
                <w:rFonts w:eastAsiaTheme="minorHAnsi"/>
                <w:sz w:val="20"/>
                <w:szCs w:val="20"/>
                <w:lang w:eastAsia="en-US"/>
              </w:rPr>
              <w:t xml:space="preserve">» бюджетных инвестиций (59,1 %) на строительство серийных универсальных атомных ледоколов и терминала сжиженного природного газа и стабильного газового конденсата «Утренний». </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Счетной палатой в течение 2019 года неоднократно отмечались риски не ввода в 2019 году ряда объектов </w:t>
            </w:r>
            <w:proofErr w:type="spellStart"/>
            <w:r w:rsidRPr="007A1D19">
              <w:rPr>
                <w:rFonts w:eastAsiaTheme="minorHAnsi"/>
                <w:sz w:val="20"/>
                <w:szCs w:val="20"/>
                <w:lang w:eastAsia="en-US"/>
              </w:rPr>
              <w:t>Россморречфлота</w:t>
            </w:r>
            <w:proofErr w:type="spellEnd"/>
            <w:r w:rsidRPr="007A1D19">
              <w:rPr>
                <w:rFonts w:eastAsiaTheme="minorHAnsi"/>
                <w:sz w:val="20"/>
                <w:szCs w:val="20"/>
                <w:lang w:eastAsia="en-US"/>
              </w:rPr>
              <w:t>, реализуемых в рамках федерального проекта «Внутренние водные пути» Комплексного плана, которые по итогам года подтвердились.</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 xml:space="preserve">Так, по объекту «Разработка и реализация комплексного </w:t>
            </w:r>
            <w:proofErr w:type="gramStart"/>
            <w:r w:rsidRPr="007A1D19">
              <w:rPr>
                <w:rFonts w:eastAsiaTheme="minorHAnsi"/>
                <w:sz w:val="20"/>
                <w:szCs w:val="20"/>
                <w:lang w:eastAsia="en-US"/>
              </w:rPr>
              <w:t>проекта реконструкции объектов инфраструктуры канала имени</w:t>
            </w:r>
            <w:proofErr w:type="gramEnd"/>
            <w:r w:rsidRPr="007A1D19">
              <w:rPr>
                <w:rFonts w:eastAsiaTheme="minorHAnsi"/>
                <w:sz w:val="20"/>
                <w:szCs w:val="20"/>
                <w:lang w:eastAsia="en-US"/>
              </w:rPr>
              <w:t xml:space="preserve"> Москвы» 2 этап. Реконструкция гидроузла Белоомут (</w:t>
            </w:r>
            <w:proofErr w:type="spellStart"/>
            <w:r w:rsidRPr="007A1D19">
              <w:rPr>
                <w:rFonts w:eastAsiaTheme="minorHAnsi"/>
                <w:sz w:val="20"/>
                <w:szCs w:val="20"/>
                <w:lang w:eastAsia="en-US"/>
              </w:rPr>
              <w:t>подэтап</w:t>
            </w:r>
            <w:proofErr w:type="spellEnd"/>
            <w:r w:rsidRPr="007A1D19">
              <w:rPr>
                <w:rFonts w:eastAsiaTheme="minorHAnsi"/>
                <w:sz w:val="20"/>
                <w:szCs w:val="20"/>
                <w:lang w:eastAsia="en-US"/>
              </w:rPr>
              <w:t xml:space="preserve"> 4)» в связи поздним заключением государственных контрактов (сентябрь 2019 года) не исполнены бюджетные ассигнования в сумме 247,2 млн. рублей.</w:t>
            </w:r>
          </w:p>
          <w:p w:rsidR="00365827" w:rsidRPr="007A1D19"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По объекту «Реконструкция Рыбинского гидроузла» Этап № 2 Пусковой комплекс № 2» не осуществлялось финансирование в сумме 318,5 млн. рублей в связи с приостановлением работ до получения положительного заключения ФАУ «</w:t>
            </w:r>
            <w:proofErr w:type="spellStart"/>
            <w:r w:rsidRPr="007A1D19">
              <w:rPr>
                <w:rFonts w:eastAsiaTheme="minorHAnsi"/>
                <w:sz w:val="20"/>
                <w:szCs w:val="20"/>
                <w:lang w:eastAsia="en-US"/>
              </w:rPr>
              <w:t>Главгосэкспертиза</w:t>
            </w:r>
            <w:proofErr w:type="spellEnd"/>
            <w:r w:rsidRPr="007A1D19">
              <w:rPr>
                <w:rFonts w:eastAsiaTheme="minorHAnsi"/>
                <w:sz w:val="20"/>
                <w:szCs w:val="20"/>
                <w:lang w:eastAsia="en-US"/>
              </w:rPr>
              <w:t xml:space="preserve"> России» на откорректированную проектно-сметную документацию. </w:t>
            </w:r>
          </w:p>
          <w:p w:rsidR="00365827" w:rsidRPr="00AF6305" w:rsidRDefault="00365827" w:rsidP="00F63B24">
            <w:pPr>
              <w:overflowPunct/>
              <w:ind w:left="0" w:right="0" w:firstLine="284"/>
              <w:textAlignment w:val="auto"/>
              <w:rPr>
                <w:rFonts w:eastAsiaTheme="minorHAnsi"/>
                <w:sz w:val="20"/>
                <w:szCs w:val="20"/>
                <w:lang w:eastAsia="en-US"/>
              </w:rPr>
            </w:pPr>
            <w:r w:rsidRPr="007A1D19">
              <w:rPr>
                <w:rFonts w:eastAsiaTheme="minorHAnsi"/>
                <w:sz w:val="20"/>
                <w:szCs w:val="20"/>
                <w:lang w:eastAsia="en-US"/>
              </w:rPr>
              <w:t>По объекту «Строительство Багаевского гидроузла на р. Дон. Объекты 1-го этапа» не завершены работы по изъятию земельных участков, не получено заключение государственной экспертизы на откорректированную проектно-сметную документацию (передача документов в ФАУ «</w:t>
            </w:r>
            <w:proofErr w:type="spellStart"/>
            <w:r w:rsidRPr="007A1D19">
              <w:rPr>
                <w:rFonts w:eastAsiaTheme="minorHAnsi"/>
                <w:sz w:val="20"/>
                <w:szCs w:val="20"/>
                <w:lang w:eastAsia="en-US"/>
              </w:rPr>
              <w:t>Главгосэкспертиза</w:t>
            </w:r>
            <w:proofErr w:type="spellEnd"/>
            <w:r w:rsidRPr="007A1D19">
              <w:rPr>
                <w:rFonts w:eastAsiaTheme="minorHAnsi"/>
                <w:sz w:val="20"/>
                <w:szCs w:val="20"/>
                <w:lang w:eastAsia="en-US"/>
              </w:rPr>
              <w:t xml:space="preserve"> России» осуществлена 27 декабря </w:t>
            </w:r>
            <w:r w:rsidRPr="007A1D19">
              <w:rPr>
                <w:rFonts w:eastAsiaTheme="minorHAnsi"/>
                <w:sz w:val="20"/>
                <w:szCs w:val="20"/>
                <w:lang w:eastAsia="en-US"/>
              </w:rPr>
              <w:lastRenderedPageBreak/>
              <w:t>2019 года). В результате, не исполнены бюджетные ассигнования в сумме 427,2 млн. рублей</w:t>
            </w:r>
          </w:p>
        </w:tc>
      </w:tr>
    </w:tbl>
    <w:p w:rsidR="00446912" w:rsidRDefault="00446912" w:rsidP="007D09EA">
      <w:pPr>
        <w:ind w:right="0" w:firstLine="284"/>
        <w:rPr>
          <w:sz w:val="20"/>
          <w:szCs w:val="20"/>
        </w:rPr>
      </w:pPr>
    </w:p>
    <w:p w:rsidR="00497058" w:rsidRDefault="00497058" w:rsidP="00497058">
      <w:pPr>
        <w:spacing w:line="240" w:lineRule="auto"/>
        <w:jc w:val="right"/>
        <w:textAlignment w:val="auto"/>
        <w:rPr>
          <w:sz w:val="24"/>
          <w:szCs w:val="24"/>
        </w:rPr>
      </w:pPr>
      <w:r w:rsidRPr="005B7E56">
        <w:rPr>
          <w:sz w:val="24"/>
          <w:szCs w:val="24"/>
        </w:rPr>
        <w:t>Таблица 2</w:t>
      </w:r>
    </w:p>
    <w:p w:rsidR="00233E65" w:rsidRPr="005B7E56" w:rsidRDefault="00233E65" w:rsidP="00497058">
      <w:pPr>
        <w:spacing w:line="240" w:lineRule="auto"/>
        <w:jc w:val="right"/>
        <w:textAlignment w:val="auto"/>
        <w:rPr>
          <w:sz w:val="24"/>
          <w:szCs w:val="24"/>
        </w:rPr>
      </w:pPr>
    </w:p>
    <w:p w:rsidR="00497058" w:rsidRDefault="00497058" w:rsidP="00497058">
      <w:pPr>
        <w:spacing w:line="240" w:lineRule="auto"/>
        <w:jc w:val="center"/>
        <w:textAlignment w:val="auto"/>
        <w:rPr>
          <w:b/>
          <w:sz w:val="24"/>
          <w:szCs w:val="24"/>
        </w:rPr>
      </w:pPr>
      <w:r w:rsidRPr="00497058">
        <w:rPr>
          <w:b/>
          <w:sz w:val="24"/>
          <w:szCs w:val="24"/>
        </w:rPr>
        <w:t>Изменения сводной бюджетной росписи, в том числе повлиявшие на увеличение объема бюджетных ассигнований по национальным проектам и Комплексному плану модернизации и расширения магистральной инфраструктуры на 2019 год</w:t>
      </w:r>
    </w:p>
    <w:p w:rsidR="00497058" w:rsidRPr="00497058" w:rsidRDefault="00497058" w:rsidP="00497058">
      <w:pPr>
        <w:spacing w:line="240" w:lineRule="auto"/>
        <w:jc w:val="center"/>
        <w:textAlignment w:val="auto"/>
        <w:rPr>
          <w:b/>
          <w:sz w:val="24"/>
          <w:szCs w:val="24"/>
        </w:rPr>
      </w:pPr>
    </w:p>
    <w:p w:rsidR="00497058" w:rsidRPr="00497058" w:rsidRDefault="00497058" w:rsidP="00497058">
      <w:pPr>
        <w:spacing w:line="384" w:lineRule="auto"/>
        <w:ind w:right="-2"/>
        <w:jc w:val="right"/>
        <w:textAlignment w:val="auto"/>
        <w:rPr>
          <w:sz w:val="18"/>
          <w:szCs w:val="24"/>
        </w:rPr>
      </w:pPr>
      <w:r w:rsidRPr="00497058">
        <w:rPr>
          <w:sz w:val="18"/>
          <w:szCs w:val="24"/>
        </w:rPr>
        <w:t>(млн. рублей)</w:t>
      </w:r>
    </w:p>
    <w:tbl>
      <w:tblPr>
        <w:tblStyle w:val="1"/>
        <w:tblW w:w="10440" w:type="dxa"/>
        <w:tblInd w:w="-34" w:type="dxa"/>
        <w:tblLayout w:type="fixed"/>
        <w:tblLook w:val="04A0" w:firstRow="1" w:lastRow="0" w:firstColumn="1" w:lastColumn="0" w:noHBand="0" w:noVBand="1"/>
      </w:tblPr>
      <w:tblGrid>
        <w:gridCol w:w="528"/>
        <w:gridCol w:w="2131"/>
        <w:gridCol w:w="6088"/>
        <w:gridCol w:w="1693"/>
      </w:tblGrid>
      <w:tr w:rsidR="00497058" w:rsidRPr="00497058" w:rsidTr="00497058">
        <w:trPr>
          <w:trHeight w:val="711"/>
          <w:tblHeader/>
        </w:trPr>
        <w:tc>
          <w:tcPr>
            <w:tcW w:w="52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b/>
                <w:sz w:val="18"/>
                <w:szCs w:val="18"/>
                <w:lang w:eastAsia="en-US"/>
              </w:rPr>
            </w:pPr>
            <w:r w:rsidRPr="00497058">
              <w:rPr>
                <w:b/>
                <w:sz w:val="18"/>
                <w:szCs w:val="18"/>
                <w:lang w:eastAsia="en-US"/>
              </w:rPr>
              <w:t xml:space="preserve">№ </w:t>
            </w:r>
            <w:proofErr w:type="gramStart"/>
            <w:r w:rsidRPr="00497058">
              <w:rPr>
                <w:b/>
                <w:sz w:val="18"/>
                <w:szCs w:val="18"/>
                <w:lang w:eastAsia="en-US"/>
              </w:rPr>
              <w:t>п</w:t>
            </w:r>
            <w:proofErr w:type="gramEnd"/>
            <w:r w:rsidRPr="00497058">
              <w:rPr>
                <w:b/>
                <w:sz w:val="18"/>
                <w:szCs w:val="18"/>
                <w:lang w:eastAsia="en-US"/>
              </w:rPr>
              <w:t>/п</w:t>
            </w: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b/>
                <w:sz w:val="18"/>
                <w:szCs w:val="18"/>
                <w:lang w:eastAsia="en-US"/>
              </w:rPr>
            </w:pPr>
            <w:r w:rsidRPr="00497058">
              <w:rPr>
                <w:b/>
                <w:sz w:val="18"/>
                <w:szCs w:val="18"/>
                <w:lang w:eastAsia="en-US"/>
              </w:rPr>
              <w:t>Нормативный правовой акт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b/>
                <w:sz w:val="18"/>
                <w:szCs w:val="18"/>
                <w:lang w:eastAsia="en-US"/>
              </w:rPr>
            </w:pPr>
            <w:r w:rsidRPr="00497058">
              <w:rPr>
                <w:b/>
                <w:sz w:val="18"/>
                <w:szCs w:val="18"/>
                <w:lang w:eastAsia="en-US"/>
              </w:rPr>
              <w:t xml:space="preserve">Код вида изменений сводной бюджетной росписи </w:t>
            </w:r>
          </w:p>
          <w:p w:rsidR="00497058" w:rsidRPr="00497058" w:rsidRDefault="00497058" w:rsidP="00497058">
            <w:pPr>
              <w:widowControl w:val="0"/>
              <w:ind w:left="0" w:right="0" w:firstLine="0"/>
              <w:jc w:val="center"/>
              <w:textAlignment w:val="auto"/>
              <w:rPr>
                <w:sz w:val="18"/>
                <w:szCs w:val="24"/>
                <w:lang w:eastAsia="en-US"/>
              </w:rPr>
            </w:pPr>
            <w:proofErr w:type="gramStart"/>
            <w:r w:rsidRPr="00497058">
              <w:rPr>
                <w:b/>
                <w:sz w:val="18"/>
                <w:szCs w:val="18"/>
                <w:lang w:eastAsia="en-US"/>
              </w:rPr>
              <w:t>(приказ Минфина России от 27 августа 2018 г. № 184н (с изменениями)</w:t>
            </w:r>
            <w:proofErr w:type="gramEnd"/>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b/>
                <w:sz w:val="16"/>
                <w:szCs w:val="16"/>
                <w:lang w:eastAsia="en-US"/>
              </w:rPr>
            </w:pPr>
            <w:r w:rsidRPr="00497058">
              <w:rPr>
                <w:b/>
                <w:sz w:val="16"/>
                <w:szCs w:val="16"/>
                <w:lang w:eastAsia="en-US"/>
              </w:rPr>
              <w:t>Сумма изменений сводной росписи с изменениями</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numPr>
                <w:ilvl w:val="0"/>
                <w:numId w:val="1"/>
              </w:numPr>
              <w:overflowPunct/>
              <w:ind w:left="0" w:right="0" w:firstLine="0"/>
              <w:contextualSpacing/>
              <w:jc w:val="center"/>
              <w:textAlignment w:val="auto"/>
              <w:rPr>
                <w:rFonts w:eastAsia="Times New Roman"/>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sz w:val="18"/>
                <w:szCs w:val="18"/>
                <w:lang w:eastAsia="en-US"/>
              </w:rPr>
            </w:pPr>
            <w:hyperlink r:id="rId8" w:history="1">
              <w:r w:rsidR="00497058" w:rsidRPr="00497058">
                <w:rPr>
                  <w:sz w:val="18"/>
                  <w:szCs w:val="18"/>
                  <w:lang w:eastAsia="en-US"/>
                </w:rPr>
                <w:t>Пункт 7 статьи 217</w:t>
              </w:r>
            </w:hyperlink>
            <w:r w:rsidR="00497058" w:rsidRPr="00497058">
              <w:rPr>
                <w:sz w:val="18"/>
                <w:szCs w:val="18"/>
                <w:lang w:eastAsia="en-US"/>
              </w:rPr>
              <w:t xml:space="preserve">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18"/>
                <w:lang w:eastAsia="en-US"/>
              </w:rPr>
            </w:pPr>
            <w:r w:rsidRPr="00497058">
              <w:rPr>
                <w:sz w:val="18"/>
                <w:szCs w:val="18"/>
                <w:lang w:eastAsia="en-US"/>
              </w:rPr>
              <w:t>121</w:t>
            </w:r>
          </w:p>
          <w:p w:rsidR="00497058" w:rsidRPr="00497058" w:rsidRDefault="00497058" w:rsidP="00497058">
            <w:pPr>
              <w:widowControl w:val="0"/>
              <w:ind w:left="0" w:right="0" w:firstLine="0"/>
              <w:textAlignment w:val="auto"/>
              <w:rPr>
                <w:b/>
                <w:sz w:val="18"/>
                <w:szCs w:val="18"/>
                <w:lang w:eastAsia="en-US"/>
              </w:rPr>
            </w:pPr>
            <w:r w:rsidRPr="00497058">
              <w:rPr>
                <w:sz w:val="18"/>
                <w:szCs w:val="18"/>
                <w:lang w:eastAsia="en-US"/>
              </w:rPr>
              <w:t xml:space="preserve">(изменения, вносимые в случае </w:t>
            </w:r>
            <w:proofErr w:type="gramStart"/>
            <w:r w:rsidRPr="00497058">
              <w:rPr>
                <w:b/>
                <w:sz w:val="18"/>
                <w:szCs w:val="18"/>
                <w:lang w:eastAsia="en-US"/>
              </w:rPr>
              <w:t>увеличения</w:t>
            </w:r>
            <w:r w:rsidRPr="00497058">
              <w:rPr>
                <w:sz w:val="18"/>
                <w:szCs w:val="18"/>
                <w:lang w:eastAsia="en-US"/>
              </w:rPr>
              <w:t xml:space="preserve"> бюджетных ассигнований </w:t>
            </w:r>
            <w:r w:rsidRPr="00497058">
              <w:rPr>
                <w:b/>
                <w:sz w:val="18"/>
                <w:szCs w:val="18"/>
                <w:lang w:eastAsia="en-US"/>
              </w:rPr>
              <w:t>резервного фонда Правительства</w:t>
            </w:r>
            <w:r w:rsidRPr="00497058">
              <w:rPr>
                <w:sz w:val="18"/>
                <w:szCs w:val="18"/>
                <w:lang w:eastAsia="en-US"/>
              </w:rPr>
              <w:t xml:space="preserve"> Российской Федерации</w:t>
            </w:r>
            <w:proofErr w:type="gramEnd"/>
            <w:r w:rsidRPr="00497058">
              <w:rPr>
                <w:sz w:val="18"/>
                <w:szCs w:val="18"/>
                <w:lang w:eastAsia="en-US"/>
              </w:rPr>
              <w:t>)</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-4 462,6</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(-4 462,6/+0)</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numPr>
                <w:ilvl w:val="0"/>
                <w:numId w:val="1"/>
              </w:numPr>
              <w:overflowPunct/>
              <w:ind w:left="0" w:right="0" w:firstLine="0"/>
              <w:contextualSpacing/>
              <w:jc w:val="center"/>
              <w:textAlignment w:val="auto"/>
              <w:rPr>
                <w:rFonts w:eastAsia="Times New Roman"/>
                <w:bCs/>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sz w:val="18"/>
                <w:szCs w:val="18"/>
                <w:lang w:eastAsia="en-US"/>
              </w:rPr>
            </w:pPr>
            <w:hyperlink r:id="rId9" w:history="1">
              <w:r w:rsidR="00497058" w:rsidRPr="00497058">
                <w:rPr>
                  <w:sz w:val="18"/>
                  <w:szCs w:val="18"/>
                  <w:lang w:eastAsia="en-US"/>
                </w:rPr>
                <w:t>Пункт 3 статьи 217</w:t>
              </w:r>
            </w:hyperlink>
            <w:r w:rsidR="00497058" w:rsidRPr="00497058">
              <w:rPr>
                <w:sz w:val="18"/>
                <w:szCs w:val="18"/>
                <w:lang w:eastAsia="en-US"/>
              </w:rPr>
              <w:t xml:space="preserve">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bCs/>
                <w:sz w:val="18"/>
                <w:szCs w:val="18"/>
                <w:lang w:eastAsia="en-US"/>
              </w:rPr>
            </w:pPr>
            <w:r w:rsidRPr="00497058">
              <w:rPr>
                <w:bCs/>
                <w:sz w:val="18"/>
                <w:szCs w:val="18"/>
                <w:lang w:eastAsia="en-US"/>
              </w:rPr>
              <w:t>122</w:t>
            </w:r>
          </w:p>
          <w:p w:rsidR="00497058" w:rsidRPr="00497058" w:rsidRDefault="00497058" w:rsidP="00497058">
            <w:pPr>
              <w:ind w:left="0" w:right="0" w:firstLine="0"/>
              <w:textAlignment w:val="auto"/>
              <w:rPr>
                <w:bCs/>
                <w:sz w:val="18"/>
                <w:szCs w:val="18"/>
                <w:lang w:eastAsia="en-US"/>
              </w:rPr>
            </w:pPr>
            <w:proofErr w:type="gramStart"/>
            <w:r w:rsidRPr="00497058">
              <w:rPr>
                <w:bCs/>
                <w:sz w:val="18"/>
                <w:szCs w:val="18"/>
                <w:lang w:eastAsia="en-US"/>
              </w:rPr>
              <w:t>(изменения, вносимые в случае использования (</w:t>
            </w:r>
            <w:r w:rsidRPr="00497058">
              <w:rPr>
                <w:b/>
                <w:bCs/>
                <w:sz w:val="18"/>
                <w:szCs w:val="18"/>
                <w:lang w:eastAsia="en-US"/>
              </w:rPr>
              <w:t>перераспределения</w:t>
            </w:r>
            <w:r w:rsidRPr="00497058">
              <w:rPr>
                <w:bCs/>
                <w:sz w:val="18"/>
                <w:szCs w:val="18"/>
                <w:lang w:eastAsia="en-US"/>
              </w:rPr>
              <w:t xml:space="preserve">) средств </w:t>
            </w:r>
            <w:r w:rsidRPr="00497058">
              <w:rPr>
                <w:b/>
                <w:bCs/>
                <w:sz w:val="18"/>
                <w:szCs w:val="18"/>
                <w:lang w:eastAsia="en-US"/>
              </w:rPr>
              <w:t xml:space="preserve">резервного фонда Правительства </w:t>
            </w:r>
            <w:r w:rsidRPr="00497058">
              <w:rPr>
                <w:bCs/>
                <w:sz w:val="18"/>
                <w:szCs w:val="18"/>
                <w:lang w:eastAsia="en-US"/>
              </w:rPr>
              <w:t>Российской Федерации</w:t>
            </w:r>
            <w:proofErr w:type="gramEnd"/>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9 822,7</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(-180,0/+10 002,7)</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numPr>
                <w:ilvl w:val="0"/>
                <w:numId w:val="1"/>
              </w:numPr>
              <w:overflowPunct/>
              <w:ind w:left="0" w:right="0" w:firstLine="0"/>
              <w:contextualSpacing/>
              <w:jc w:val="center"/>
              <w:textAlignment w:val="auto"/>
              <w:rPr>
                <w:rFonts w:eastAsia="Times New Roman"/>
                <w:bCs/>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lang w:eastAsia="en-US"/>
              </w:rPr>
            </w:pPr>
            <w:hyperlink r:id="rId10" w:history="1">
              <w:r w:rsidR="00497058" w:rsidRPr="00497058">
                <w:rPr>
                  <w:sz w:val="18"/>
                  <w:szCs w:val="18"/>
                  <w:lang w:eastAsia="en-US"/>
                </w:rPr>
                <w:t>Пункт 3 статьи 217</w:t>
              </w:r>
            </w:hyperlink>
            <w:r w:rsidR="00497058" w:rsidRPr="00497058">
              <w:rPr>
                <w:sz w:val="18"/>
                <w:szCs w:val="18"/>
                <w:lang w:eastAsia="en-US"/>
              </w:rPr>
              <w:t xml:space="preserve">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bCs/>
                <w:sz w:val="18"/>
                <w:szCs w:val="18"/>
                <w:lang w:eastAsia="en-US"/>
              </w:rPr>
            </w:pPr>
            <w:r w:rsidRPr="00497058">
              <w:rPr>
                <w:bCs/>
                <w:sz w:val="18"/>
                <w:szCs w:val="18"/>
                <w:lang w:eastAsia="en-US"/>
              </w:rPr>
              <w:t>123</w:t>
            </w:r>
          </w:p>
          <w:p w:rsidR="00497058" w:rsidRPr="00497058" w:rsidRDefault="00497058" w:rsidP="00497058">
            <w:pPr>
              <w:ind w:left="0" w:right="0" w:firstLine="0"/>
              <w:textAlignment w:val="auto"/>
              <w:rPr>
                <w:bCs/>
                <w:sz w:val="18"/>
                <w:szCs w:val="18"/>
                <w:lang w:eastAsia="en-US"/>
              </w:rPr>
            </w:pPr>
            <w:r w:rsidRPr="00497058">
              <w:rPr>
                <w:bCs/>
                <w:sz w:val="18"/>
                <w:szCs w:val="18"/>
                <w:lang w:eastAsia="en-US"/>
              </w:rPr>
              <w:t>(изменения, вносимые в случае использования (</w:t>
            </w:r>
            <w:r w:rsidRPr="00497058">
              <w:rPr>
                <w:b/>
                <w:bCs/>
                <w:sz w:val="18"/>
                <w:szCs w:val="18"/>
                <w:lang w:eastAsia="en-US"/>
              </w:rPr>
              <w:t>перераспределения)</w:t>
            </w:r>
            <w:r w:rsidRPr="00497058">
              <w:rPr>
                <w:bCs/>
                <w:sz w:val="18"/>
                <w:szCs w:val="18"/>
                <w:lang w:eastAsia="en-US"/>
              </w:rPr>
              <w:t xml:space="preserve"> средств </w:t>
            </w:r>
            <w:r w:rsidRPr="00497058">
              <w:rPr>
                <w:b/>
                <w:bCs/>
                <w:sz w:val="18"/>
                <w:szCs w:val="18"/>
                <w:lang w:eastAsia="en-US"/>
              </w:rPr>
              <w:t>резервного фонда Президента</w:t>
            </w:r>
            <w:r w:rsidRPr="00497058">
              <w:rPr>
                <w:bCs/>
                <w:sz w:val="18"/>
                <w:szCs w:val="18"/>
                <w:lang w:eastAsia="en-US"/>
              </w:rPr>
              <w:t xml:space="preserve"> Российской Федерации)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 xml:space="preserve">798,0 </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r w:rsidRPr="00497058">
              <w:rPr>
                <w:bCs/>
                <w:sz w:val="18"/>
                <w:szCs w:val="24"/>
                <w:lang w:eastAsia="en-US"/>
              </w:rPr>
              <w:t>+798,0)</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numPr>
                <w:ilvl w:val="0"/>
                <w:numId w:val="1"/>
              </w:numPr>
              <w:overflowPunct/>
              <w:ind w:left="0" w:right="0" w:firstLine="0"/>
              <w:contextualSpacing/>
              <w:jc w:val="center"/>
              <w:textAlignment w:val="auto"/>
              <w:rPr>
                <w:rFonts w:eastAsia="Times New Roman"/>
                <w:bCs/>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Пункт 3 статьи 217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bCs/>
                <w:sz w:val="18"/>
                <w:szCs w:val="18"/>
                <w:lang w:eastAsia="en-US"/>
              </w:rPr>
            </w:pPr>
            <w:r w:rsidRPr="00497058">
              <w:rPr>
                <w:bCs/>
                <w:sz w:val="18"/>
                <w:szCs w:val="18"/>
                <w:lang w:eastAsia="en-US"/>
              </w:rPr>
              <w:t>125</w:t>
            </w:r>
          </w:p>
          <w:p w:rsidR="00497058" w:rsidRPr="00497058" w:rsidRDefault="00497058" w:rsidP="00497058">
            <w:pPr>
              <w:ind w:left="0" w:right="0" w:firstLine="0"/>
              <w:textAlignment w:val="auto"/>
              <w:rPr>
                <w:bCs/>
                <w:sz w:val="18"/>
                <w:szCs w:val="18"/>
                <w:lang w:eastAsia="en-US"/>
              </w:rPr>
            </w:pPr>
            <w:r w:rsidRPr="00497058">
              <w:rPr>
                <w:bCs/>
                <w:sz w:val="18"/>
                <w:szCs w:val="18"/>
                <w:lang w:eastAsia="en-US"/>
              </w:rPr>
              <w:t>(изменения, вносимые в случае использования (</w:t>
            </w:r>
            <w:r w:rsidRPr="00497058">
              <w:rPr>
                <w:b/>
                <w:bCs/>
                <w:sz w:val="18"/>
                <w:szCs w:val="18"/>
                <w:lang w:eastAsia="en-US"/>
              </w:rPr>
              <w:t>перераспределения</w:t>
            </w:r>
            <w:r w:rsidRPr="00497058">
              <w:rPr>
                <w:bCs/>
                <w:sz w:val="18"/>
                <w:szCs w:val="18"/>
                <w:lang w:eastAsia="en-US"/>
              </w:rPr>
              <w:t xml:space="preserve">) средств иным образом </w:t>
            </w:r>
            <w:r w:rsidRPr="00497058">
              <w:rPr>
                <w:b/>
                <w:bCs/>
                <w:sz w:val="18"/>
                <w:szCs w:val="18"/>
                <w:lang w:eastAsia="en-US"/>
              </w:rPr>
              <w:t>зарезервированных</w:t>
            </w:r>
            <w:r w:rsidRPr="00497058">
              <w:rPr>
                <w:bCs/>
                <w:sz w:val="18"/>
                <w:szCs w:val="18"/>
                <w:lang w:eastAsia="en-US"/>
              </w:rPr>
              <w:t xml:space="preserve"> </w:t>
            </w:r>
            <w:r w:rsidRPr="00497058">
              <w:rPr>
                <w:b/>
                <w:bCs/>
                <w:sz w:val="18"/>
                <w:szCs w:val="18"/>
                <w:lang w:eastAsia="en-US"/>
              </w:rPr>
              <w:t>в составе</w:t>
            </w:r>
            <w:r w:rsidRPr="00497058">
              <w:rPr>
                <w:bCs/>
                <w:sz w:val="18"/>
                <w:szCs w:val="18"/>
                <w:lang w:eastAsia="en-US"/>
              </w:rPr>
              <w:t xml:space="preserve"> </w:t>
            </w:r>
            <w:r w:rsidRPr="00497058">
              <w:rPr>
                <w:b/>
                <w:bCs/>
                <w:sz w:val="18"/>
                <w:szCs w:val="18"/>
                <w:lang w:eastAsia="en-US"/>
              </w:rPr>
              <w:t>утвержденных Законом</w:t>
            </w:r>
            <w:r w:rsidRPr="00497058">
              <w:rPr>
                <w:bCs/>
                <w:sz w:val="18"/>
                <w:szCs w:val="18"/>
                <w:lang w:eastAsia="en-US"/>
              </w:rPr>
              <w:t xml:space="preserve"> бюджетных ассигнований)</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sz w:val="18"/>
                <w:szCs w:val="24"/>
                <w:lang w:eastAsia="en-US"/>
              </w:rPr>
            </w:pPr>
            <w:proofErr w:type="gramStart"/>
            <w:r w:rsidRPr="00497058">
              <w:rPr>
                <w:sz w:val="18"/>
                <w:szCs w:val="24"/>
                <w:lang w:eastAsia="en-US"/>
              </w:rPr>
              <w:t>(-14 511,7/</w:t>
            </w:r>
            <w:proofErr w:type="gramEnd"/>
          </w:p>
          <w:p w:rsidR="00497058" w:rsidRPr="00497058" w:rsidRDefault="00497058" w:rsidP="00497058">
            <w:pPr>
              <w:ind w:left="0" w:right="0" w:firstLine="0"/>
              <w:jc w:val="center"/>
              <w:textAlignment w:val="auto"/>
              <w:rPr>
                <w:sz w:val="18"/>
                <w:szCs w:val="24"/>
                <w:lang w:eastAsia="en-US"/>
              </w:rPr>
            </w:pPr>
            <w:proofErr w:type="gramStart"/>
            <w:r w:rsidRPr="00497058">
              <w:rPr>
                <w:sz w:val="18"/>
                <w:szCs w:val="24"/>
                <w:lang w:eastAsia="en-US"/>
              </w:rPr>
              <w:t>+14 511,7)</w:t>
            </w:r>
            <w:proofErr w:type="gramEnd"/>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sz w:val="18"/>
                <w:szCs w:val="18"/>
                <w:lang w:eastAsia="en-US"/>
              </w:rPr>
            </w:pPr>
            <w:hyperlink r:id="rId11" w:history="1">
              <w:r w:rsidR="00497058" w:rsidRPr="00497058">
                <w:rPr>
                  <w:sz w:val="18"/>
                  <w:szCs w:val="18"/>
                  <w:lang w:eastAsia="en-US"/>
                </w:rPr>
                <w:t>Пункт 3 статьи 217</w:t>
              </w:r>
            </w:hyperlink>
            <w:r w:rsidR="00497058" w:rsidRPr="00497058">
              <w:rPr>
                <w:sz w:val="18"/>
                <w:szCs w:val="18"/>
                <w:lang w:eastAsia="en-US"/>
              </w:rPr>
              <w:t xml:space="preserve">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221</w:t>
            </w:r>
          </w:p>
          <w:p w:rsidR="00497058" w:rsidRPr="00497058" w:rsidRDefault="00497058" w:rsidP="00497058">
            <w:pPr>
              <w:ind w:left="0" w:right="0" w:firstLine="0"/>
              <w:textAlignment w:val="auto"/>
              <w:rPr>
                <w:sz w:val="18"/>
                <w:szCs w:val="24"/>
                <w:lang w:eastAsia="en-US"/>
              </w:rPr>
            </w:pPr>
            <w:r w:rsidRPr="00497058">
              <w:rPr>
                <w:sz w:val="18"/>
                <w:szCs w:val="18"/>
                <w:lang w:eastAsia="en-US"/>
              </w:rPr>
              <w:t xml:space="preserve">(изменения, вносимые в случае </w:t>
            </w:r>
            <w:r w:rsidRPr="00497058">
              <w:rPr>
                <w:b/>
                <w:sz w:val="18"/>
                <w:szCs w:val="18"/>
                <w:lang w:eastAsia="en-US"/>
              </w:rPr>
              <w:t>увеличения</w:t>
            </w:r>
            <w:r w:rsidRPr="00497058">
              <w:rPr>
                <w:sz w:val="18"/>
                <w:szCs w:val="18"/>
                <w:lang w:eastAsia="en-US"/>
              </w:rPr>
              <w:t xml:space="preserve"> бюджетных ассигнований текущего финансового года </w:t>
            </w:r>
            <w:r w:rsidRPr="00497058">
              <w:rPr>
                <w:b/>
                <w:sz w:val="18"/>
                <w:szCs w:val="18"/>
                <w:lang w:eastAsia="en-US"/>
              </w:rPr>
              <w:t>на оплату заключенных государственных контрактов</w:t>
            </w:r>
            <w:r w:rsidRPr="00497058">
              <w:rPr>
                <w:sz w:val="18"/>
                <w:szCs w:val="18"/>
                <w:lang w:eastAsia="en-US"/>
              </w:rPr>
              <w:t xml:space="preserve">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497058">
              <w:rPr>
                <w:sz w:val="18"/>
                <w:szCs w:val="18"/>
                <w:lang w:eastAsia="en-US"/>
              </w:rPr>
              <w:t>ассигнований</w:t>
            </w:r>
            <w:proofErr w:type="gramEnd"/>
            <w:r w:rsidRPr="00497058">
              <w:rPr>
                <w:sz w:val="18"/>
                <w:szCs w:val="18"/>
                <w:lang w:eastAsia="en-US"/>
              </w:rPr>
              <w:t xml:space="preserve"> на исполнение указанных государственных контрактов)</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4 005,4</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(-0/+4 005,4)</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sz w:val="18"/>
                <w:szCs w:val="18"/>
                <w:lang w:eastAsia="en-US"/>
              </w:rPr>
            </w:pPr>
            <w:hyperlink r:id="rId12" w:history="1">
              <w:r w:rsidR="00497058" w:rsidRPr="00497058">
                <w:rPr>
                  <w:sz w:val="18"/>
                  <w:szCs w:val="18"/>
                  <w:lang w:eastAsia="en-US"/>
                </w:rPr>
                <w:t>Пункт 4 статьи 94</w:t>
              </w:r>
            </w:hyperlink>
            <w:r w:rsidR="00497058" w:rsidRPr="00497058">
              <w:rPr>
                <w:sz w:val="18"/>
                <w:szCs w:val="18"/>
                <w:lang w:eastAsia="en-US"/>
              </w:rPr>
              <w:t xml:space="preserve"> Бюджетного кодекса</w:t>
            </w:r>
          </w:p>
          <w:p w:rsidR="00497058" w:rsidRPr="00497058" w:rsidRDefault="00497058" w:rsidP="00497058">
            <w:pPr>
              <w:ind w:left="0" w:right="0" w:firstLine="0"/>
              <w:textAlignment w:val="auto"/>
              <w:rPr>
                <w:sz w:val="18"/>
                <w:szCs w:val="18"/>
                <w:lang w:eastAsia="en-US"/>
              </w:rPr>
            </w:pPr>
            <w:r w:rsidRPr="00497058">
              <w:rPr>
                <w:sz w:val="18"/>
                <w:szCs w:val="18"/>
                <w:lang w:eastAsia="en-US"/>
              </w:rPr>
              <w:t>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224</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связи с неполным использованием бюджетных ассигнований </w:t>
            </w:r>
            <w:r w:rsidRPr="00497058">
              <w:rPr>
                <w:b/>
                <w:sz w:val="18"/>
                <w:szCs w:val="18"/>
                <w:lang w:eastAsia="en-US"/>
              </w:rPr>
              <w:t>Федерального дорожного фонда</w:t>
            </w:r>
            <w:r w:rsidRPr="00497058">
              <w:rPr>
                <w:sz w:val="18"/>
                <w:szCs w:val="18"/>
                <w:lang w:eastAsia="en-US"/>
              </w:rPr>
              <w:t xml:space="preserve"> отчетного финансового года)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2 719,0</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(-0/+2 719,0)</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ind w:left="0" w:right="0" w:firstLine="0"/>
              <w:textAlignment w:val="auto"/>
              <w:rPr>
                <w:sz w:val="18"/>
                <w:szCs w:val="18"/>
                <w:lang w:eastAsia="en-US"/>
              </w:rPr>
            </w:pPr>
            <w:hyperlink r:id="rId13" w:history="1">
              <w:r w:rsidR="00497058" w:rsidRPr="00497058">
                <w:rPr>
                  <w:sz w:val="18"/>
                  <w:szCs w:val="18"/>
                  <w:lang w:eastAsia="en-US"/>
                </w:rPr>
                <w:t>Пункт 7 статьи 217</w:t>
              </w:r>
            </w:hyperlink>
            <w:r w:rsidR="00497058" w:rsidRPr="00497058">
              <w:rPr>
                <w:sz w:val="18"/>
                <w:szCs w:val="18"/>
                <w:lang w:eastAsia="en-US"/>
              </w:rPr>
              <w:t xml:space="preserve">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226</w:t>
            </w:r>
          </w:p>
          <w:p w:rsidR="00497058" w:rsidRPr="00497058" w:rsidRDefault="00497058" w:rsidP="00497058">
            <w:pPr>
              <w:widowControl w:val="0"/>
              <w:ind w:left="0" w:right="0" w:firstLine="0"/>
              <w:textAlignment w:val="auto"/>
              <w:rPr>
                <w:sz w:val="18"/>
                <w:szCs w:val="18"/>
                <w:lang w:eastAsia="en-US"/>
              </w:rPr>
            </w:pPr>
            <w:proofErr w:type="gramStart"/>
            <w:r w:rsidRPr="00497058">
              <w:rPr>
                <w:sz w:val="18"/>
                <w:szCs w:val="18"/>
                <w:lang w:eastAsia="en-US"/>
              </w:rPr>
              <w:t xml:space="preserve">(изменения, связанные с </w:t>
            </w:r>
            <w:r w:rsidRPr="00497058">
              <w:rPr>
                <w:b/>
                <w:sz w:val="18"/>
                <w:szCs w:val="18"/>
                <w:lang w:eastAsia="en-US"/>
              </w:rPr>
              <w:t xml:space="preserve">увеличением </w:t>
            </w:r>
            <w:r w:rsidRPr="00497058">
              <w:rPr>
                <w:sz w:val="18"/>
                <w:szCs w:val="18"/>
                <w:lang w:eastAsia="en-US"/>
              </w:rPr>
              <w:t xml:space="preserve">бюджетных ассигнований на предоставление из федерального бюджета </w:t>
            </w:r>
            <w:r w:rsidRPr="00497058">
              <w:rPr>
                <w:b/>
                <w:sz w:val="18"/>
                <w:szCs w:val="18"/>
                <w:lang w:eastAsia="en-US"/>
              </w:rPr>
              <w:t>межбюджетных трансфертов</w:t>
            </w:r>
            <w:r w:rsidRPr="00497058">
              <w:rPr>
                <w:sz w:val="18"/>
                <w:szCs w:val="18"/>
                <w:lang w:eastAsia="en-US"/>
              </w:rPr>
              <w:t xml:space="preserve">, </w:t>
            </w:r>
            <w:r w:rsidRPr="00497058">
              <w:rPr>
                <w:b/>
                <w:sz w:val="18"/>
                <w:szCs w:val="18"/>
                <w:lang w:eastAsia="en-US"/>
              </w:rPr>
              <w:t>имеющих целевое назначение,</w:t>
            </w:r>
            <w:r w:rsidRPr="00497058">
              <w:rPr>
                <w:sz w:val="18"/>
                <w:szCs w:val="18"/>
                <w:lang w:eastAsia="en-US"/>
              </w:rPr>
              <w:t xml:space="preserve">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являлись указанные межбюджетные трансферты, в объеме, не превышающем с учетом уровня </w:t>
            </w:r>
            <w:proofErr w:type="spellStart"/>
            <w:r w:rsidRPr="00497058">
              <w:rPr>
                <w:sz w:val="18"/>
                <w:szCs w:val="18"/>
                <w:lang w:eastAsia="en-US"/>
              </w:rPr>
              <w:t>софинансирования</w:t>
            </w:r>
            <w:proofErr w:type="spellEnd"/>
            <w:r w:rsidRPr="00497058">
              <w:rPr>
                <w:sz w:val="18"/>
                <w:szCs w:val="18"/>
                <w:lang w:eastAsia="en-US"/>
              </w:rPr>
              <w:t xml:space="preserve"> остатка не использованных на начало текущего финансового</w:t>
            </w:r>
            <w:proofErr w:type="gramEnd"/>
            <w:r w:rsidRPr="00497058">
              <w:rPr>
                <w:sz w:val="18"/>
                <w:szCs w:val="18"/>
                <w:lang w:eastAsia="en-US"/>
              </w:rPr>
              <w:t xml:space="preserve"> года бюджетных ассигнований субъекта Российской Федерации </w:t>
            </w:r>
            <w:r w:rsidRPr="00497058">
              <w:rPr>
                <w:b/>
                <w:sz w:val="18"/>
                <w:szCs w:val="18"/>
                <w:lang w:eastAsia="en-US"/>
              </w:rPr>
              <w:t>на оплату государственных (муниципальных) контрактов,</w:t>
            </w:r>
            <w:r w:rsidRPr="00497058">
              <w:rPr>
                <w:sz w:val="18"/>
                <w:szCs w:val="18"/>
                <w:lang w:eastAsia="en-US"/>
              </w:rPr>
              <w:t xml:space="preserve"> </w:t>
            </w:r>
            <w:r w:rsidRPr="00497058">
              <w:rPr>
                <w:b/>
                <w:sz w:val="18"/>
                <w:szCs w:val="18"/>
                <w:lang w:eastAsia="en-US"/>
              </w:rPr>
              <w:t>заключенных от имени субъекта Российской Федерации (муниципальных образований)</w:t>
            </w:r>
            <w:r w:rsidRPr="00497058">
              <w:rPr>
                <w:sz w:val="18"/>
                <w:szCs w:val="18"/>
                <w:lang w:eastAsia="en-US"/>
              </w:rPr>
              <w:t xml:space="preserve">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235,9</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(-0/+235,9)</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 xml:space="preserve">Пункт 2 части 1 статьи 6 Федерального закона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228</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связанные с </w:t>
            </w:r>
            <w:r w:rsidRPr="00497058">
              <w:rPr>
                <w:b/>
                <w:sz w:val="18"/>
                <w:szCs w:val="18"/>
                <w:lang w:eastAsia="en-US"/>
              </w:rPr>
              <w:t>увеличением</w:t>
            </w:r>
            <w:r w:rsidRPr="00497058">
              <w:rPr>
                <w:sz w:val="18"/>
                <w:szCs w:val="18"/>
                <w:lang w:eastAsia="en-US"/>
              </w:rPr>
              <w:t xml:space="preserve"> бюджетных ассигнований в объеме, не превышающем остатка лимитов бюджетных обязательств на оплату </w:t>
            </w:r>
            <w:r w:rsidRPr="00497058">
              <w:rPr>
                <w:b/>
                <w:sz w:val="18"/>
                <w:szCs w:val="18"/>
                <w:lang w:eastAsia="en-US"/>
              </w:rPr>
              <w:t xml:space="preserve">государственных контрактов </w:t>
            </w:r>
            <w:r w:rsidRPr="00497058">
              <w:rPr>
                <w:sz w:val="18"/>
                <w:szCs w:val="18"/>
                <w:lang w:eastAsia="en-US"/>
              </w:rPr>
              <w:t xml:space="preserve">на закупку товаров, выполнение работ, оказание услуг, </w:t>
            </w:r>
            <w:r w:rsidRPr="00497058">
              <w:rPr>
                <w:b/>
                <w:sz w:val="18"/>
                <w:szCs w:val="18"/>
                <w:lang w:eastAsia="en-US"/>
              </w:rPr>
              <w:t>расчеты по которым в 2018 году осуществлялись с применением казначейского обеспечения обязательств</w:t>
            </w:r>
            <w:r w:rsidRPr="00497058">
              <w:rPr>
                <w:sz w:val="18"/>
                <w:szCs w:val="18"/>
                <w:lang w:eastAsia="en-US"/>
              </w:rPr>
              <w:t xml:space="preserve">, на суммы, не </w:t>
            </w:r>
            <w:r w:rsidRPr="00497058">
              <w:rPr>
                <w:sz w:val="18"/>
                <w:szCs w:val="18"/>
                <w:lang w:eastAsia="en-US"/>
              </w:rPr>
              <w:lastRenderedPageBreak/>
              <w:t xml:space="preserve">превышающие </w:t>
            </w:r>
            <w:proofErr w:type="gramStart"/>
            <w:r w:rsidRPr="00497058">
              <w:rPr>
                <w:sz w:val="18"/>
                <w:szCs w:val="18"/>
                <w:lang w:eastAsia="en-US"/>
              </w:rPr>
              <w:t>остатков</w:t>
            </w:r>
            <w:proofErr w:type="gramEnd"/>
            <w:r w:rsidRPr="00497058">
              <w:rPr>
                <w:sz w:val="18"/>
                <w:szCs w:val="18"/>
                <w:lang w:eastAsia="en-US"/>
              </w:rPr>
              <w:t xml:space="preserve"> не использованных в 2018 году лимитов бюджетных обязательств на указанные цели)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lastRenderedPageBreak/>
              <w:t>1 137,8</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(-0/+1 137,8)</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Пункт 3 статьи 217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271</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(изменения, вносимые в случае исполнения судебных актов, предусматривающих обращение взыскания на средства бюджетов бюджетной системы Российской Федерации и (или) предусматривающих перечисление этих сре</w:t>
            </w:r>
            <w:proofErr w:type="gramStart"/>
            <w:r w:rsidRPr="00497058">
              <w:rPr>
                <w:sz w:val="18"/>
                <w:szCs w:val="18"/>
                <w:lang w:eastAsia="en-US"/>
              </w:rPr>
              <w:t>дств в сч</w:t>
            </w:r>
            <w:proofErr w:type="gramEnd"/>
            <w:r w:rsidRPr="00497058">
              <w:rPr>
                <w:sz w:val="18"/>
                <w:szCs w:val="18"/>
                <w:lang w:eastAsia="en-US"/>
              </w:rPr>
              <w:t>ет оплаты судебных издержек)</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(-0,1/+0,1)</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Пункт 3 статьи 217 Бюджетного кодекса Российской Федерации</w:t>
            </w:r>
          </w:p>
        </w:tc>
        <w:tc>
          <w:tcPr>
            <w:tcW w:w="6088" w:type="dxa"/>
            <w:tcBorders>
              <w:top w:val="single" w:sz="4" w:space="0" w:color="auto"/>
              <w:left w:val="single" w:sz="4" w:space="0" w:color="auto"/>
              <w:bottom w:val="single" w:sz="4" w:space="0" w:color="auto"/>
              <w:right w:val="single" w:sz="4" w:space="0" w:color="auto"/>
            </w:tcBorders>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273</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случае </w:t>
            </w:r>
            <w:r w:rsidRPr="00497058">
              <w:rPr>
                <w:b/>
                <w:sz w:val="18"/>
                <w:szCs w:val="18"/>
                <w:lang w:eastAsia="en-US"/>
              </w:rPr>
              <w:t>перераспределения</w:t>
            </w:r>
            <w:r w:rsidRPr="00497058">
              <w:rPr>
                <w:sz w:val="18"/>
                <w:szCs w:val="18"/>
                <w:lang w:eastAsia="en-US"/>
              </w:rPr>
              <w:t xml:space="preserve"> бюджетных ассигнований, </w:t>
            </w:r>
            <w:r w:rsidRPr="00497058">
              <w:rPr>
                <w:b/>
                <w:sz w:val="18"/>
                <w:szCs w:val="18"/>
                <w:lang w:eastAsia="en-US"/>
              </w:rPr>
              <w:t>предоставляемых на конкурсной основе</w:t>
            </w:r>
            <w:r w:rsidRPr="00497058">
              <w:rPr>
                <w:sz w:val="18"/>
                <w:szCs w:val="18"/>
                <w:lang w:eastAsia="en-US"/>
              </w:rPr>
              <w:t>)</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(-82,0/+82,0)</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tcPr>
          <w:p w:rsidR="00497058" w:rsidRPr="00497058" w:rsidRDefault="00497058" w:rsidP="00497058">
            <w:pPr>
              <w:ind w:left="0" w:right="0" w:firstLine="0"/>
              <w:jc w:val="center"/>
              <w:textAlignment w:val="auto"/>
              <w:rPr>
                <w:sz w:val="18"/>
                <w:szCs w:val="18"/>
                <w:lang w:eastAsia="en-US"/>
              </w:rPr>
            </w:pPr>
          </w:p>
          <w:p w:rsidR="00497058" w:rsidRPr="00497058" w:rsidRDefault="00497058" w:rsidP="00497058">
            <w:pPr>
              <w:ind w:left="0" w:right="0" w:firstLine="0"/>
              <w:textAlignment w:val="auto"/>
              <w:rPr>
                <w:sz w:val="18"/>
                <w:szCs w:val="18"/>
                <w:lang w:eastAsia="en-US"/>
              </w:rPr>
            </w:pPr>
            <w:r w:rsidRPr="00497058">
              <w:rPr>
                <w:sz w:val="18"/>
                <w:szCs w:val="18"/>
                <w:lang w:eastAsia="en-US"/>
              </w:rPr>
              <w:t xml:space="preserve">Часть 1 статьи 7 Федерального закона от 28 ноября 2018 г. № 457-ФЗ </w:t>
            </w: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8"/>
                <w:szCs w:val="8"/>
                <w:lang w:eastAsia="en-US"/>
              </w:rPr>
            </w:pPr>
          </w:p>
          <w:p w:rsidR="00497058" w:rsidRPr="00497058" w:rsidRDefault="00497058" w:rsidP="00497058">
            <w:pPr>
              <w:ind w:left="0" w:right="0" w:firstLine="0"/>
              <w:textAlignment w:val="auto"/>
              <w:rPr>
                <w:sz w:val="18"/>
                <w:szCs w:val="18"/>
                <w:lang w:eastAsia="en-US"/>
              </w:rPr>
            </w:pPr>
            <w:r w:rsidRPr="00497058">
              <w:rPr>
                <w:sz w:val="18"/>
                <w:szCs w:val="18"/>
                <w:lang w:eastAsia="en-US"/>
              </w:rPr>
              <w:t>Пункт 7 статьи 217 Бюджетного кодекса Российской Федерации</w:t>
            </w:r>
          </w:p>
          <w:p w:rsidR="00497058" w:rsidRPr="00497058" w:rsidRDefault="00497058" w:rsidP="00497058">
            <w:pPr>
              <w:ind w:left="0" w:right="0" w:firstLine="0"/>
              <w:jc w:val="center"/>
              <w:textAlignment w:val="auto"/>
              <w:rPr>
                <w:sz w:val="18"/>
                <w:szCs w:val="18"/>
                <w:lang w:eastAsia="en-US"/>
              </w:rPr>
            </w:pPr>
          </w:p>
        </w:tc>
        <w:tc>
          <w:tcPr>
            <w:tcW w:w="6088" w:type="dxa"/>
            <w:tcBorders>
              <w:top w:val="single" w:sz="4" w:space="0" w:color="auto"/>
              <w:left w:val="single" w:sz="4" w:space="0" w:color="auto"/>
              <w:bottom w:val="single" w:sz="4" w:space="0" w:color="auto"/>
              <w:right w:val="single" w:sz="4" w:space="0" w:color="auto"/>
            </w:tcBorders>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278</w:t>
            </w:r>
          </w:p>
          <w:p w:rsidR="00497058" w:rsidRPr="00497058" w:rsidRDefault="00497058" w:rsidP="00497058">
            <w:pPr>
              <w:widowControl w:val="0"/>
              <w:ind w:left="0" w:right="0" w:firstLine="0"/>
              <w:textAlignment w:val="auto"/>
              <w:rPr>
                <w:sz w:val="18"/>
                <w:szCs w:val="18"/>
                <w:lang w:eastAsia="en-US"/>
              </w:rPr>
            </w:pPr>
            <w:proofErr w:type="gramStart"/>
            <w:r w:rsidRPr="00497058">
              <w:rPr>
                <w:sz w:val="18"/>
                <w:szCs w:val="18"/>
                <w:lang w:eastAsia="en-US"/>
              </w:rPr>
              <w:t xml:space="preserve">(изменения, вносимые в случае </w:t>
            </w:r>
            <w:r w:rsidRPr="00497058">
              <w:rPr>
                <w:b/>
                <w:sz w:val="18"/>
                <w:szCs w:val="18"/>
                <w:lang w:eastAsia="en-US"/>
              </w:rPr>
              <w:t>перераспределения бюджетных ассигнований между национальными проектами</w:t>
            </w:r>
            <w:r w:rsidRPr="00497058">
              <w:rPr>
                <w:sz w:val="18"/>
                <w:szCs w:val="18"/>
                <w:lang w:eastAsia="en-US"/>
              </w:rPr>
              <w:t xml:space="preserve"> (программами) и (или) входящими в их состав федеральными проектами и (или) результатами их реализации,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 а также в случае увеличения бюджетных ассигнований, </w:t>
            </w:r>
            <w:r w:rsidRPr="00497058">
              <w:rPr>
                <w:b/>
                <w:sz w:val="18"/>
                <w:szCs w:val="18"/>
                <w:lang w:eastAsia="en-US"/>
              </w:rPr>
              <w:t>предусмотренных на финансовое</w:t>
            </w:r>
            <w:proofErr w:type="gramEnd"/>
            <w:r w:rsidRPr="00497058">
              <w:rPr>
                <w:b/>
                <w:sz w:val="18"/>
                <w:szCs w:val="18"/>
                <w:lang w:eastAsia="en-US"/>
              </w:rPr>
              <w:t xml:space="preserve"> </w:t>
            </w:r>
            <w:proofErr w:type="gramStart"/>
            <w:r w:rsidRPr="00497058">
              <w:rPr>
                <w:b/>
                <w:sz w:val="18"/>
                <w:szCs w:val="18"/>
                <w:lang w:eastAsia="en-US"/>
              </w:rPr>
              <w:t>обеспечение реализации национальных проектов (программ), за счет уменьшения бюджетных ассигнований, не отнесенных Федеральным законом</w:t>
            </w:r>
            <w:r w:rsidRPr="00497058">
              <w:rPr>
                <w:sz w:val="18"/>
                <w:szCs w:val="18"/>
                <w:lang w:eastAsia="en-US"/>
              </w:rPr>
              <w:t xml:space="preserve"> «О федеральном бюджете на 2019 год и на плановый период 2020 и 2021 годов» на указанные цели (приказ Минфина России от 27 августа 2018 г. № 184н</w:t>
            </w:r>
            <w:r w:rsidRPr="00497058">
              <w:rPr>
                <w:b/>
                <w:sz w:val="18"/>
                <w:szCs w:val="18"/>
                <w:lang w:eastAsia="en-US"/>
              </w:rPr>
              <w:t xml:space="preserve"> </w:t>
            </w:r>
            <w:r w:rsidRPr="00497058">
              <w:rPr>
                <w:sz w:val="18"/>
                <w:szCs w:val="18"/>
                <w:lang w:eastAsia="en-US"/>
              </w:rPr>
              <w:t>в редакции приказа Минфина России от 17 декабря 2018 г. № 273н)</w:t>
            </w:r>
            <w:proofErr w:type="gramEnd"/>
          </w:p>
          <w:p w:rsidR="00497058" w:rsidRPr="00497058" w:rsidRDefault="00497058" w:rsidP="00497058">
            <w:pPr>
              <w:widowControl w:val="0"/>
              <w:ind w:left="0" w:right="0" w:firstLine="0"/>
              <w:jc w:val="center"/>
              <w:textAlignment w:val="auto"/>
              <w:rPr>
                <w:sz w:val="18"/>
                <w:szCs w:val="18"/>
                <w:lang w:eastAsia="en-US"/>
              </w:rPr>
            </w:pPr>
          </w:p>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278</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связанные </w:t>
            </w:r>
            <w:r w:rsidRPr="00497058">
              <w:rPr>
                <w:b/>
                <w:sz w:val="18"/>
                <w:szCs w:val="18"/>
                <w:lang w:eastAsia="en-US"/>
              </w:rPr>
              <w:t>с перераспределением</w:t>
            </w:r>
            <w:r w:rsidRPr="00497058">
              <w:rPr>
                <w:sz w:val="18"/>
                <w:szCs w:val="18"/>
                <w:lang w:eastAsia="en-US"/>
              </w:rPr>
              <w:t xml:space="preserve"> бюджетных ассигнований, вносимых в случае исполнения принятых </w:t>
            </w:r>
            <w:r w:rsidRPr="00497058">
              <w:rPr>
                <w:b/>
                <w:sz w:val="18"/>
                <w:szCs w:val="18"/>
                <w:lang w:eastAsia="en-US"/>
              </w:rPr>
              <w:t>в соответствии с федеральными законами решений об утвержденном размере уставного капитала</w:t>
            </w:r>
            <w:r w:rsidRPr="00497058">
              <w:rPr>
                <w:sz w:val="18"/>
                <w:szCs w:val="18"/>
                <w:lang w:eastAsia="en-US"/>
              </w:rPr>
              <w:t>) (приказ Минфина России от 27 августа 2018 г. № 184н</w:t>
            </w:r>
            <w:r w:rsidRPr="00497058">
              <w:rPr>
                <w:b/>
                <w:sz w:val="18"/>
                <w:szCs w:val="18"/>
                <w:lang w:eastAsia="en-US"/>
              </w:rPr>
              <w:t xml:space="preserve"> </w:t>
            </w:r>
            <w:r w:rsidRPr="00497058">
              <w:rPr>
                <w:sz w:val="18"/>
                <w:szCs w:val="18"/>
                <w:lang w:eastAsia="en-US"/>
              </w:rPr>
              <w:t>в редакции приказа Минфина России от 16 февраля 2019 г. № 21н)</w:t>
            </w:r>
          </w:p>
        </w:tc>
        <w:tc>
          <w:tcPr>
            <w:tcW w:w="1693" w:type="dxa"/>
            <w:tcBorders>
              <w:top w:val="single" w:sz="4" w:space="0" w:color="auto"/>
              <w:left w:val="single" w:sz="4" w:space="0" w:color="auto"/>
              <w:bottom w:val="single" w:sz="4" w:space="0" w:color="auto"/>
              <w:right w:val="single" w:sz="4" w:space="0" w:color="auto"/>
            </w:tcBorders>
          </w:tcPr>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(-847,0/+847,0)</w:t>
            </w: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Часть 1 статьи 7</w:t>
            </w:r>
            <w:r w:rsidRPr="00497058">
              <w:rPr>
                <w:b/>
                <w:sz w:val="18"/>
                <w:szCs w:val="18"/>
                <w:lang w:eastAsia="en-US"/>
              </w:rPr>
              <w:t xml:space="preserve"> </w:t>
            </w:r>
            <w:r w:rsidRPr="00497058">
              <w:rPr>
                <w:sz w:val="18"/>
                <w:szCs w:val="18"/>
                <w:lang w:eastAsia="en-US"/>
              </w:rPr>
              <w:t xml:space="preserve">Федерального закона от 28 ноября 2018 г. № 457-ФЗ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281</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случае </w:t>
            </w:r>
            <w:r w:rsidRPr="00497058">
              <w:rPr>
                <w:b/>
                <w:sz w:val="18"/>
                <w:szCs w:val="18"/>
                <w:lang w:eastAsia="en-US"/>
              </w:rPr>
              <w:t>перераспределения</w:t>
            </w:r>
            <w:r w:rsidRPr="00497058">
              <w:rPr>
                <w:sz w:val="18"/>
                <w:szCs w:val="18"/>
                <w:lang w:eastAsia="en-US"/>
              </w:rPr>
              <w:t xml:space="preserve"> бюджетных ассигнований </w:t>
            </w:r>
            <w:r w:rsidRPr="00497058">
              <w:rPr>
                <w:b/>
                <w:sz w:val="18"/>
                <w:szCs w:val="18"/>
                <w:lang w:eastAsia="en-US"/>
              </w:rPr>
              <w:t>в рамках</w:t>
            </w:r>
            <w:r w:rsidRPr="00497058">
              <w:rPr>
                <w:sz w:val="18"/>
                <w:szCs w:val="18"/>
                <w:lang w:eastAsia="en-US"/>
              </w:rPr>
              <w:t xml:space="preserve"> результатов </w:t>
            </w:r>
            <w:r w:rsidRPr="00497058">
              <w:rPr>
                <w:b/>
                <w:sz w:val="18"/>
                <w:szCs w:val="18"/>
                <w:lang w:eastAsia="en-US"/>
              </w:rPr>
              <w:t>реализации федеральных проектов</w:t>
            </w:r>
            <w:r w:rsidRPr="00497058">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bCs/>
                <w:sz w:val="18"/>
                <w:szCs w:val="24"/>
                <w:lang w:eastAsia="en-US"/>
              </w:rPr>
            </w:pPr>
            <w:proofErr w:type="gramStart"/>
            <w:r w:rsidRPr="00497058">
              <w:rPr>
                <w:sz w:val="18"/>
                <w:szCs w:val="24"/>
                <w:lang w:eastAsia="en-US"/>
              </w:rPr>
              <w:t>(</w:t>
            </w:r>
            <w:r w:rsidRPr="00497058">
              <w:rPr>
                <w:bCs/>
                <w:sz w:val="18"/>
                <w:szCs w:val="24"/>
                <w:lang w:eastAsia="en-US"/>
              </w:rPr>
              <w:t>-6 627,5</w:t>
            </w:r>
            <w:proofErr w:type="gramEnd"/>
          </w:p>
          <w:p w:rsidR="00497058" w:rsidRPr="00497058" w:rsidRDefault="00497058" w:rsidP="00497058">
            <w:pPr>
              <w:ind w:left="0" w:right="0" w:firstLine="0"/>
              <w:jc w:val="center"/>
              <w:textAlignment w:val="auto"/>
              <w:rPr>
                <w:sz w:val="18"/>
                <w:szCs w:val="24"/>
                <w:lang w:eastAsia="en-US"/>
              </w:rPr>
            </w:pPr>
            <w:proofErr w:type="gramStart"/>
            <w:r w:rsidRPr="00497058">
              <w:rPr>
                <w:bCs/>
                <w:sz w:val="18"/>
                <w:szCs w:val="24"/>
                <w:lang w:eastAsia="en-US"/>
              </w:rPr>
              <w:t>+6 627,5)</w:t>
            </w:r>
            <w:proofErr w:type="gramEnd"/>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 xml:space="preserve">Часть 1 статьи 7 Федерального закона от 28 ноября 2018 г. № 457-ФЗ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282</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случае </w:t>
            </w:r>
            <w:r w:rsidRPr="00497058">
              <w:rPr>
                <w:b/>
                <w:sz w:val="18"/>
                <w:szCs w:val="18"/>
                <w:lang w:eastAsia="en-US"/>
              </w:rPr>
              <w:t xml:space="preserve">перераспределения </w:t>
            </w:r>
            <w:r w:rsidRPr="00497058">
              <w:rPr>
                <w:sz w:val="18"/>
                <w:szCs w:val="18"/>
                <w:lang w:eastAsia="en-US"/>
              </w:rPr>
              <w:t xml:space="preserve">бюджетных ассигнований </w:t>
            </w:r>
            <w:r w:rsidRPr="00497058">
              <w:rPr>
                <w:b/>
                <w:sz w:val="18"/>
                <w:szCs w:val="18"/>
                <w:lang w:eastAsia="en-US"/>
              </w:rPr>
              <w:t>между результатами реализации федеральных проектов</w:t>
            </w:r>
            <w:r w:rsidRPr="00497058">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0 </w:t>
            </w:r>
          </w:p>
          <w:p w:rsidR="00497058" w:rsidRPr="00497058" w:rsidRDefault="00497058" w:rsidP="00497058">
            <w:pPr>
              <w:ind w:left="0" w:right="0" w:firstLine="0"/>
              <w:jc w:val="center"/>
              <w:textAlignment w:val="auto"/>
              <w:rPr>
                <w:sz w:val="18"/>
                <w:szCs w:val="24"/>
                <w:lang w:eastAsia="en-US"/>
              </w:rPr>
            </w:pPr>
            <w:proofErr w:type="gramStart"/>
            <w:r w:rsidRPr="00497058">
              <w:rPr>
                <w:sz w:val="18"/>
                <w:szCs w:val="24"/>
                <w:lang w:eastAsia="en-US"/>
              </w:rPr>
              <w:t xml:space="preserve">(-95 211,1/ </w:t>
            </w:r>
            <w:proofErr w:type="gramEnd"/>
          </w:p>
          <w:p w:rsidR="00497058" w:rsidRPr="00497058" w:rsidRDefault="00497058" w:rsidP="00497058">
            <w:pPr>
              <w:ind w:left="0" w:right="0" w:firstLine="0"/>
              <w:jc w:val="center"/>
              <w:textAlignment w:val="auto"/>
              <w:rPr>
                <w:sz w:val="18"/>
                <w:szCs w:val="24"/>
                <w:lang w:eastAsia="en-US"/>
              </w:rPr>
            </w:pPr>
            <w:proofErr w:type="gramStart"/>
            <w:r w:rsidRPr="00497058">
              <w:rPr>
                <w:sz w:val="18"/>
                <w:szCs w:val="24"/>
                <w:lang w:eastAsia="en-US"/>
              </w:rPr>
              <w:t>+95 211,1)</w:t>
            </w:r>
            <w:proofErr w:type="gramEnd"/>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 xml:space="preserve">Часть 1 статьи 7 Федерального закона от 28 ноября 2018 г. № 457-ФЗ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283</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случае </w:t>
            </w:r>
            <w:r w:rsidRPr="00497058">
              <w:rPr>
                <w:b/>
                <w:sz w:val="18"/>
                <w:szCs w:val="18"/>
                <w:lang w:eastAsia="en-US"/>
              </w:rPr>
              <w:t>перераспределения</w:t>
            </w:r>
            <w:r w:rsidRPr="00497058">
              <w:rPr>
                <w:sz w:val="18"/>
                <w:szCs w:val="18"/>
                <w:lang w:eastAsia="en-US"/>
              </w:rPr>
              <w:t xml:space="preserve"> бюджетных ассигнований </w:t>
            </w:r>
            <w:r w:rsidRPr="00497058">
              <w:rPr>
                <w:b/>
                <w:sz w:val="18"/>
                <w:szCs w:val="18"/>
                <w:lang w:eastAsia="en-US"/>
              </w:rPr>
              <w:t>между федеральными проектами</w:t>
            </w:r>
            <w:r w:rsidRPr="00497058">
              <w:rPr>
                <w:sz w:val="18"/>
                <w:szCs w:val="18"/>
                <w:lang w:eastAsia="en-US"/>
              </w:rPr>
              <w:t>,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w:t>
            </w:r>
          </w:p>
          <w:p w:rsidR="00497058" w:rsidRPr="00497058" w:rsidRDefault="00497058" w:rsidP="00497058">
            <w:pPr>
              <w:ind w:left="0" w:right="0" w:firstLine="0"/>
              <w:jc w:val="center"/>
              <w:textAlignment w:val="auto"/>
              <w:rPr>
                <w:bCs/>
                <w:sz w:val="18"/>
                <w:szCs w:val="24"/>
                <w:lang w:eastAsia="en-US"/>
              </w:rPr>
            </w:pPr>
            <w:proofErr w:type="gramStart"/>
            <w:r w:rsidRPr="00497058">
              <w:rPr>
                <w:sz w:val="18"/>
                <w:szCs w:val="24"/>
                <w:lang w:eastAsia="en-US"/>
              </w:rPr>
              <w:t>(</w:t>
            </w:r>
            <w:r w:rsidRPr="00497058">
              <w:rPr>
                <w:bCs/>
                <w:sz w:val="18"/>
                <w:szCs w:val="24"/>
                <w:lang w:eastAsia="en-US"/>
              </w:rPr>
              <w:t>-32 896,9/</w:t>
            </w:r>
            <w:proofErr w:type="gramEnd"/>
          </w:p>
          <w:p w:rsidR="00497058" w:rsidRPr="00497058" w:rsidRDefault="00497058" w:rsidP="00497058">
            <w:pPr>
              <w:ind w:left="0" w:right="0" w:firstLine="0"/>
              <w:jc w:val="center"/>
              <w:textAlignment w:val="auto"/>
              <w:rPr>
                <w:sz w:val="18"/>
                <w:szCs w:val="24"/>
                <w:lang w:eastAsia="en-US"/>
              </w:rPr>
            </w:pPr>
            <w:proofErr w:type="gramStart"/>
            <w:r w:rsidRPr="00497058">
              <w:rPr>
                <w:bCs/>
                <w:sz w:val="18"/>
                <w:szCs w:val="24"/>
                <w:lang w:eastAsia="en-US"/>
              </w:rPr>
              <w:t>+32 896,9)</w:t>
            </w:r>
            <w:proofErr w:type="gramEnd"/>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D318C5" w:rsidP="00497058">
            <w:pPr>
              <w:overflowPunct/>
              <w:ind w:left="0" w:right="0" w:firstLine="0"/>
              <w:textAlignment w:val="auto"/>
              <w:rPr>
                <w:sz w:val="18"/>
                <w:szCs w:val="18"/>
                <w:lang w:eastAsia="en-US"/>
              </w:rPr>
            </w:pPr>
            <w:hyperlink r:id="rId14" w:history="1">
              <w:r w:rsidR="00497058" w:rsidRPr="00497058">
                <w:rPr>
                  <w:sz w:val="18"/>
                  <w:szCs w:val="18"/>
                  <w:lang w:eastAsia="en-US"/>
                </w:rPr>
                <w:t>Часть 1 статьи 7</w:t>
              </w:r>
            </w:hyperlink>
            <w:r w:rsidR="00497058" w:rsidRPr="00497058">
              <w:rPr>
                <w:sz w:val="18"/>
                <w:szCs w:val="18"/>
                <w:lang w:eastAsia="en-US"/>
              </w:rPr>
              <w:t xml:space="preserve"> Федерального закона от 28 ноября 2018 г. № 457-ФЗ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284</w:t>
            </w:r>
          </w:p>
          <w:p w:rsidR="00497058" w:rsidRPr="00497058" w:rsidRDefault="00497058" w:rsidP="00497058">
            <w:pPr>
              <w:overflowPunct/>
              <w:ind w:left="0" w:right="0" w:firstLine="0"/>
              <w:textAlignment w:val="auto"/>
              <w:rPr>
                <w:sz w:val="18"/>
                <w:szCs w:val="18"/>
                <w:lang w:eastAsia="en-US"/>
              </w:rPr>
            </w:pPr>
            <w:proofErr w:type="gramStart"/>
            <w:r w:rsidRPr="00497058">
              <w:rPr>
                <w:sz w:val="18"/>
                <w:szCs w:val="18"/>
                <w:lang w:eastAsia="en-US"/>
              </w:rPr>
              <w:t xml:space="preserve">(изменения, вносимые в случае </w:t>
            </w:r>
            <w:r w:rsidRPr="00497058">
              <w:rPr>
                <w:b/>
                <w:sz w:val="18"/>
                <w:szCs w:val="18"/>
                <w:lang w:eastAsia="en-US"/>
              </w:rPr>
              <w:t>перераспределения</w:t>
            </w:r>
            <w:r w:rsidRPr="00497058">
              <w:rPr>
                <w:sz w:val="18"/>
                <w:szCs w:val="18"/>
                <w:lang w:eastAsia="en-US"/>
              </w:rPr>
              <w:t xml:space="preserve"> бюджетных ассигнований между национальными проектами (программами), а также </w:t>
            </w:r>
            <w:r w:rsidRPr="00497058">
              <w:rPr>
                <w:b/>
                <w:sz w:val="18"/>
                <w:szCs w:val="18"/>
                <w:lang w:eastAsia="en-US"/>
              </w:rPr>
              <w:t>между национальными проектами</w:t>
            </w:r>
            <w:r w:rsidRPr="00497058">
              <w:rPr>
                <w:sz w:val="18"/>
                <w:szCs w:val="18"/>
                <w:lang w:eastAsia="en-US"/>
              </w:rPr>
              <w:t xml:space="preserve"> (программами) </w:t>
            </w:r>
            <w:r w:rsidRPr="00497058">
              <w:rPr>
                <w:b/>
                <w:sz w:val="18"/>
                <w:szCs w:val="18"/>
                <w:lang w:eastAsia="en-US"/>
              </w:rPr>
              <w:t>и комплексным планом</w:t>
            </w:r>
            <w:r w:rsidRPr="00497058">
              <w:rPr>
                <w:sz w:val="18"/>
                <w:szCs w:val="18"/>
                <w:lang w:eastAsia="en-US"/>
              </w:rPr>
              <w:t xml:space="preserve"> модернизации и расширения магистральной инфраструктуры,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w:t>
            </w:r>
            <w:proofErr w:type="gramEnd"/>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bCs/>
                <w:sz w:val="18"/>
                <w:szCs w:val="24"/>
                <w:lang w:eastAsia="en-US"/>
              </w:rPr>
              <w:t>0</w:t>
            </w:r>
          </w:p>
          <w:p w:rsidR="00497058" w:rsidRPr="00497058" w:rsidRDefault="00497058" w:rsidP="00497058">
            <w:pPr>
              <w:ind w:left="0" w:right="0" w:firstLine="0"/>
              <w:jc w:val="center"/>
              <w:textAlignment w:val="auto"/>
              <w:rPr>
                <w:bCs/>
                <w:sz w:val="18"/>
                <w:szCs w:val="24"/>
                <w:lang w:eastAsia="en-US"/>
              </w:rPr>
            </w:pPr>
            <w:proofErr w:type="gramStart"/>
            <w:r w:rsidRPr="00497058">
              <w:rPr>
                <w:bCs/>
                <w:sz w:val="18"/>
                <w:szCs w:val="24"/>
                <w:lang w:eastAsia="en-US"/>
              </w:rPr>
              <w:t>(-13 684,7/</w:t>
            </w:r>
            <w:proofErr w:type="gramEnd"/>
          </w:p>
          <w:p w:rsidR="00497058" w:rsidRPr="00497058" w:rsidRDefault="00497058" w:rsidP="00497058">
            <w:pPr>
              <w:ind w:left="0" w:right="0" w:firstLine="0"/>
              <w:jc w:val="center"/>
              <w:textAlignment w:val="auto"/>
              <w:rPr>
                <w:sz w:val="18"/>
                <w:szCs w:val="24"/>
                <w:lang w:eastAsia="en-US"/>
              </w:rPr>
            </w:pPr>
            <w:proofErr w:type="gramStart"/>
            <w:r w:rsidRPr="00497058">
              <w:rPr>
                <w:sz w:val="18"/>
                <w:szCs w:val="24"/>
                <w:lang w:eastAsia="en-US"/>
              </w:rPr>
              <w:t>13 684,7)</w:t>
            </w:r>
            <w:proofErr w:type="gramEnd"/>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vAlign w:val="center"/>
          </w:tcPr>
          <w:p w:rsidR="00497058" w:rsidRPr="00497058" w:rsidRDefault="00497058" w:rsidP="00497058">
            <w:pPr>
              <w:widowControl w:val="0"/>
              <w:numPr>
                <w:ilvl w:val="0"/>
                <w:numId w:val="1"/>
              </w:numPr>
              <w:ind w:left="0" w:right="0" w:firstLine="0"/>
              <w:contextualSpacing/>
              <w:jc w:val="center"/>
              <w:textAlignment w:val="auto"/>
              <w:rPr>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textAlignment w:val="auto"/>
              <w:rPr>
                <w:sz w:val="18"/>
                <w:szCs w:val="18"/>
                <w:lang w:eastAsia="en-US"/>
              </w:rPr>
            </w:pPr>
            <w:r w:rsidRPr="00497058">
              <w:rPr>
                <w:sz w:val="18"/>
                <w:szCs w:val="18"/>
                <w:lang w:eastAsia="en-US"/>
              </w:rPr>
              <w:t xml:space="preserve">Часть 1 статьи 7 Федерального закона от 28 ноября 2018 г. № 457-ФЗ </w:t>
            </w: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center"/>
              <w:textAlignment w:val="auto"/>
              <w:rPr>
                <w:sz w:val="18"/>
                <w:szCs w:val="18"/>
                <w:lang w:eastAsia="en-US"/>
              </w:rPr>
            </w:pPr>
            <w:r w:rsidRPr="00497058">
              <w:rPr>
                <w:sz w:val="18"/>
                <w:szCs w:val="18"/>
                <w:lang w:eastAsia="en-US"/>
              </w:rPr>
              <w:t>285</w:t>
            </w:r>
          </w:p>
          <w:p w:rsidR="00497058" w:rsidRPr="00497058" w:rsidRDefault="00497058" w:rsidP="00497058">
            <w:pPr>
              <w:widowControl w:val="0"/>
              <w:ind w:left="0" w:right="0" w:firstLine="0"/>
              <w:textAlignment w:val="auto"/>
              <w:rPr>
                <w:sz w:val="18"/>
                <w:szCs w:val="18"/>
                <w:lang w:eastAsia="en-US"/>
              </w:rPr>
            </w:pPr>
            <w:r w:rsidRPr="00497058">
              <w:rPr>
                <w:sz w:val="18"/>
                <w:szCs w:val="18"/>
                <w:lang w:eastAsia="en-US"/>
              </w:rPr>
              <w:t xml:space="preserve">(изменения, вносимые в случае </w:t>
            </w:r>
            <w:r w:rsidRPr="00497058">
              <w:rPr>
                <w:b/>
                <w:sz w:val="18"/>
                <w:szCs w:val="18"/>
                <w:lang w:eastAsia="en-US"/>
              </w:rPr>
              <w:t>увеличения</w:t>
            </w:r>
            <w:r w:rsidRPr="00497058">
              <w:rPr>
                <w:sz w:val="18"/>
                <w:szCs w:val="18"/>
                <w:lang w:eastAsia="en-US"/>
              </w:rPr>
              <w:t xml:space="preserve"> бюджетных ассигнований, предусмотренных </w:t>
            </w:r>
            <w:r w:rsidRPr="00497058">
              <w:rPr>
                <w:b/>
                <w:sz w:val="18"/>
                <w:szCs w:val="18"/>
                <w:lang w:eastAsia="en-US"/>
              </w:rPr>
              <w:t>на финансовое обеспечение реализации национальных проектов</w:t>
            </w:r>
            <w:r w:rsidRPr="00497058">
              <w:rPr>
                <w:sz w:val="18"/>
                <w:szCs w:val="18"/>
                <w:lang w:eastAsia="en-US"/>
              </w:rPr>
              <w:t xml:space="preserve"> (программ) и комплексного плана модернизации </w:t>
            </w:r>
            <w:r w:rsidRPr="00497058">
              <w:rPr>
                <w:sz w:val="18"/>
                <w:szCs w:val="18"/>
                <w:lang w:eastAsia="en-US"/>
              </w:rPr>
              <w:lastRenderedPageBreak/>
              <w:t xml:space="preserve">и расширения магистральной инфраструктуры, </w:t>
            </w:r>
            <w:r w:rsidRPr="00497058">
              <w:rPr>
                <w:b/>
                <w:sz w:val="18"/>
                <w:szCs w:val="18"/>
                <w:lang w:eastAsia="en-US"/>
              </w:rPr>
              <w:t>за счет уменьшения</w:t>
            </w:r>
            <w:r w:rsidRPr="00497058">
              <w:rPr>
                <w:sz w:val="18"/>
                <w:szCs w:val="18"/>
                <w:lang w:eastAsia="en-US"/>
              </w:rPr>
              <w:t xml:space="preserve"> бюджетных ассигнований, </w:t>
            </w:r>
            <w:r w:rsidRPr="00497058">
              <w:rPr>
                <w:b/>
                <w:sz w:val="18"/>
                <w:szCs w:val="18"/>
                <w:lang w:eastAsia="en-US"/>
              </w:rPr>
              <w:t>не отнесенных федеральным законом</w:t>
            </w:r>
            <w:r w:rsidRPr="00497058">
              <w:rPr>
                <w:sz w:val="18"/>
                <w:szCs w:val="18"/>
                <w:lang w:eastAsia="en-US"/>
              </w:rPr>
              <w:t xml:space="preserve"> о федеральном бюджете на текущий финансовый год и плановый период на указанные цели)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lastRenderedPageBreak/>
              <w:t>1 140,5</w:t>
            </w:r>
          </w:p>
          <w:p w:rsidR="00497058" w:rsidRPr="00497058" w:rsidRDefault="00497058" w:rsidP="00497058">
            <w:pPr>
              <w:ind w:left="0" w:right="0" w:firstLine="0"/>
              <w:jc w:val="center"/>
              <w:textAlignment w:val="auto"/>
              <w:rPr>
                <w:sz w:val="18"/>
                <w:szCs w:val="24"/>
                <w:lang w:eastAsia="en-US"/>
              </w:rPr>
            </w:pPr>
            <w:r w:rsidRPr="00497058">
              <w:rPr>
                <w:sz w:val="18"/>
                <w:szCs w:val="24"/>
                <w:lang w:eastAsia="en-US"/>
              </w:rPr>
              <w:t>(-0/+1 140,5)</w:t>
            </w:r>
          </w:p>
        </w:tc>
      </w:tr>
      <w:tr w:rsidR="00497058" w:rsidRPr="00497058" w:rsidTr="00497058">
        <w:tc>
          <w:tcPr>
            <w:tcW w:w="528" w:type="dxa"/>
            <w:tcBorders>
              <w:top w:val="single" w:sz="4" w:space="0" w:color="auto"/>
              <w:left w:val="single" w:sz="4" w:space="0" w:color="auto"/>
              <w:bottom w:val="single" w:sz="4" w:space="0" w:color="auto"/>
              <w:right w:val="single" w:sz="4" w:space="0" w:color="auto"/>
            </w:tcBorders>
          </w:tcPr>
          <w:p w:rsidR="00497058" w:rsidRPr="00497058" w:rsidRDefault="00497058" w:rsidP="00497058">
            <w:pPr>
              <w:widowControl w:val="0"/>
              <w:ind w:left="0" w:right="0" w:firstLine="0"/>
              <w:textAlignment w:val="auto"/>
              <w:rPr>
                <w:b/>
                <w:sz w:val="18"/>
                <w:szCs w:val="18"/>
                <w:lang w:eastAsia="en-US"/>
              </w:rPr>
            </w:pPr>
          </w:p>
        </w:tc>
        <w:tc>
          <w:tcPr>
            <w:tcW w:w="2131" w:type="dxa"/>
            <w:tcBorders>
              <w:top w:val="single" w:sz="4" w:space="0" w:color="auto"/>
              <w:left w:val="single" w:sz="4" w:space="0" w:color="auto"/>
              <w:bottom w:val="single" w:sz="4" w:space="0" w:color="auto"/>
              <w:right w:val="single" w:sz="4" w:space="0" w:color="auto"/>
            </w:tcBorders>
          </w:tcPr>
          <w:p w:rsidR="00497058" w:rsidRPr="00497058" w:rsidRDefault="00497058" w:rsidP="00497058">
            <w:pPr>
              <w:widowControl w:val="0"/>
              <w:ind w:left="0" w:right="0" w:firstLine="0"/>
              <w:jc w:val="left"/>
              <w:textAlignment w:val="auto"/>
              <w:rPr>
                <w:b/>
                <w:sz w:val="18"/>
                <w:szCs w:val="18"/>
                <w:lang w:eastAsia="en-US"/>
              </w:rPr>
            </w:pPr>
          </w:p>
        </w:tc>
        <w:tc>
          <w:tcPr>
            <w:tcW w:w="6088" w:type="dxa"/>
            <w:tcBorders>
              <w:top w:val="single" w:sz="4" w:space="0" w:color="auto"/>
              <w:left w:val="single" w:sz="4" w:space="0" w:color="auto"/>
              <w:bottom w:val="single" w:sz="4" w:space="0" w:color="auto"/>
              <w:right w:val="single" w:sz="4" w:space="0" w:color="auto"/>
            </w:tcBorders>
            <w:vAlign w:val="center"/>
            <w:hideMark/>
          </w:tcPr>
          <w:p w:rsidR="00497058" w:rsidRPr="00497058" w:rsidRDefault="00497058" w:rsidP="00497058">
            <w:pPr>
              <w:widowControl w:val="0"/>
              <w:ind w:left="0" w:right="0" w:firstLine="0"/>
              <w:jc w:val="left"/>
              <w:textAlignment w:val="auto"/>
              <w:rPr>
                <w:b/>
                <w:sz w:val="18"/>
                <w:szCs w:val="18"/>
                <w:lang w:eastAsia="en-US"/>
              </w:rPr>
            </w:pPr>
            <w:r w:rsidRPr="00497058">
              <w:rPr>
                <w:b/>
                <w:sz w:val="18"/>
                <w:szCs w:val="18"/>
                <w:lang w:eastAsia="en-US"/>
              </w:rPr>
              <w:t>ВСЕГО</w:t>
            </w:r>
          </w:p>
        </w:tc>
        <w:tc>
          <w:tcPr>
            <w:tcW w:w="1693" w:type="dxa"/>
            <w:tcBorders>
              <w:top w:val="single" w:sz="4" w:space="0" w:color="auto"/>
              <w:left w:val="single" w:sz="4" w:space="0" w:color="auto"/>
              <w:bottom w:val="single" w:sz="4" w:space="0" w:color="auto"/>
              <w:right w:val="single" w:sz="4" w:space="0" w:color="auto"/>
            </w:tcBorders>
            <w:hideMark/>
          </w:tcPr>
          <w:p w:rsidR="00497058" w:rsidRPr="00497058" w:rsidRDefault="00497058" w:rsidP="00497058">
            <w:pPr>
              <w:ind w:left="0" w:right="0" w:firstLine="0"/>
              <w:jc w:val="center"/>
              <w:textAlignment w:val="auto"/>
              <w:rPr>
                <w:b/>
                <w:sz w:val="18"/>
                <w:szCs w:val="24"/>
                <w:lang w:eastAsia="en-US"/>
              </w:rPr>
            </w:pPr>
            <w:r w:rsidRPr="00497058">
              <w:rPr>
                <w:b/>
                <w:sz w:val="18"/>
                <w:szCs w:val="24"/>
                <w:lang w:eastAsia="en-US"/>
              </w:rPr>
              <w:t>15 396,7</w:t>
            </w:r>
          </w:p>
        </w:tc>
      </w:tr>
    </w:tbl>
    <w:p w:rsidR="00497058" w:rsidRPr="00497058" w:rsidRDefault="00497058" w:rsidP="00D96ECD">
      <w:pPr>
        <w:spacing w:line="240" w:lineRule="auto"/>
        <w:ind w:left="0" w:right="0" w:firstLine="0"/>
        <w:textAlignment w:val="auto"/>
        <w:rPr>
          <w:sz w:val="20"/>
          <w:szCs w:val="20"/>
          <w:lang w:eastAsia="en-US"/>
        </w:rPr>
      </w:pPr>
    </w:p>
    <w:sectPr w:rsidR="00497058" w:rsidRPr="00497058" w:rsidSect="009F634A">
      <w:headerReference w:type="default" r:id="rId15"/>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8C5" w:rsidRDefault="00D318C5" w:rsidP="009F634A">
      <w:pPr>
        <w:spacing w:line="240" w:lineRule="auto"/>
      </w:pPr>
      <w:r>
        <w:separator/>
      </w:r>
    </w:p>
  </w:endnote>
  <w:endnote w:type="continuationSeparator" w:id="0">
    <w:p w:rsidR="00D318C5" w:rsidRDefault="00D318C5" w:rsidP="009F6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8C5" w:rsidRDefault="00D318C5" w:rsidP="009F634A">
      <w:pPr>
        <w:spacing w:line="240" w:lineRule="auto"/>
      </w:pPr>
      <w:r>
        <w:separator/>
      </w:r>
    </w:p>
  </w:footnote>
  <w:footnote w:type="continuationSeparator" w:id="0">
    <w:p w:rsidR="00D318C5" w:rsidRDefault="00D318C5" w:rsidP="009F63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42883"/>
      <w:docPartObj>
        <w:docPartGallery w:val="Page Numbers (Top of Page)"/>
        <w:docPartUnique/>
      </w:docPartObj>
    </w:sdtPr>
    <w:sdtEndPr>
      <w:rPr>
        <w:sz w:val="24"/>
      </w:rPr>
    </w:sdtEndPr>
    <w:sdtContent>
      <w:p w:rsidR="00242AF8" w:rsidRPr="007A1D19" w:rsidRDefault="00242AF8" w:rsidP="007A1D19">
        <w:pPr>
          <w:pStyle w:val="a4"/>
          <w:ind w:left="0" w:firstLine="0"/>
          <w:jc w:val="center"/>
          <w:rPr>
            <w:sz w:val="24"/>
          </w:rPr>
        </w:pPr>
        <w:r w:rsidRPr="007A1D19">
          <w:rPr>
            <w:sz w:val="24"/>
          </w:rPr>
          <w:fldChar w:fldCharType="begin"/>
        </w:r>
        <w:r w:rsidRPr="007A1D19">
          <w:rPr>
            <w:sz w:val="24"/>
          </w:rPr>
          <w:instrText>PAGE   \* MERGEFORMAT</w:instrText>
        </w:r>
        <w:r w:rsidRPr="007A1D19">
          <w:rPr>
            <w:sz w:val="24"/>
          </w:rPr>
          <w:fldChar w:fldCharType="separate"/>
        </w:r>
        <w:r w:rsidR="001E1759">
          <w:rPr>
            <w:noProof/>
            <w:sz w:val="24"/>
          </w:rPr>
          <w:t>17</w:t>
        </w:r>
        <w:r w:rsidRPr="007A1D19">
          <w:rPr>
            <w:sz w:val="24"/>
          </w:rPr>
          <w:fldChar w:fldCharType="end"/>
        </w:r>
      </w:p>
    </w:sdtContent>
  </w:sdt>
  <w:p w:rsidR="00242AF8" w:rsidRDefault="00242A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2832"/>
    <w:multiLevelType w:val="hybridMultilevel"/>
    <w:tmpl w:val="71649C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34A"/>
    <w:rsid w:val="00020A1A"/>
    <w:rsid w:val="00041A0C"/>
    <w:rsid w:val="000706DB"/>
    <w:rsid w:val="000B2F8C"/>
    <w:rsid w:val="000C15B1"/>
    <w:rsid w:val="00120F92"/>
    <w:rsid w:val="00122992"/>
    <w:rsid w:val="0015339C"/>
    <w:rsid w:val="00160084"/>
    <w:rsid w:val="00176C6F"/>
    <w:rsid w:val="0018028C"/>
    <w:rsid w:val="001C79DE"/>
    <w:rsid w:val="001E1759"/>
    <w:rsid w:val="001E4160"/>
    <w:rsid w:val="002161B6"/>
    <w:rsid w:val="002306E3"/>
    <w:rsid w:val="00233E65"/>
    <w:rsid w:val="00242AF8"/>
    <w:rsid w:val="00257C3E"/>
    <w:rsid w:val="002645E9"/>
    <w:rsid w:val="00277503"/>
    <w:rsid w:val="0029146D"/>
    <w:rsid w:val="002929DE"/>
    <w:rsid w:val="00294EF2"/>
    <w:rsid w:val="002A2AB1"/>
    <w:rsid w:val="002B0F37"/>
    <w:rsid w:val="002C1329"/>
    <w:rsid w:val="00305E22"/>
    <w:rsid w:val="0031110A"/>
    <w:rsid w:val="003215A8"/>
    <w:rsid w:val="00352079"/>
    <w:rsid w:val="00365827"/>
    <w:rsid w:val="003679C5"/>
    <w:rsid w:val="00384181"/>
    <w:rsid w:val="003B3194"/>
    <w:rsid w:val="003C4100"/>
    <w:rsid w:val="003C6C3C"/>
    <w:rsid w:val="003F6D7A"/>
    <w:rsid w:val="0041236A"/>
    <w:rsid w:val="00416646"/>
    <w:rsid w:val="00432C74"/>
    <w:rsid w:val="00437D0C"/>
    <w:rsid w:val="004409AA"/>
    <w:rsid w:val="00443CDB"/>
    <w:rsid w:val="00446912"/>
    <w:rsid w:val="00451128"/>
    <w:rsid w:val="00455133"/>
    <w:rsid w:val="00497058"/>
    <w:rsid w:val="004A3A9E"/>
    <w:rsid w:val="004B66C9"/>
    <w:rsid w:val="004D40A5"/>
    <w:rsid w:val="0050685F"/>
    <w:rsid w:val="005246D3"/>
    <w:rsid w:val="00530237"/>
    <w:rsid w:val="0053077A"/>
    <w:rsid w:val="0055677E"/>
    <w:rsid w:val="00557FE5"/>
    <w:rsid w:val="00563192"/>
    <w:rsid w:val="00567957"/>
    <w:rsid w:val="005718EE"/>
    <w:rsid w:val="005761B7"/>
    <w:rsid w:val="0058251A"/>
    <w:rsid w:val="005A2A98"/>
    <w:rsid w:val="005B7E56"/>
    <w:rsid w:val="005D1665"/>
    <w:rsid w:val="005E641F"/>
    <w:rsid w:val="005F60C7"/>
    <w:rsid w:val="006176AB"/>
    <w:rsid w:val="00623323"/>
    <w:rsid w:val="00626E91"/>
    <w:rsid w:val="00643B64"/>
    <w:rsid w:val="00646957"/>
    <w:rsid w:val="00657E75"/>
    <w:rsid w:val="00663FAC"/>
    <w:rsid w:val="006A48B3"/>
    <w:rsid w:val="006C0A3E"/>
    <w:rsid w:val="006F0EA7"/>
    <w:rsid w:val="00721E1F"/>
    <w:rsid w:val="00731EB1"/>
    <w:rsid w:val="00751E9E"/>
    <w:rsid w:val="007653FC"/>
    <w:rsid w:val="00793C86"/>
    <w:rsid w:val="007A0366"/>
    <w:rsid w:val="007A1D19"/>
    <w:rsid w:val="007D09EA"/>
    <w:rsid w:val="007E4F28"/>
    <w:rsid w:val="00810322"/>
    <w:rsid w:val="00821729"/>
    <w:rsid w:val="0082200A"/>
    <w:rsid w:val="008463EC"/>
    <w:rsid w:val="008530A9"/>
    <w:rsid w:val="00864CF8"/>
    <w:rsid w:val="008668BF"/>
    <w:rsid w:val="00877C87"/>
    <w:rsid w:val="008C6BEC"/>
    <w:rsid w:val="008D1686"/>
    <w:rsid w:val="008E0FD2"/>
    <w:rsid w:val="008E65C5"/>
    <w:rsid w:val="008F0363"/>
    <w:rsid w:val="00921600"/>
    <w:rsid w:val="00925202"/>
    <w:rsid w:val="00933C87"/>
    <w:rsid w:val="009470B2"/>
    <w:rsid w:val="00952237"/>
    <w:rsid w:val="009A6020"/>
    <w:rsid w:val="009B2BBD"/>
    <w:rsid w:val="009C0AD8"/>
    <w:rsid w:val="009E37C2"/>
    <w:rsid w:val="009F11FB"/>
    <w:rsid w:val="009F634A"/>
    <w:rsid w:val="009F6A46"/>
    <w:rsid w:val="009F7035"/>
    <w:rsid w:val="00A075E6"/>
    <w:rsid w:val="00A12748"/>
    <w:rsid w:val="00A22D20"/>
    <w:rsid w:val="00A36598"/>
    <w:rsid w:val="00A565B0"/>
    <w:rsid w:val="00A71899"/>
    <w:rsid w:val="00A80F80"/>
    <w:rsid w:val="00A9545F"/>
    <w:rsid w:val="00AA2855"/>
    <w:rsid w:val="00AA49C6"/>
    <w:rsid w:val="00AF6305"/>
    <w:rsid w:val="00B6271A"/>
    <w:rsid w:val="00B7176F"/>
    <w:rsid w:val="00BA719E"/>
    <w:rsid w:val="00BB45BC"/>
    <w:rsid w:val="00BC1006"/>
    <w:rsid w:val="00BC49B5"/>
    <w:rsid w:val="00BE572B"/>
    <w:rsid w:val="00BE62D0"/>
    <w:rsid w:val="00BF01EE"/>
    <w:rsid w:val="00BF0C2F"/>
    <w:rsid w:val="00C06353"/>
    <w:rsid w:val="00C127D0"/>
    <w:rsid w:val="00C1653C"/>
    <w:rsid w:val="00C455D0"/>
    <w:rsid w:val="00C668EF"/>
    <w:rsid w:val="00C706E4"/>
    <w:rsid w:val="00C83A4A"/>
    <w:rsid w:val="00C92AFA"/>
    <w:rsid w:val="00C9740B"/>
    <w:rsid w:val="00CA2AB1"/>
    <w:rsid w:val="00CD2E99"/>
    <w:rsid w:val="00CF778C"/>
    <w:rsid w:val="00D318C5"/>
    <w:rsid w:val="00D41638"/>
    <w:rsid w:val="00D46E03"/>
    <w:rsid w:val="00D52FE0"/>
    <w:rsid w:val="00D62563"/>
    <w:rsid w:val="00D91CC0"/>
    <w:rsid w:val="00D94A06"/>
    <w:rsid w:val="00D95B07"/>
    <w:rsid w:val="00D96ECD"/>
    <w:rsid w:val="00E17A47"/>
    <w:rsid w:val="00E2075F"/>
    <w:rsid w:val="00E363FF"/>
    <w:rsid w:val="00E53099"/>
    <w:rsid w:val="00E959A7"/>
    <w:rsid w:val="00E96452"/>
    <w:rsid w:val="00EA3902"/>
    <w:rsid w:val="00EA6FBD"/>
    <w:rsid w:val="00EC23A0"/>
    <w:rsid w:val="00ED5F8A"/>
    <w:rsid w:val="00EE1E11"/>
    <w:rsid w:val="00EE274E"/>
    <w:rsid w:val="00EE616A"/>
    <w:rsid w:val="00F17F71"/>
    <w:rsid w:val="00F63B24"/>
    <w:rsid w:val="00F74F92"/>
    <w:rsid w:val="00FA3AB2"/>
    <w:rsid w:val="00FD2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34A"/>
    <w:pPr>
      <w:overflowPunct w:val="0"/>
      <w:autoSpaceDE w:val="0"/>
      <w:autoSpaceDN w:val="0"/>
      <w:adjustRightInd w:val="0"/>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634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F634A"/>
    <w:pPr>
      <w:tabs>
        <w:tab w:val="center" w:pos="4677"/>
        <w:tab w:val="right" w:pos="9355"/>
      </w:tabs>
      <w:spacing w:line="240" w:lineRule="auto"/>
    </w:pPr>
  </w:style>
  <w:style w:type="character" w:customStyle="1" w:styleId="a5">
    <w:name w:val="Верхний колонтитул Знак"/>
    <w:basedOn w:val="a0"/>
    <w:link w:val="a4"/>
    <w:uiPriority w:val="99"/>
    <w:rsid w:val="009F634A"/>
    <w:rPr>
      <w:rFonts w:ascii="Times New Roman" w:eastAsia="Calibri" w:hAnsi="Times New Roman" w:cs="Times New Roman"/>
      <w:sz w:val="28"/>
      <w:szCs w:val="28"/>
      <w:lang w:eastAsia="ru-RU"/>
    </w:rPr>
  </w:style>
  <w:style w:type="paragraph" w:styleId="a6">
    <w:name w:val="footer"/>
    <w:basedOn w:val="a"/>
    <w:link w:val="a7"/>
    <w:uiPriority w:val="99"/>
    <w:unhideWhenUsed/>
    <w:rsid w:val="009F634A"/>
    <w:pPr>
      <w:tabs>
        <w:tab w:val="center" w:pos="4677"/>
        <w:tab w:val="right" w:pos="9355"/>
      </w:tabs>
      <w:spacing w:line="240" w:lineRule="auto"/>
    </w:pPr>
  </w:style>
  <w:style w:type="character" w:customStyle="1" w:styleId="a7">
    <w:name w:val="Нижний колонтитул Знак"/>
    <w:basedOn w:val="a0"/>
    <w:link w:val="a6"/>
    <w:uiPriority w:val="99"/>
    <w:rsid w:val="009F634A"/>
    <w:rPr>
      <w:rFonts w:ascii="Times New Roman" w:eastAsia="Calibri" w:hAnsi="Times New Roman" w:cs="Times New Roman"/>
      <w:sz w:val="28"/>
      <w:szCs w:val="28"/>
      <w:lang w:eastAsia="ru-RU"/>
    </w:rPr>
  </w:style>
  <w:style w:type="paragraph" w:styleId="a8">
    <w:name w:val="Balloon Text"/>
    <w:basedOn w:val="a"/>
    <w:link w:val="a9"/>
    <w:uiPriority w:val="99"/>
    <w:semiHidden/>
    <w:unhideWhenUsed/>
    <w:rsid w:val="00F74F92"/>
    <w:pPr>
      <w:spacing w:line="240" w:lineRule="auto"/>
    </w:pPr>
    <w:rPr>
      <w:rFonts w:ascii="Calibri" w:hAnsi="Calibri"/>
      <w:sz w:val="18"/>
      <w:szCs w:val="18"/>
    </w:rPr>
  </w:style>
  <w:style w:type="character" w:customStyle="1" w:styleId="a9">
    <w:name w:val="Текст выноски Знак"/>
    <w:basedOn w:val="a0"/>
    <w:link w:val="a8"/>
    <w:uiPriority w:val="99"/>
    <w:semiHidden/>
    <w:rsid w:val="00F74F92"/>
    <w:rPr>
      <w:rFonts w:ascii="Calibri" w:eastAsia="Calibri" w:hAnsi="Calibri" w:cs="Times New Roman"/>
      <w:sz w:val="18"/>
      <w:szCs w:val="18"/>
      <w:lang w:eastAsia="ru-RU"/>
    </w:rPr>
  </w:style>
  <w:style w:type="table" w:customStyle="1" w:styleId="1">
    <w:name w:val="Сетка таблицы1"/>
    <w:basedOn w:val="a1"/>
    <w:next w:val="a3"/>
    <w:uiPriority w:val="59"/>
    <w:rsid w:val="00497058"/>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34A"/>
    <w:pPr>
      <w:overflowPunct w:val="0"/>
      <w:autoSpaceDE w:val="0"/>
      <w:autoSpaceDN w:val="0"/>
      <w:adjustRightInd w:val="0"/>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634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F634A"/>
    <w:pPr>
      <w:tabs>
        <w:tab w:val="center" w:pos="4677"/>
        <w:tab w:val="right" w:pos="9355"/>
      </w:tabs>
      <w:spacing w:line="240" w:lineRule="auto"/>
    </w:pPr>
  </w:style>
  <w:style w:type="character" w:customStyle="1" w:styleId="a5">
    <w:name w:val="Верхний колонтитул Знак"/>
    <w:basedOn w:val="a0"/>
    <w:link w:val="a4"/>
    <w:uiPriority w:val="99"/>
    <w:rsid w:val="009F634A"/>
    <w:rPr>
      <w:rFonts w:ascii="Times New Roman" w:eastAsia="Calibri" w:hAnsi="Times New Roman" w:cs="Times New Roman"/>
      <w:sz w:val="28"/>
      <w:szCs w:val="28"/>
      <w:lang w:eastAsia="ru-RU"/>
    </w:rPr>
  </w:style>
  <w:style w:type="paragraph" w:styleId="a6">
    <w:name w:val="footer"/>
    <w:basedOn w:val="a"/>
    <w:link w:val="a7"/>
    <w:uiPriority w:val="99"/>
    <w:unhideWhenUsed/>
    <w:rsid w:val="009F634A"/>
    <w:pPr>
      <w:tabs>
        <w:tab w:val="center" w:pos="4677"/>
        <w:tab w:val="right" w:pos="9355"/>
      </w:tabs>
      <w:spacing w:line="240" w:lineRule="auto"/>
    </w:pPr>
  </w:style>
  <w:style w:type="character" w:customStyle="1" w:styleId="a7">
    <w:name w:val="Нижний колонтитул Знак"/>
    <w:basedOn w:val="a0"/>
    <w:link w:val="a6"/>
    <w:uiPriority w:val="99"/>
    <w:rsid w:val="009F634A"/>
    <w:rPr>
      <w:rFonts w:ascii="Times New Roman" w:eastAsia="Calibri" w:hAnsi="Times New Roman" w:cs="Times New Roman"/>
      <w:sz w:val="28"/>
      <w:szCs w:val="28"/>
      <w:lang w:eastAsia="ru-RU"/>
    </w:rPr>
  </w:style>
  <w:style w:type="paragraph" w:styleId="a8">
    <w:name w:val="Balloon Text"/>
    <w:basedOn w:val="a"/>
    <w:link w:val="a9"/>
    <w:uiPriority w:val="99"/>
    <w:semiHidden/>
    <w:unhideWhenUsed/>
    <w:rsid w:val="00F74F92"/>
    <w:pPr>
      <w:spacing w:line="240" w:lineRule="auto"/>
    </w:pPr>
    <w:rPr>
      <w:rFonts w:ascii="Calibri" w:hAnsi="Calibri"/>
      <w:sz w:val="18"/>
      <w:szCs w:val="18"/>
    </w:rPr>
  </w:style>
  <w:style w:type="character" w:customStyle="1" w:styleId="a9">
    <w:name w:val="Текст выноски Знак"/>
    <w:basedOn w:val="a0"/>
    <w:link w:val="a8"/>
    <w:uiPriority w:val="99"/>
    <w:semiHidden/>
    <w:rsid w:val="00F74F92"/>
    <w:rPr>
      <w:rFonts w:ascii="Calibri" w:eastAsia="Calibri" w:hAnsi="Calibri" w:cs="Times New Roman"/>
      <w:sz w:val="18"/>
      <w:szCs w:val="18"/>
      <w:lang w:eastAsia="ru-RU"/>
    </w:rPr>
  </w:style>
  <w:style w:type="table" w:customStyle="1" w:styleId="1">
    <w:name w:val="Сетка таблицы1"/>
    <w:basedOn w:val="a1"/>
    <w:next w:val="a3"/>
    <w:uiPriority w:val="59"/>
    <w:rsid w:val="00497058"/>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7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65B32A5407D2389D7680AEFC2E9B319824D0B8FE7B92C524DEC27961D1449520E64D862DFD0BBD6B24162839D2853014877076BE10M2b7N" TargetMode="External"/><Relationship Id="rId13" Type="http://schemas.openxmlformats.org/officeDocument/2006/relationships/hyperlink" Target="consultantplus://offline/ref=C317E7884A726C6BC4A593C695E9ED3E33D0D9F7460FB06BA685EBDF0F34BFCFE167D1396C35F327C0EDE511C18C30399D02CC90A3EEXFq5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20F76755DD2B34DE35148F59AE2FEED40D1001964BE409CA642C746A2D9A510B2F68F5CBBFFA8A09B0DCB3511F9CADA4B0CBA1E203DoDn2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B6EED07152DA16AEF6ADE7E4E9EC0D7F34827299725910847F987D522D76BFD82355E9F6686E4751626BDFF73C094B893520DE65A7DuFl7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52BEAE13E4A5A5A3061378CE27B60278F48091A152D6271ED855B514E69D2F7EDC8A984D6CFFC980BABCC0E7F73519E6BD8A9A07E3FBc3d8N" TargetMode="External"/><Relationship Id="rId4" Type="http://schemas.openxmlformats.org/officeDocument/2006/relationships/settings" Target="settings.xml"/><Relationship Id="rId9" Type="http://schemas.openxmlformats.org/officeDocument/2006/relationships/hyperlink" Target="consultantplus://offline/ref=52BEAE13E4A5A5A3061378CE27B60278F48091A152D6271ED855B514E69D2F7EDC8A984D6CFFC980BABCC0E7F73519E6BD8A9A07E3FBc3d8N" TargetMode="External"/><Relationship Id="rId14" Type="http://schemas.openxmlformats.org/officeDocument/2006/relationships/hyperlink" Target="consultantplus://offline/ref=CF11BE4F51DBE2F84B10C0D80A3B9E82F4A0A492A5921999E2A63B29CF60D8C739032D5FE5F9373F23C243EAA1851AF36AC4470812358FE9x40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920</TotalTime>
  <Pages>30</Pages>
  <Words>17842</Words>
  <Characters>101701</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Кисель Анна Вячеславовна</dc:creator>
  <cp:lastModifiedBy>Блинова</cp:lastModifiedBy>
  <cp:revision>141</cp:revision>
  <cp:lastPrinted>2020-02-06T08:28:00Z</cp:lastPrinted>
  <dcterms:created xsi:type="dcterms:W3CDTF">2020-02-02T19:08:00Z</dcterms:created>
  <dcterms:modified xsi:type="dcterms:W3CDTF">2020-02-12T08:21:00Z</dcterms:modified>
</cp:coreProperties>
</file>