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3119"/>
        <w:gridCol w:w="3650"/>
      </w:tblGrid>
      <w:tr w:rsidR="00D759F8" w:rsidTr="00D759F8">
        <w:tc>
          <w:tcPr>
            <w:tcW w:w="2977" w:type="dxa"/>
          </w:tcPr>
          <w:p w:rsidR="00D759F8" w:rsidRDefault="00D759F8" w:rsidP="005272AF">
            <w:pPr>
              <w:spacing w:after="120"/>
              <w:jc w:val="right"/>
              <w:rPr>
                <w:rFonts w:ascii="Times New Roman" w:hAnsi="Times New Roman" w:cs="Times New Roman"/>
                <w:color w:val="000000" w:themeColor="text1"/>
                <w:sz w:val="28"/>
                <w:szCs w:val="28"/>
              </w:rPr>
            </w:pPr>
          </w:p>
        </w:tc>
        <w:tc>
          <w:tcPr>
            <w:tcW w:w="3119" w:type="dxa"/>
          </w:tcPr>
          <w:p w:rsidR="00D759F8" w:rsidRDefault="00D759F8" w:rsidP="005272AF">
            <w:pPr>
              <w:spacing w:after="120"/>
              <w:jc w:val="right"/>
              <w:rPr>
                <w:rFonts w:ascii="Times New Roman" w:hAnsi="Times New Roman" w:cs="Times New Roman"/>
                <w:color w:val="000000" w:themeColor="text1"/>
                <w:sz w:val="28"/>
                <w:szCs w:val="28"/>
              </w:rPr>
            </w:pPr>
          </w:p>
        </w:tc>
        <w:tc>
          <w:tcPr>
            <w:tcW w:w="3650" w:type="dxa"/>
          </w:tcPr>
          <w:p w:rsidR="00D759F8" w:rsidRPr="00D759F8" w:rsidRDefault="00D759F8" w:rsidP="00D759F8">
            <w:pPr>
              <w:spacing w:after="120"/>
              <w:jc w:val="both"/>
              <w:rPr>
                <w:rFonts w:ascii="Times New Roman" w:hAnsi="Times New Roman" w:cs="Times New Roman"/>
                <w:color w:val="000000" w:themeColor="text1"/>
                <w:sz w:val="20"/>
                <w:szCs w:val="20"/>
              </w:rPr>
            </w:pPr>
            <w:r w:rsidRPr="00D759F8">
              <w:rPr>
                <w:rFonts w:ascii="Times New Roman" w:hAnsi="Times New Roman" w:cs="Times New Roman"/>
                <w:color w:val="000000" w:themeColor="text1"/>
                <w:sz w:val="20"/>
                <w:szCs w:val="20"/>
              </w:rPr>
              <w:t>Приложение к подразделу 15 «Результаты проверки и анализа исполнения источников финансирования дефицита</w:t>
            </w:r>
            <w:r>
              <w:rPr>
                <w:rFonts w:ascii="Times New Roman" w:hAnsi="Times New Roman" w:cs="Times New Roman"/>
                <w:color w:val="000000" w:themeColor="text1"/>
                <w:sz w:val="20"/>
                <w:szCs w:val="20"/>
              </w:rPr>
              <w:t xml:space="preserve"> </w:t>
            </w:r>
            <w:r w:rsidRPr="00D759F8">
              <w:rPr>
                <w:rFonts w:ascii="Times New Roman" w:hAnsi="Times New Roman" w:cs="Times New Roman"/>
                <w:color w:val="000000" w:themeColor="text1"/>
                <w:sz w:val="20"/>
                <w:szCs w:val="20"/>
              </w:rPr>
              <w:t>федерального бюджета» Заключения Счетной палаты</w:t>
            </w:r>
          </w:p>
        </w:tc>
      </w:tr>
    </w:tbl>
    <w:p w:rsidR="00691A30" w:rsidRDefault="00691A30" w:rsidP="00691A30">
      <w:pPr>
        <w:spacing w:after="0" w:line="240" w:lineRule="auto"/>
        <w:ind w:left="6237"/>
        <w:jc w:val="right"/>
        <w:rPr>
          <w:rFonts w:ascii="Times New Roman" w:hAnsi="Times New Roman" w:cs="Times New Roman"/>
          <w:color w:val="000000" w:themeColor="text1"/>
          <w:sz w:val="24"/>
          <w:szCs w:val="28"/>
        </w:rPr>
      </w:pPr>
      <w:r w:rsidRPr="00691A30">
        <w:rPr>
          <w:rFonts w:ascii="Times New Roman" w:hAnsi="Times New Roman" w:cs="Times New Roman"/>
          <w:color w:val="000000" w:themeColor="text1"/>
          <w:sz w:val="24"/>
          <w:szCs w:val="28"/>
        </w:rPr>
        <w:t xml:space="preserve">Таблица </w:t>
      </w:r>
      <w:r>
        <w:rPr>
          <w:rFonts w:ascii="Times New Roman" w:hAnsi="Times New Roman" w:cs="Times New Roman"/>
          <w:color w:val="000000" w:themeColor="text1"/>
          <w:sz w:val="24"/>
          <w:szCs w:val="28"/>
        </w:rPr>
        <w:t>№ </w:t>
      </w:r>
      <w:r w:rsidRPr="00691A30">
        <w:rPr>
          <w:rFonts w:ascii="Times New Roman" w:hAnsi="Times New Roman" w:cs="Times New Roman"/>
          <w:color w:val="000000" w:themeColor="text1"/>
          <w:sz w:val="24"/>
          <w:szCs w:val="28"/>
        </w:rPr>
        <w:t>1</w:t>
      </w:r>
    </w:p>
    <w:p w:rsidR="00691A30" w:rsidRPr="00691A30" w:rsidRDefault="00691A30" w:rsidP="00691A30">
      <w:pPr>
        <w:spacing w:after="0" w:line="240" w:lineRule="auto"/>
        <w:ind w:left="6237"/>
        <w:jc w:val="right"/>
        <w:rPr>
          <w:rFonts w:ascii="Times New Roman" w:hAnsi="Times New Roman" w:cs="Times New Roman"/>
          <w:color w:val="000000" w:themeColor="text1"/>
          <w:sz w:val="10"/>
          <w:szCs w:val="10"/>
        </w:rPr>
      </w:pPr>
    </w:p>
    <w:p w:rsidR="00DC162E" w:rsidRPr="00691A30" w:rsidRDefault="00DC162E" w:rsidP="00691A30">
      <w:pPr>
        <w:widowControl w:val="0"/>
        <w:spacing w:after="0" w:line="240" w:lineRule="auto"/>
        <w:jc w:val="center"/>
        <w:rPr>
          <w:rFonts w:ascii="Times New Roman" w:hAnsi="Times New Roman" w:cs="Times New Roman"/>
          <w:color w:val="000000" w:themeColor="text1"/>
          <w:sz w:val="20"/>
        </w:rPr>
      </w:pPr>
      <w:r w:rsidRPr="00691A30">
        <w:rPr>
          <w:rFonts w:ascii="Times New Roman" w:eastAsia="Times New Roman" w:hAnsi="Times New Roman" w:cs="Times New Roman"/>
          <w:color w:val="000000" w:themeColor="text1"/>
          <w:sz w:val="24"/>
          <w:szCs w:val="24"/>
          <w:lang w:eastAsia="ru-RU"/>
        </w:rPr>
        <w:t>Динамика объемов дефицита (профицита) федерального бюджета и ВВП за</w:t>
      </w:r>
      <w:r w:rsidR="007A65A6" w:rsidRPr="00691A30">
        <w:rPr>
          <w:rFonts w:ascii="Times New Roman" w:eastAsia="Times New Roman" w:hAnsi="Times New Roman" w:cs="Times New Roman"/>
          <w:color w:val="000000" w:themeColor="text1"/>
          <w:sz w:val="24"/>
          <w:szCs w:val="24"/>
          <w:lang w:eastAsia="ru-RU"/>
        </w:rPr>
        <w:t> </w:t>
      </w:r>
      <w:r w:rsidRPr="00691A30">
        <w:rPr>
          <w:rFonts w:ascii="Times New Roman" w:eastAsia="Times New Roman" w:hAnsi="Times New Roman" w:cs="Times New Roman"/>
          <w:color w:val="000000" w:themeColor="text1"/>
          <w:sz w:val="24"/>
          <w:szCs w:val="24"/>
          <w:lang w:eastAsia="ru-RU"/>
        </w:rPr>
        <w:t>2015 – 2018 годы</w:t>
      </w:r>
      <w:r w:rsidR="00D6489D" w:rsidRPr="00691A30">
        <w:rPr>
          <w:rFonts w:ascii="Times New Roman" w:eastAsia="Times New Roman" w:hAnsi="Times New Roman" w:cs="Times New Roman"/>
          <w:color w:val="000000" w:themeColor="text1"/>
          <w:sz w:val="24"/>
          <w:szCs w:val="24"/>
          <w:lang w:eastAsia="ru-RU"/>
        </w:rPr>
        <w:t xml:space="preserve"> </w:t>
      </w:r>
    </w:p>
    <w:p w:rsidR="00DC162E" w:rsidRPr="00D41731" w:rsidRDefault="00D6489D" w:rsidP="00D6489D">
      <w:pPr>
        <w:widowControl w:val="0"/>
        <w:spacing w:after="0" w:line="240" w:lineRule="auto"/>
        <w:ind w:right="-710"/>
        <w:jc w:val="right"/>
        <w:rPr>
          <w:rFonts w:ascii="Times New Roman" w:hAnsi="Times New Roman" w:cs="Times New Roman"/>
          <w:color w:val="000000" w:themeColor="text1"/>
          <w:sz w:val="20"/>
        </w:rPr>
      </w:pPr>
      <w:r>
        <w:rPr>
          <w:rFonts w:ascii="Times New Roman" w:hAnsi="Times New Roman" w:cs="Times New Roman"/>
          <w:color w:val="000000" w:themeColor="text1"/>
          <w:sz w:val="20"/>
        </w:rPr>
        <w:t xml:space="preserve">  </w:t>
      </w:r>
      <w:r w:rsidR="00DC162E" w:rsidRPr="00D41731">
        <w:rPr>
          <w:rFonts w:ascii="Times New Roman" w:hAnsi="Times New Roman" w:cs="Times New Roman"/>
          <w:color w:val="000000" w:themeColor="text1"/>
          <w:sz w:val="20"/>
        </w:rPr>
        <w:t xml:space="preserve"> (млрд. рублей)</w:t>
      </w:r>
    </w:p>
    <w:tbl>
      <w:tblPr>
        <w:tblW w:w="5611"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89"/>
        <w:gridCol w:w="805"/>
        <w:gridCol w:w="701"/>
        <w:gridCol w:w="827"/>
        <w:gridCol w:w="814"/>
        <w:gridCol w:w="681"/>
        <w:gridCol w:w="814"/>
        <w:gridCol w:w="814"/>
        <w:gridCol w:w="739"/>
        <w:gridCol w:w="960"/>
        <w:gridCol w:w="900"/>
        <w:gridCol w:w="880"/>
      </w:tblGrid>
      <w:tr w:rsidR="00FB57D4" w:rsidRPr="00D41731" w:rsidTr="00674852">
        <w:trPr>
          <w:trHeight w:val="315"/>
        </w:trPr>
        <w:tc>
          <w:tcPr>
            <w:tcW w:w="513" w:type="pct"/>
            <w:vMerge w:val="restart"/>
            <w:shd w:val="clear" w:color="auto" w:fill="auto"/>
            <w:vAlign w:val="center"/>
            <w:hideMark/>
          </w:tcPr>
          <w:p w:rsidR="00B55FEE" w:rsidRPr="00D41731" w:rsidRDefault="00B55FEE"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 </w:t>
            </w:r>
          </w:p>
        </w:tc>
        <w:tc>
          <w:tcPr>
            <w:tcW w:w="1128" w:type="pct"/>
            <w:gridSpan w:val="3"/>
            <w:shd w:val="clear" w:color="auto" w:fill="auto"/>
            <w:vAlign w:val="center"/>
          </w:tcPr>
          <w:p w:rsidR="00B55FEE" w:rsidRPr="00D41731" w:rsidRDefault="00B55FEE" w:rsidP="00DC162E">
            <w:pPr>
              <w:spacing w:after="0" w:line="240" w:lineRule="auto"/>
              <w:jc w:val="center"/>
              <w:rPr>
                <w:rFonts w:ascii="Times New Roman" w:hAnsi="Times New Roman" w:cs="Times New Roman"/>
                <w:b/>
                <w:bCs/>
                <w:color w:val="000000" w:themeColor="text1"/>
                <w:sz w:val="12"/>
                <w:szCs w:val="12"/>
              </w:rPr>
            </w:pPr>
            <w:r w:rsidRPr="00D41731">
              <w:rPr>
                <w:rFonts w:ascii="Times New Roman" w:hAnsi="Times New Roman" w:cs="Times New Roman"/>
                <w:b/>
                <w:bCs/>
                <w:color w:val="000000" w:themeColor="text1"/>
                <w:sz w:val="12"/>
                <w:szCs w:val="12"/>
              </w:rPr>
              <w:t>2015 год</w:t>
            </w:r>
          </w:p>
        </w:tc>
        <w:tc>
          <w:tcPr>
            <w:tcW w:w="1049" w:type="pct"/>
            <w:gridSpan w:val="3"/>
            <w:shd w:val="clear" w:color="auto" w:fill="auto"/>
            <w:vAlign w:val="center"/>
            <w:hideMark/>
          </w:tcPr>
          <w:p w:rsidR="00B55FEE" w:rsidRPr="00D41731" w:rsidRDefault="00B55FEE" w:rsidP="00DC162E">
            <w:pPr>
              <w:spacing w:after="0" w:line="240" w:lineRule="auto"/>
              <w:jc w:val="center"/>
              <w:rPr>
                <w:rFonts w:ascii="Times New Roman" w:hAnsi="Times New Roman" w:cs="Times New Roman"/>
                <w:b/>
                <w:bCs/>
                <w:color w:val="000000" w:themeColor="text1"/>
                <w:sz w:val="12"/>
                <w:szCs w:val="12"/>
              </w:rPr>
            </w:pPr>
            <w:r w:rsidRPr="00D41731">
              <w:rPr>
                <w:rFonts w:ascii="Times New Roman" w:hAnsi="Times New Roman" w:cs="Times New Roman"/>
                <w:b/>
                <w:bCs/>
                <w:color w:val="000000" w:themeColor="text1"/>
                <w:sz w:val="12"/>
                <w:szCs w:val="12"/>
              </w:rPr>
              <w:t>2016 год</w:t>
            </w:r>
          </w:p>
        </w:tc>
        <w:tc>
          <w:tcPr>
            <w:tcW w:w="1069" w:type="pct"/>
            <w:gridSpan w:val="3"/>
            <w:shd w:val="clear" w:color="auto" w:fill="auto"/>
            <w:vAlign w:val="center"/>
            <w:hideMark/>
          </w:tcPr>
          <w:p w:rsidR="00B55FEE" w:rsidRPr="00D41731" w:rsidRDefault="00B55FEE" w:rsidP="00DC162E">
            <w:pPr>
              <w:spacing w:after="0" w:line="240" w:lineRule="auto"/>
              <w:jc w:val="center"/>
              <w:rPr>
                <w:rFonts w:ascii="Times New Roman" w:hAnsi="Times New Roman" w:cs="Times New Roman"/>
                <w:b/>
                <w:bCs/>
                <w:color w:val="000000" w:themeColor="text1"/>
                <w:sz w:val="12"/>
                <w:szCs w:val="12"/>
              </w:rPr>
            </w:pPr>
            <w:r w:rsidRPr="00D41731">
              <w:rPr>
                <w:rFonts w:ascii="Times New Roman" w:hAnsi="Times New Roman" w:cs="Times New Roman"/>
                <w:b/>
                <w:bCs/>
                <w:color w:val="000000" w:themeColor="text1"/>
                <w:sz w:val="12"/>
                <w:szCs w:val="12"/>
              </w:rPr>
              <w:t>2017 год</w:t>
            </w:r>
          </w:p>
        </w:tc>
        <w:tc>
          <w:tcPr>
            <w:tcW w:w="1240" w:type="pct"/>
            <w:gridSpan w:val="3"/>
            <w:vAlign w:val="center"/>
          </w:tcPr>
          <w:p w:rsidR="00B55FEE" w:rsidRPr="00D41731" w:rsidRDefault="00B55FEE" w:rsidP="005F1CE6">
            <w:pPr>
              <w:spacing w:after="0" w:line="240" w:lineRule="auto"/>
              <w:jc w:val="center"/>
              <w:rPr>
                <w:rFonts w:ascii="Times New Roman" w:hAnsi="Times New Roman" w:cs="Times New Roman"/>
                <w:b/>
                <w:bCs/>
                <w:color w:val="000000" w:themeColor="text1"/>
                <w:sz w:val="12"/>
                <w:szCs w:val="12"/>
              </w:rPr>
            </w:pPr>
            <w:r w:rsidRPr="00D41731">
              <w:rPr>
                <w:rFonts w:ascii="Times New Roman" w:hAnsi="Times New Roman" w:cs="Times New Roman"/>
                <w:b/>
                <w:bCs/>
                <w:color w:val="000000" w:themeColor="text1"/>
                <w:sz w:val="12"/>
                <w:szCs w:val="12"/>
              </w:rPr>
              <w:t>2018 год</w:t>
            </w:r>
          </w:p>
        </w:tc>
      </w:tr>
      <w:tr w:rsidR="00FB57D4" w:rsidRPr="00D41731" w:rsidTr="00674852">
        <w:trPr>
          <w:trHeight w:val="951"/>
        </w:trPr>
        <w:tc>
          <w:tcPr>
            <w:tcW w:w="513" w:type="pct"/>
            <w:vMerge/>
            <w:vAlign w:val="center"/>
            <w:hideMark/>
          </w:tcPr>
          <w:p w:rsidR="00FB57D4" w:rsidRPr="00D41731" w:rsidRDefault="00FB57D4" w:rsidP="00DC162E">
            <w:pPr>
              <w:spacing w:after="0" w:line="240" w:lineRule="auto"/>
              <w:rPr>
                <w:rFonts w:ascii="Times New Roman" w:hAnsi="Times New Roman" w:cs="Times New Roman"/>
                <w:color w:val="000000" w:themeColor="text1"/>
                <w:sz w:val="16"/>
                <w:szCs w:val="16"/>
              </w:rPr>
            </w:pPr>
          </w:p>
        </w:tc>
        <w:tc>
          <w:tcPr>
            <w:tcW w:w="447"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b/>
                <w:bCs/>
                <w:color w:val="000000" w:themeColor="text1"/>
                <w:sz w:val="14"/>
                <w:szCs w:val="14"/>
              </w:rPr>
            </w:pPr>
            <w:proofErr w:type="spellStart"/>
            <w:r w:rsidRPr="00D41731">
              <w:rPr>
                <w:rFonts w:ascii="Times New Roman" w:hAnsi="Times New Roman" w:cs="Times New Roman"/>
                <w:b/>
                <w:bCs/>
                <w:color w:val="000000" w:themeColor="text1"/>
                <w:sz w:val="14"/>
                <w:szCs w:val="14"/>
              </w:rPr>
              <w:t>Федерал</w:t>
            </w:r>
            <w:proofErr w:type="gramStart"/>
            <w:r w:rsidRPr="00D41731">
              <w:rPr>
                <w:rFonts w:ascii="Times New Roman" w:hAnsi="Times New Roman" w:cs="Times New Roman"/>
                <w:b/>
                <w:bCs/>
                <w:color w:val="000000" w:themeColor="text1"/>
                <w:sz w:val="14"/>
                <w:szCs w:val="14"/>
              </w:rPr>
              <w:t>ь</w:t>
            </w:r>
            <w:proofErr w:type="spellEnd"/>
            <w:r w:rsidR="00674852">
              <w:rPr>
                <w:rFonts w:ascii="Times New Roman" w:hAnsi="Times New Roman" w:cs="Times New Roman"/>
                <w:b/>
                <w:bCs/>
                <w:color w:val="000000" w:themeColor="text1"/>
                <w:sz w:val="14"/>
                <w:szCs w:val="14"/>
              </w:rPr>
              <w:t>-</w:t>
            </w:r>
            <w:proofErr w:type="gramEnd"/>
            <w:r w:rsidRPr="00D41731">
              <w:rPr>
                <w:rFonts w:ascii="Times New Roman" w:hAnsi="Times New Roman" w:cs="Times New Roman"/>
                <w:b/>
                <w:bCs/>
                <w:color w:val="000000" w:themeColor="text1"/>
                <w:sz w:val="14"/>
                <w:szCs w:val="14"/>
              </w:rPr>
              <w:br/>
            </w:r>
            <w:proofErr w:type="spellStart"/>
            <w:r w:rsidRPr="00D41731">
              <w:rPr>
                <w:rFonts w:ascii="Times New Roman" w:hAnsi="Times New Roman" w:cs="Times New Roman"/>
                <w:b/>
                <w:bCs/>
                <w:color w:val="000000" w:themeColor="text1"/>
                <w:sz w:val="14"/>
                <w:szCs w:val="14"/>
              </w:rPr>
              <w:t>ный</w:t>
            </w:r>
            <w:proofErr w:type="spellEnd"/>
            <w:r w:rsidRPr="00D41731">
              <w:rPr>
                <w:rFonts w:ascii="Times New Roman" w:hAnsi="Times New Roman" w:cs="Times New Roman"/>
                <w:b/>
                <w:bCs/>
                <w:color w:val="000000" w:themeColor="text1"/>
                <w:sz w:val="14"/>
                <w:szCs w:val="14"/>
              </w:rPr>
              <w:t xml:space="preserve"> закон</w:t>
            </w:r>
          </w:p>
          <w:p w:rsidR="00FB57D4" w:rsidRPr="00D41731" w:rsidRDefault="00FB57D4" w:rsidP="00DC162E">
            <w:pPr>
              <w:spacing w:after="0" w:line="240" w:lineRule="auto"/>
              <w:jc w:val="center"/>
              <w:rPr>
                <w:rFonts w:ascii="Times New Roman" w:hAnsi="Times New Roman" w:cs="Times New Roman"/>
                <w:b/>
                <w:bCs/>
                <w:color w:val="000000" w:themeColor="text1"/>
                <w:sz w:val="14"/>
                <w:szCs w:val="14"/>
              </w:rPr>
            </w:pPr>
            <w:r w:rsidRPr="00D41731">
              <w:rPr>
                <w:rFonts w:ascii="Times New Roman" w:hAnsi="Times New Roman" w:cs="Times New Roman"/>
                <w:b/>
                <w:bCs/>
                <w:color w:val="000000" w:themeColor="text1"/>
                <w:sz w:val="14"/>
                <w:szCs w:val="14"/>
              </w:rPr>
              <w:t xml:space="preserve">№ 384-ФЗ </w:t>
            </w:r>
          </w:p>
          <w:p w:rsidR="00FB57D4" w:rsidRPr="00D41731" w:rsidRDefault="00FB57D4" w:rsidP="00DC162E">
            <w:pPr>
              <w:spacing w:after="0" w:line="240" w:lineRule="auto"/>
              <w:jc w:val="center"/>
              <w:rPr>
                <w:rFonts w:ascii="Times New Roman" w:hAnsi="Times New Roman" w:cs="Times New Roman"/>
                <w:b/>
                <w:bCs/>
                <w:color w:val="000000" w:themeColor="text1"/>
                <w:sz w:val="14"/>
                <w:szCs w:val="14"/>
              </w:rPr>
            </w:pPr>
            <w:r w:rsidRPr="00D41731">
              <w:rPr>
                <w:rFonts w:ascii="Times New Roman" w:hAnsi="Times New Roman" w:cs="Times New Roman"/>
                <w:b/>
                <w:bCs/>
                <w:color w:val="000000" w:themeColor="text1"/>
                <w:sz w:val="14"/>
                <w:szCs w:val="14"/>
              </w:rPr>
              <w:t>(с изм.)</w:t>
            </w:r>
          </w:p>
        </w:tc>
        <w:tc>
          <w:tcPr>
            <w:tcW w:w="36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b/>
                <w:bCs/>
                <w:color w:val="000000" w:themeColor="text1"/>
                <w:sz w:val="14"/>
                <w:szCs w:val="14"/>
              </w:rPr>
            </w:pPr>
            <w:proofErr w:type="spellStart"/>
            <w:r w:rsidRPr="00D41731">
              <w:rPr>
                <w:rFonts w:ascii="Times New Roman" w:hAnsi="Times New Roman" w:cs="Times New Roman"/>
                <w:b/>
                <w:bCs/>
                <w:color w:val="000000" w:themeColor="text1"/>
                <w:sz w:val="14"/>
                <w:szCs w:val="14"/>
              </w:rPr>
              <w:t>испол</w:t>
            </w:r>
            <w:proofErr w:type="spellEnd"/>
            <w:r w:rsidRPr="00D41731">
              <w:rPr>
                <w:rFonts w:ascii="Times New Roman" w:hAnsi="Times New Roman" w:cs="Times New Roman"/>
                <w:b/>
                <w:bCs/>
                <w:color w:val="000000" w:themeColor="text1"/>
                <w:sz w:val="14"/>
                <w:szCs w:val="14"/>
              </w:rPr>
              <w:t>-</w:t>
            </w:r>
          </w:p>
          <w:p w:rsidR="00FB57D4" w:rsidRPr="00D41731" w:rsidRDefault="00FB57D4" w:rsidP="00DC162E">
            <w:pPr>
              <w:spacing w:after="0" w:line="240" w:lineRule="auto"/>
              <w:jc w:val="center"/>
              <w:rPr>
                <w:rFonts w:ascii="Times New Roman" w:hAnsi="Times New Roman" w:cs="Times New Roman"/>
                <w:b/>
                <w:bCs/>
                <w:color w:val="000000" w:themeColor="text1"/>
                <w:sz w:val="14"/>
                <w:szCs w:val="14"/>
              </w:rPr>
            </w:pPr>
            <w:proofErr w:type="spellStart"/>
            <w:r w:rsidRPr="00D41731">
              <w:rPr>
                <w:rFonts w:ascii="Times New Roman" w:hAnsi="Times New Roman" w:cs="Times New Roman"/>
                <w:b/>
                <w:bCs/>
                <w:color w:val="000000" w:themeColor="text1"/>
                <w:sz w:val="14"/>
                <w:szCs w:val="14"/>
              </w:rPr>
              <w:t>нение</w:t>
            </w:r>
            <w:proofErr w:type="spellEnd"/>
          </w:p>
        </w:tc>
        <w:tc>
          <w:tcPr>
            <w:tcW w:w="317"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b/>
                <w:bCs/>
                <w:color w:val="000000" w:themeColor="text1"/>
                <w:sz w:val="12"/>
                <w:szCs w:val="12"/>
              </w:rPr>
            </w:pPr>
            <w:r w:rsidRPr="00D41731">
              <w:rPr>
                <w:rFonts w:ascii="Times New Roman" w:hAnsi="Times New Roman" w:cs="Times New Roman"/>
                <w:b/>
                <w:bCs/>
                <w:color w:val="000000" w:themeColor="text1"/>
                <w:sz w:val="12"/>
                <w:szCs w:val="12"/>
              </w:rPr>
              <w:t xml:space="preserve">% </w:t>
            </w:r>
            <w:proofErr w:type="spellStart"/>
            <w:proofErr w:type="gramStart"/>
            <w:r w:rsidRPr="00D41731">
              <w:rPr>
                <w:rFonts w:ascii="Times New Roman" w:hAnsi="Times New Roman" w:cs="Times New Roman"/>
                <w:b/>
                <w:bCs/>
                <w:color w:val="000000" w:themeColor="text1"/>
                <w:sz w:val="12"/>
                <w:szCs w:val="12"/>
              </w:rPr>
              <w:t>испол</w:t>
            </w:r>
            <w:proofErr w:type="spellEnd"/>
            <w:r w:rsidRPr="00D41731">
              <w:rPr>
                <w:rFonts w:ascii="Times New Roman" w:hAnsi="Times New Roman" w:cs="Times New Roman"/>
                <w:b/>
                <w:bCs/>
                <w:color w:val="000000" w:themeColor="text1"/>
                <w:sz w:val="12"/>
                <w:szCs w:val="12"/>
              </w:rPr>
              <w:t>-нения</w:t>
            </w:r>
            <w:proofErr w:type="gramEnd"/>
            <w:r w:rsidRPr="00D41731">
              <w:rPr>
                <w:rFonts w:ascii="Times New Roman" w:hAnsi="Times New Roman" w:cs="Times New Roman"/>
                <w:b/>
                <w:bCs/>
                <w:color w:val="000000" w:themeColor="text1"/>
                <w:sz w:val="12"/>
                <w:szCs w:val="12"/>
              </w:rPr>
              <w:t xml:space="preserve"> </w:t>
            </w:r>
          </w:p>
        </w:tc>
        <w:tc>
          <w:tcPr>
            <w:tcW w:w="37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b/>
                <w:bCs/>
                <w:color w:val="000000" w:themeColor="text1"/>
                <w:sz w:val="12"/>
                <w:szCs w:val="12"/>
              </w:rPr>
            </w:pPr>
            <w:r w:rsidRPr="00D41731">
              <w:rPr>
                <w:rFonts w:ascii="Times New Roman" w:hAnsi="Times New Roman" w:cs="Times New Roman"/>
                <w:b/>
                <w:bCs/>
                <w:color w:val="000000" w:themeColor="text1"/>
                <w:sz w:val="12"/>
                <w:szCs w:val="12"/>
              </w:rPr>
              <w:t xml:space="preserve">Федеральный закон </w:t>
            </w:r>
          </w:p>
          <w:p w:rsidR="00FB57D4" w:rsidRPr="00D41731" w:rsidRDefault="00FB57D4" w:rsidP="00DC162E">
            <w:pPr>
              <w:spacing w:after="0" w:line="240" w:lineRule="auto"/>
              <w:jc w:val="center"/>
              <w:rPr>
                <w:rFonts w:ascii="Times New Roman" w:hAnsi="Times New Roman" w:cs="Times New Roman"/>
                <w:b/>
                <w:bCs/>
                <w:color w:val="000000" w:themeColor="text1"/>
                <w:sz w:val="12"/>
                <w:szCs w:val="12"/>
              </w:rPr>
            </w:pPr>
            <w:r w:rsidRPr="00D41731">
              <w:rPr>
                <w:rFonts w:ascii="Times New Roman" w:hAnsi="Times New Roman" w:cs="Times New Roman"/>
                <w:b/>
                <w:bCs/>
                <w:color w:val="000000" w:themeColor="text1"/>
                <w:sz w:val="12"/>
                <w:szCs w:val="12"/>
              </w:rPr>
              <w:t>№ 359-ФЗ</w:t>
            </w:r>
          </w:p>
          <w:p w:rsidR="00FB57D4" w:rsidRPr="00D41731" w:rsidRDefault="00FB57D4" w:rsidP="00DC162E">
            <w:pPr>
              <w:spacing w:after="0" w:line="240" w:lineRule="auto"/>
              <w:jc w:val="center"/>
              <w:rPr>
                <w:rFonts w:ascii="Times New Roman" w:hAnsi="Times New Roman" w:cs="Times New Roman"/>
                <w:b/>
                <w:bCs/>
                <w:color w:val="000000" w:themeColor="text1"/>
                <w:sz w:val="12"/>
                <w:szCs w:val="12"/>
              </w:rPr>
            </w:pPr>
            <w:r w:rsidRPr="00D41731">
              <w:rPr>
                <w:rFonts w:ascii="Times New Roman" w:hAnsi="Times New Roman" w:cs="Times New Roman"/>
                <w:b/>
                <w:bCs/>
                <w:color w:val="000000" w:themeColor="text1"/>
                <w:sz w:val="12"/>
                <w:szCs w:val="12"/>
              </w:rPr>
              <w:t xml:space="preserve"> (с изм.)</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b/>
                <w:bCs/>
                <w:color w:val="000000" w:themeColor="text1"/>
                <w:sz w:val="12"/>
                <w:szCs w:val="12"/>
              </w:rPr>
            </w:pPr>
            <w:proofErr w:type="spellStart"/>
            <w:proofErr w:type="gramStart"/>
            <w:r w:rsidRPr="00D41731">
              <w:rPr>
                <w:rFonts w:ascii="Times New Roman" w:hAnsi="Times New Roman" w:cs="Times New Roman"/>
                <w:b/>
                <w:bCs/>
                <w:color w:val="000000" w:themeColor="text1"/>
                <w:sz w:val="12"/>
                <w:szCs w:val="12"/>
              </w:rPr>
              <w:t>испол-нение</w:t>
            </w:r>
            <w:proofErr w:type="spellEnd"/>
            <w:proofErr w:type="gramEnd"/>
          </w:p>
        </w:tc>
        <w:tc>
          <w:tcPr>
            <w:tcW w:w="30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b/>
                <w:bCs/>
                <w:color w:val="000000" w:themeColor="text1"/>
                <w:sz w:val="12"/>
                <w:szCs w:val="12"/>
              </w:rPr>
            </w:pPr>
            <w:r w:rsidRPr="00D41731">
              <w:rPr>
                <w:rFonts w:ascii="Times New Roman" w:hAnsi="Times New Roman" w:cs="Times New Roman"/>
                <w:b/>
                <w:bCs/>
                <w:color w:val="000000" w:themeColor="text1"/>
                <w:sz w:val="12"/>
                <w:szCs w:val="12"/>
              </w:rPr>
              <w:t xml:space="preserve">% </w:t>
            </w:r>
            <w:proofErr w:type="spellStart"/>
            <w:proofErr w:type="gramStart"/>
            <w:r w:rsidRPr="00D41731">
              <w:rPr>
                <w:rFonts w:ascii="Times New Roman" w:hAnsi="Times New Roman" w:cs="Times New Roman"/>
                <w:b/>
                <w:bCs/>
                <w:color w:val="000000" w:themeColor="text1"/>
                <w:sz w:val="12"/>
                <w:szCs w:val="12"/>
              </w:rPr>
              <w:t>испол</w:t>
            </w:r>
            <w:proofErr w:type="spellEnd"/>
            <w:r w:rsidRPr="00D41731">
              <w:rPr>
                <w:rFonts w:ascii="Times New Roman" w:hAnsi="Times New Roman" w:cs="Times New Roman"/>
                <w:b/>
                <w:bCs/>
                <w:color w:val="000000" w:themeColor="text1"/>
                <w:sz w:val="12"/>
                <w:szCs w:val="12"/>
              </w:rPr>
              <w:t>-нения</w:t>
            </w:r>
            <w:proofErr w:type="gramEnd"/>
            <w:r w:rsidRPr="00D41731">
              <w:rPr>
                <w:rFonts w:ascii="Times New Roman" w:hAnsi="Times New Roman" w:cs="Times New Roman"/>
                <w:b/>
                <w:bCs/>
                <w:color w:val="000000" w:themeColor="text1"/>
                <w:sz w:val="12"/>
                <w:szCs w:val="12"/>
              </w:rPr>
              <w:t xml:space="preserve"> </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b/>
                <w:bCs/>
                <w:color w:val="000000" w:themeColor="text1"/>
                <w:sz w:val="12"/>
                <w:szCs w:val="12"/>
              </w:rPr>
            </w:pPr>
            <w:r w:rsidRPr="00D41731">
              <w:rPr>
                <w:rFonts w:ascii="Times New Roman" w:hAnsi="Times New Roman" w:cs="Times New Roman"/>
                <w:b/>
                <w:bCs/>
                <w:color w:val="000000" w:themeColor="text1"/>
                <w:sz w:val="12"/>
                <w:szCs w:val="12"/>
              </w:rPr>
              <w:t xml:space="preserve">Федеральный закон № 415-ФЗ </w:t>
            </w:r>
          </w:p>
          <w:p w:rsidR="00FB57D4" w:rsidRPr="00D41731" w:rsidRDefault="00FB57D4" w:rsidP="00DC162E">
            <w:pPr>
              <w:spacing w:after="0" w:line="240" w:lineRule="auto"/>
              <w:jc w:val="center"/>
              <w:rPr>
                <w:rFonts w:ascii="Times New Roman" w:hAnsi="Times New Roman" w:cs="Times New Roman"/>
                <w:b/>
                <w:bCs/>
                <w:color w:val="000000" w:themeColor="text1"/>
                <w:sz w:val="12"/>
                <w:szCs w:val="12"/>
              </w:rPr>
            </w:pPr>
            <w:r w:rsidRPr="00D41731">
              <w:rPr>
                <w:rFonts w:ascii="Times New Roman" w:hAnsi="Times New Roman" w:cs="Times New Roman"/>
                <w:b/>
                <w:bCs/>
                <w:color w:val="000000" w:themeColor="text1"/>
                <w:sz w:val="12"/>
                <w:szCs w:val="12"/>
              </w:rPr>
              <w:t>(с изм.)</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b/>
                <w:bCs/>
                <w:color w:val="000000" w:themeColor="text1"/>
                <w:sz w:val="12"/>
                <w:szCs w:val="12"/>
              </w:rPr>
            </w:pPr>
            <w:proofErr w:type="spellStart"/>
            <w:proofErr w:type="gramStart"/>
            <w:r w:rsidRPr="00D41731">
              <w:rPr>
                <w:rFonts w:ascii="Times New Roman" w:hAnsi="Times New Roman" w:cs="Times New Roman"/>
                <w:b/>
                <w:bCs/>
                <w:color w:val="000000" w:themeColor="text1"/>
                <w:sz w:val="12"/>
                <w:szCs w:val="12"/>
              </w:rPr>
              <w:t>испол-нение</w:t>
            </w:r>
            <w:proofErr w:type="spellEnd"/>
            <w:proofErr w:type="gramEnd"/>
          </w:p>
        </w:tc>
        <w:tc>
          <w:tcPr>
            <w:tcW w:w="33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b/>
                <w:bCs/>
                <w:color w:val="000000" w:themeColor="text1"/>
                <w:sz w:val="12"/>
                <w:szCs w:val="12"/>
              </w:rPr>
            </w:pPr>
            <w:r w:rsidRPr="00D41731">
              <w:rPr>
                <w:rFonts w:ascii="Times New Roman" w:hAnsi="Times New Roman" w:cs="Times New Roman"/>
                <w:b/>
                <w:bCs/>
                <w:color w:val="000000" w:themeColor="text1"/>
                <w:sz w:val="12"/>
                <w:szCs w:val="12"/>
              </w:rPr>
              <w:t xml:space="preserve">% </w:t>
            </w:r>
            <w:proofErr w:type="spellStart"/>
            <w:proofErr w:type="gramStart"/>
            <w:r w:rsidRPr="00D41731">
              <w:rPr>
                <w:rFonts w:ascii="Times New Roman" w:hAnsi="Times New Roman" w:cs="Times New Roman"/>
                <w:b/>
                <w:bCs/>
                <w:color w:val="000000" w:themeColor="text1"/>
                <w:sz w:val="12"/>
                <w:szCs w:val="12"/>
              </w:rPr>
              <w:t>испол</w:t>
            </w:r>
            <w:proofErr w:type="spellEnd"/>
            <w:r w:rsidRPr="00D41731">
              <w:rPr>
                <w:rFonts w:ascii="Times New Roman" w:hAnsi="Times New Roman" w:cs="Times New Roman"/>
                <w:b/>
                <w:bCs/>
                <w:color w:val="000000" w:themeColor="text1"/>
                <w:sz w:val="12"/>
                <w:szCs w:val="12"/>
              </w:rPr>
              <w:t>-нения</w:t>
            </w:r>
            <w:proofErr w:type="gramEnd"/>
            <w:r w:rsidRPr="00D41731">
              <w:rPr>
                <w:rFonts w:ascii="Times New Roman" w:hAnsi="Times New Roman" w:cs="Times New Roman"/>
                <w:b/>
                <w:bCs/>
                <w:color w:val="000000" w:themeColor="text1"/>
                <w:sz w:val="12"/>
                <w:szCs w:val="12"/>
              </w:rPr>
              <w:t xml:space="preserve"> </w:t>
            </w:r>
          </w:p>
        </w:tc>
        <w:tc>
          <w:tcPr>
            <w:tcW w:w="434" w:type="pct"/>
            <w:vAlign w:val="center"/>
          </w:tcPr>
          <w:p w:rsidR="00FB57D4" w:rsidRPr="00D41731" w:rsidRDefault="00FB57D4" w:rsidP="00E73B23">
            <w:pPr>
              <w:spacing w:after="0" w:line="240" w:lineRule="auto"/>
              <w:jc w:val="center"/>
              <w:rPr>
                <w:rFonts w:ascii="Times New Roman" w:hAnsi="Times New Roman" w:cs="Times New Roman"/>
                <w:b/>
                <w:bCs/>
                <w:color w:val="000000" w:themeColor="text1"/>
                <w:sz w:val="12"/>
                <w:szCs w:val="12"/>
              </w:rPr>
            </w:pPr>
            <w:proofErr w:type="spellStart"/>
            <w:proofErr w:type="gramStart"/>
            <w:r w:rsidRPr="00D41731">
              <w:rPr>
                <w:rFonts w:ascii="Times New Roman" w:hAnsi="Times New Roman" w:cs="Times New Roman"/>
                <w:b/>
                <w:bCs/>
                <w:color w:val="000000" w:themeColor="text1"/>
                <w:sz w:val="12"/>
                <w:szCs w:val="12"/>
              </w:rPr>
              <w:t>Федераль</w:t>
            </w:r>
            <w:r w:rsidR="008C1E04" w:rsidRPr="00D41731">
              <w:rPr>
                <w:rFonts w:ascii="Times New Roman" w:hAnsi="Times New Roman" w:cs="Times New Roman"/>
                <w:b/>
                <w:bCs/>
                <w:color w:val="000000" w:themeColor="text1"/>
                <w:sz w:val="12"/>
                <w:szCs w:val="12"/>
              </w:rPr>
              <w:t>-</w:t>
            </w:r>
            <w:r w:rsidRPr="00D41731">
              <w:rPr>
                <w:rFonts w:ascii="Times New Roman" w:hAnsi="Times New Roman" w:cs="Times New Roman"/>
                <w:b/>
                <w:bCs/>
                <w:color w:val="000000" w:themeColor="text1"/>
                <w:sz w:val="12"/>
                <w:szCs w:val="12"/>
              </w:rPr>
              <w:t>ный</w:t>
            </w:r>
            <w:proofErr w:type="spellEnd"/>
            <w:proofErr w:type="gramEnd"/>
            <w:r w:rsidRPr="00D41731">
              <w:rPr>
                <w:rFonts w:ascii="Times New Roman" w:hAnsi="Times New Roman" w:cs="Times New Roman"/>
                <w:b/>
                <w:bCs/>
                <w:color w:val="000000" w:themeColor="text1"/>
                <w:sz w:val="12"/>
                <w:szCs w:val="12"/>
              </w:rPr>
              <w:t xml:space="preserve"> закон № </w:t>
            </w:r>
            <w:r w:rsidR="008C1E04" w:rsidRPr="00D41731">
              <w:rPr>
                <w:rFonts w:ascii="Times New Roman" w:hAnsi="Times New Roman" w:cs="Times New Roman"/>
                <w:b/>
                <w:bCs/>
                <w:color w:val="000000" w:themeColor="text1"/>
                <w:sz w:val="12"/>
                <w:szCs w:val="12"/>
              </w:rPr>
              <w:t>362</w:t>
            </w:r>
            <w:r w:rsidRPr="00D41731">
              <w:rPr>
                <w:rFonts w:ascii="Times New Roman" w:hAnsi="Times New Roman" w:cs="Times New Roman"/>
                <w:b/>
                <w:bCs/>
                <w:color w:val="000000" w:themeColor="text1"/>
                <w:sz w:val="12"/>
                <w:szCs w:val="12"/>
              </w:rPr>
              <w:t xml:space="preserve">-ФЗ </w:t>
            </w:r>
          </w:p>
          <w:p w:rsidR="00FB57D4" w:rsidRPr="00D41731" w:rsidRDefault="00FB57D4" w:rsidP="00E73B23">
            <w:pPr>
              <w:spacing w:after="0" w:line="240" w:lineRule="auto"/>
              <w:jc w:val="center"/>
              <w:rPr>
                <w:rFonts w:ascii="Times New Roman" w:hAnsi="Times New Roman" w:cs="Times New Roman"/>
                <w:b/>
                <w:bCs/>
                <w:color w:val="000000" w:themeColor="text1"/>
                <w:sz w:val="12"/>
                <w:szCs w:val="12"/>
              </w:rPr>
            </w:pPr>
            <w:r w:rsidRPr="00D41731">
              <w:rPr>
                <w:rFonts w:ascii="Times New Roman" w:hAnsi="Times New Roman" w:cs="Times New Roman"/>
                <w:b/>
                <w:bCs/>
                <w:color w:val="000000" w:themeColor="text1"/>
                <w:sz w:val="12"/>
                <w:szCs w:val="12"/>
              </w:rPr>
              <w:t>(с изм.)</w:t>
            </w:r>
          </w:p>
        </w:tc>
        <w:tc>
          <w:tcPr>
            <w:tcW w:w="407" w:type="pct"/>
            <w:vAlign w:val="center"/>
          </w:tcPr>
          <w:p w:rsidR="00FB57D4" w:rsidRPr="00D41731" w:rsidRDefault="00FB57D4" w:rsidP="00E73B23">
            <w:pPr>
              <w:spacing w:after="0" w:line="240" w:lineRule="auto"/>
              <w:jc w:val="center"/>
              <w:rPr>
                <w:rFonts w:ascii="Times New Roman" w:hAnsi="Times New Roman" w:cs="Times New Roman"/>
                <w:b/>
                <w:bCs/>
                <w:color w:val="000000" w:themeColor="text1"/>
                <w:sz w:val="12"/>
                <w:szCs w:val="12"/>
              </w:rPr>
            </w:pPr>
            <w:proofErr w:type="spellStart"/>
            <w:proofErr w:type="gramStart"/>
            <w:r w:rsidRPr="00D41731">
              <w:rPr>
                <w:rFonts w:ascii="Times New Roman" w:hAnsi="Times New Roman" w:cs="Times New Roman"/>
                <w:b/>
                <w:bCs/>
                <w:color w:val="000000" w:themeColor="text1"/>
                <w:sz w:val="12"/>
                <w:szCs w:val="12"/>
              </w:rPr>
              <w:t>испол-нение</w:t>
            </w:r>
            <w:proofErr w:type="spellEnd"/>
            <w:proofErr w:type="gramEnd"/>
          </w:p>
        </w:tc>
        <w:tc>
          <w:tcPr>
            <w:tcW w:w="399" w:type="pct"/>
            <w:vAlign w:val="center"/>
          </w:tcPr>
          <w:p w:rsidR="00FB57D4" w:rsidRPr="00D41731" w:rsidRDefault="00FB57D4" w:rsidP="00E73B23">
            <w:pPr>
              <w:spacing w:after="0" w:line="240" w:lineRule="auto"/>
              <w:jc w:val="center"/>
              <w:rPr>
                <w:rFonts w:ascii="Times New Roman" w:hAnsi="Times New Roman" w:cs="Times New Roman"/>
                <w:b/>
                <w:bCs/>
                <w:color w:val="000000" w:themeColor="text1"/>
                <w:sz w:val="12"/>
                <w:szCs w:val="12"/>
              </w:rPr>
            </w:pPr>
            <w:r w:rsidRPr="00D41731">
              <w:rPr>
                <w:rFonts w:ascii="Times New Roman" w:hAnsi="Times New Roman" w:cs="Times New Roman"/>
                <w:b/>
                <w:bCs/>
                <w:color w:val="000000" w:themeColor="text1"/>
                <w:sz w:val="12"/>
                <w:szCs w:val="12"/>
              </w:rPr>
              <w:t xml:space="preserve">% </w:t>
            </w:r>
            <w:proofErr w:type="spellStart"/>
            <w:proofErr w:type="gramStart"/>
            <w:r w:rsidRPr="00D41731">
              <w:rPr>
                <w:rFonts w:ascii="Times New Roman" w:hAnsi="Times New Roman" w:cs="Times New Roman"/>
                <w:b/>
                <w:bCs/>
                <w:color w:val="000000" w:themeColor="text1"/>
                <w:sz w:val="12"/>
                <w:szCs w:val="12"/>
              </w:rPr>
              <w:t>испол</w:t>
            </w:r>
            <w:proofErr w:type="spellEnd"/>
            <w:r w:rsidRPr="00D41731">
              <w:rPr>
                <w:rFonts w:ascii="Times New Roman" w:hAnsi="Times New Roman" w:cs="Times New Roman"/>
                <w:b/>
                <w:bCs/>
                <w:color w:val="000000" w:themeColor="text1"/>
                <w:sz w:val="12"/>
                <w:szCs w:val="12"/>
              </w:rPr>
              <w:t>-нения</w:t>
            </w:r>
            <w:proofErr w:type="gramEnd"/>
            <w:r w:rsidRPr="00D41731">
              <w:rPr>
                <w:rFonts w:ascii="Times New Roman" w:hAnsi="Times New Roman" w:cs="Times New Roman"/>
                <w:b/>
                <w:bCs/>
                <w:color w:val="000000" w:themeColor="text1"/>
                <w:sz w:val="12"/>
                <w:szCs w:val="12"/>
              </w:rPr>
              <w:t xml:space="preserve"> </w:t>
            </w:r>
          </w:p>
        </w:tc>
      </w:tr>
      <w:tr w:rsidR="008C1E04" w:rsidRPr="00D41731" w:rsidTr="00674852">
        <w:trPr>
          <w:trHeight w:val="315"/>
        </w:trPr>
        <w:tc>
          <w:tcPr>
            <w:tcW w:w="513" w:type="pct"/>
            <w:shd w:val="clear" w:color="auto" w:fill="auto"/>
            <w:vAlign w:val="center"/>
            <w:hideMark/>
          </w:tcPr>
          <w:p w:rsidR="00FB57D4" w:rsidRPr="00D41731" w:rsidRDefault="00FB57D4" w:rsidP="00DC162E">
            <w:pPr>
              <w:spacing w:after="0" w:line="240" w:lineRule="auto"/>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Дефицит</w:t>
            </w:r>
            <w:proofErr w:type="gramStart"/>
            <w:r w:rsidRPr="00D41731">
              <w:rPr>
                <w:rFonts w:ascii="Times New Roman" w:hAnsi="Times New Roman" w:cs="Times New Roman"/>
                <w:color w:val="000000" w:themeColor="text1"/>
                <w:sz w:val="16"/>
                <w:szCs w:val="16"/>
              </w:rPr>
              <w:t xml:space="preserve"> (-), </w:t>
            </w:r>
            <w:proofErr w:type="gramEnd"/>
            <w:r w:rsidRPr="00D41731">
              <w:rPr>
                <w:rFonts w:ascii="Times New Roman" w:hAnsi="Times New Roman" w:cs="Times New Roman"/>
                <w:color w:val="000000" w:themeColor="text1"/>
                <w:sz w:val="16"/>
                <w:szCs w:val="16"/>
              </w:rPr>
              <w:t>профицит (+)</w:t>
            </w:r>
          </w:p>
        </w:tc>
        <w:tc>
          <w:tcPr>
            <w:tcW w:w="447"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-2 165,9</w:t>
            </w:r>
          </w:p>
        </w:tc>
        <w:tc>
          <w:tcPr>
            <w:tcW w:w="36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-1 961,0</w:t>
            </w:r>
          </w:p>
        </w:tc>
        <w:tc>
          <w:tcPr>
            <w:tcW w:w="317"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90,5</w:t>
            </w:r>
          </w:p>
        </w:tc>
        <w:tc>
          <w:tcPr>
            <w:tcW w:w="37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-3 034,4</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-2 956,4</w:t>
            </w:r>
          </w:p>
        </w:tc>
        <w:tc>
          <w:tcPr>
            <w:tcW w:w="30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97,4</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-2 008,1</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-1 331,4</w:t>
            </w:r>
          </w:p>
        </w:tc>
        <w:tc>
          <w:tcPr>
            <w:tcW w:w="33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66,3</w:t>
            </w:r>
          </w:p>
        </w:tc>
        <w:tc>
          <w:tcPr>
            <w:tcW w:w="434" w:type="pct"/>
            <w:vAlign w:val="center"/>
          </w:tcPr>
          <w:p w:rsidR="00FB57D4" w:rsidRPr="00D41731" w:rsidRDefault="008C1E04" w:rsidP="008C1E04">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 xml:space="preserve">2 138,7 </w:t>
            </w:r>
          </w:p>
        </w:tc>
        <w:tc>
          <w:tcPr>
            <w:tcW w:w="407" w:type="pct"/>
            <w:vAlign w:val="center"/>
          </w:tcPr>
          <w:p w:rsidR="00FB57D4" w:rsidRPr="00D41731" w:rsidRDefault="008C1E04" w:rsidP="008C1E04">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2 741,4</w:t>
            </w:r>
          </w:p>
        </w:tc>
        <w:tc>
          <w:tcPr>
            <w:tcW w:w="399" w:type="pct"/>
            <w:vAlign w:val="center"/>
          </w:tcPr>
          <w:p w:rsidR="00FB57D4" w:rsidRPr="00D41731" w:rsidRDefault="008C1E04" w:rsidP="008C1E04">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128,2</w:t>
            </w:r>
          </w:p>
        </w:tc>
      </w:tr>
      <w:tr w:rsidR="008C1E04" w:rsidRPr="00D41731" w:rsidTr="00674852">
        <w:trPr>
          <w:trHeight w:val="315"/>
        </w:trPr>
        <w:tc>
          <w:tcPr>
            <w:tcW w:w="513" w:type="pct"/>
            <w:shd w:val="clear" w:color="auto" w:fill="auto"/>
            <w:vAlign w:val="center"/>
            <w:hideMark/>
          </w:tcPr>
          <w:p w:rsidR="00FB57D4" w:rsidRPr="00D41731" w:rsidRDefault="00FB57D4" w:rsidP="00DC162E">
            <w:pPr>
              <w:spacing w:after="0" w:line="240" w:lineRule="auto"/>
              <w:rPr>
                <w:rFonts w:ascii="Times New Roman" w:hAnsi="Times New Roman" w:cs="Times New Roman"/>
                <w:color w:val="000000" w:themeColor="text1"/>
                <w:sz w:val="16"/>
                <w:szCs w:val="16"/>
              </w:rPr>
            </w:pPr>
            <w:proofErr w:type="gramStart"/>
            <w:r w:rsidRPr="00D41731">
              <w:rPr>
                <w:rFonts w:ascii="Times New Roman" w:hAnsi="Times New Roman" w:cs="Times New Roman"/>
                <w:color w:val="000000" w:themeColor="text1"/>
                <w:sz w:val="16"/>
                <w:szCs w:val="16"/>
              </w:rPr>
              <w:t>в</w:t>
            </w:r>
            <w:proofErr w:type="gramEnd"/>
            <w:r w:rsidRPr="00D41731">
              <w:rPr>
                <w:rFonts w:ascii="Times New Roman" w:hAnsi="Times New Roman" w:cs="Times New Roman"/>
                <w:color w:val="000000" w:themeColor="text1"/>
                <w:sz w:val="16"/>
                <w:szCs w:val="16"/>
              </w:rPr>
              <w:t xml:space="preserve"> % к ВВП</w:t>
            </w:r>
          </w:p>
        </w:tc>
        <w:tc>
          <w:tcPr>
            <w:tcW w:w="447"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2,9</w:t>
            </w:r>
          </w:p>
        </w:tc>
        <w:tc>
          <w:tcPr>
            <w:tcW w:w="36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2,4</w:t>
            </w:r>
          </w:p>
        </w:tc>
        <w:tc>
          <w:tcPr>
            <w:tcW w:w="317"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 </w:t>
            </w:r>
          </w:p>
        </w:tc>
        <w:tc>
          <w:tcPr>
            <w:tcW w:w="37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3,7</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3,4</w:t>
            </w:r>
          </w:p>
        </w:tc>
        <w:tc>
          <w:tcPr>
            <w:tcW w:w="30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 </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-2,2</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-1,4</w:t>
            </w:r>
          </w:p>
        </w:tc>
        <w:tc>
          <w:tcPr>
            <w:tcW w:w="33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 </w:t>
            </w:r>
          </w:p>
        </w:tc>
        <w:tc>
          <w:tcPr>
            <w:tcW w:w="434" w:type="pct"/>
            <w:vAlign w:val="center"/>
          </w:tcPr>
          <w:p w:rsidR="00FB57D4" w:rsidRPr="00D41731" w:rsidRDefault="008C1E04" w:rsidP="008C1E04">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2,1</w:t>
            </w:r>
          </w:p>
        </w:tc>
        <w:tc>
          <w:tcPr>
            <w:tcW w:w="407" w:type="pct"/>
            <w:vAlign w:val="center"/>
          </w:tcPr>
          <w:p w:rsidR="00FB57D4" w:rsidRPr="00D41731" w:rsidRDefault="008C1E04" w:rsidP="008C1E04">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2,6</w:t>
            </w:r>
          </w:p>
        </w:tc>
        <w:tc>
          <w:tcPr>
            <w:tcW w:w="399" w:type="pct"/>
            <w:vAlign w:val="center"/>
          </w:tcPr>
          <w:p w:rsidR="00FB57D4" w:rsidRPr="00D41731" w:rsidRDefault="00FB57D4" w:rsidP="008C1E04">
            <w:pPr>
              <w:spacing w:after="0" w:line="240" w:lineRule="auto"/>
              <w:jc w:val="center"/>
              <w:rPr>
                <w:rFonts w:ascii="Times New Roman" w:hAnsi="Times New Roman" w:cs="Times New Roman"/>
                <w:color w:val="000000" w:themeColor="text1"/>
                <w:sz w:val="16"/>
                <w:szCs w:val="16"/>
              </w:rPr>
            </w:pPr>
          </w:p>
        </w:tc>
      </w:tr>
      <w:tr w:rsidR="008C1E04" w:rsidRPr="00D41731" w:rsidTr="00674852">
        <w:trPr>
          <w:trHeight w:val="465"/>
        </w:trPr>
        <w:tc>
          <w:tcPr>
            <w:tcW w:w="513" w:type="pct"/>
            <w:shd w:val="clear" w:color="auto" w:fill="auto"/>
            <w:vAlign w:val="center"/>
            <w:hideMark/>
          </w:tcPr>
          <w:p w:rsidR="00FB57D4" w:rsidRPr="00D41731" w:rsidRDefault="00FB57D4" w:rsidP="00DC162E">
            <w:pPr>
              <w:spacing w:after="0" w:line="240" w:lineRule="auto"/>
              <w:rPr>
                <w:rFonts w:ascii="Times New Roman" w:hAnsi="Times New Roman" w:cs="Times New Roman"/>
                <w:color w:val="000000" w:themeColor="text1"/>
                <w:sz w:val="16"/>
                <w:szCs w:val="16"/>
              </w:rPr>
            </w:pPr>
            <w:proofErr w:type="gramStart"/>
            <w:r w:rsidRPr="00D41731">
              <w:rPr>
                <w:rFonts w:ascii="Times New Roman" w:hAnsi="Times New Roman" w:cs="Times New Roman"/>
                <w:color w:val="000000" w:themeColor="text1"/>
                <w:sz w:val="16"/>
                <w:szCs w:val="16"/>
              </w:rPr>
              <w:t>Первичный дефицит (-), (профицит (+),</w:t>
            </w:r>
            <w:proofErr w:type="gramEnd"/>
          </w:p>
        </w:tc>
        <w:tc>
          <w:tcPr>
            <w:tcW w:w="447"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-1 572,9</w:t>
            </w:r>
          </w:p>
        </w:tc>
        <w:tc>
          <w:tcPr>
            <w:tcW w:w="36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-1 442,3</w:t>
            </w:r>
          </w:p>
        </w:tc>
        <w:tc>
          <w:tcPr>
            <w:tcW w:w="317"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91,7</w:t>
            </w:r>
          </w:p>
        </w:tc>
        <w:tc>
          <w:tcPr>
            <w:tcW w:w="37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-2 394,8</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-2 335,1</w:t>
            </w:r>
          </w:p>
        </w:tc>
        <w:tc>
          <w:tcPr>
            <w:tcW w:w="30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97,5</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-1 277,8</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-622,2</w:t>
            </w:r>
          </w:p>
        </w:tc>
        <w:tc>
          <w:tcPr>
            <w:tcW w:w="33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48,6</w:t>
            </w:r>
          </w:p>
        </w:tc>
        <w:tc>
          <w:tcPr>
            <w:tcW w:w="434" w:type="pct"/>
            <w:vAlign w:val="center"/>
          </w:tcPr>
          <w:p w:rsidR="00FB57D4" w:rsidRPr="00D41731" w:rsidRDefault="009811DA" w:rsidP="008C1E04">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2 953,0</w:t>
            </w:r>
          </w:p>
        </w:tc>
        <w:tc>
          <w:tcPr>
            <w:tcW w:w="407" w:type="pct"/>
            <w:vAlign w:val="center"/>
          </w:tcPr>
          <w:p w:rsidR="00FB57D4" w:rsidRPr="00D41731" w:rsidRDefault="001F0A9D" w:rsidP="008C1E04">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3 547,3</w:t>
            </w:r>
          </w:p>
        </w:tc>
        <w:tc>
          <w:tcPr>
            <w:tcW w:w="399" w:type="pct"/>
            <w:vAlign w:val="center"/>
          </w:tcPr>
          <w:p w:rsidR="00FB57D4" w:rsidRPr="00D41731" w:rsidRDefault="009811DA" w:rsidP="008C1E04">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120,1</w:t>
            </w:r>
          </w:p>
        </w:tc>
      </w:tr>
      <w:tr w:rsidR="008C1E04" w:rsidRPr="00D41731" w:rsidTr="00674852">
        <w:trPr>
          <w:trHeight w:val="315"/>
        </w:trPr>
        <w:tc>
          <w:tcPr>
            <w:tcW w:w="513" w:type="pct"/>
            <w:shd w:val="clear" w:color="auto" w:fill="auto"/>
            <w:vAlign w:val="center"/>
            <w:hideMark/>
          </w:tcPr>
          <w:p w:rsidR="00FB57D4" w:rsidRPr="00D41731" w:rsidRDefault="00FB57D4" w:rsidP="00DC162E">
            <w:pPr>
              <w:spacing w:after="0" w:line="240" w:lineRule="auto"/>
              <w:rPr>
                <w:rFonts w:ascii="Times New Roman" w:hAnsi="Times New Roman" w:cs="Times New Roman"/>
                <w:color w:val="000000" w:themeColor="text1"/>
                <w:sz w:val="16"/>
                <w:szCs w:val="16"/>
              </w:rPr>
            </w:pPr>
            <w:proofErr w:type="gramStart"/>
            <w:r w:rsidRPr="00D41731">
              <w:rPr>
                <w:rFonts w:ascii="Times New Roman" w:hAnsi="Times New Roman" w:cs="Times New Roman"/>
                <w:color w:val="000000" w:themeColor="text1"/>
                <w:sz w:val="16"/>
                <w:szCs w:val="16"/>
              </w:rPr>
              <w:t>в</w:t>
            </w:r>
            <w:proofErr w:type="gramEnd"/>
            <w:r w:rsidRPr="00D41731">
              <w:rPr>
                <w:rFonts w:ascii="Times New Roman" w:hAnsi="Times New Roman" w:cs="Times New Roman"/>
                <w:color w:val="000000" w:themeColor="text1"/>
                <w:sz w:val="16"/>
                <w:szCs w:val="16"/>
              </w:rPr>
              <w:t xml:space="preserve"> % к ВВП</w:t>
            </w:r>
          </w:p>
        </w:tc>
        <w:tc>
          <w:tcPr>
            <w:tcW w:w="447"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2,1</w:t>
            </w:r>
          </w:p>
        </w:tc>
        <w:tc>
          <w:tcPr>
            <w:tcW w:w="36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1,7</w:t>
            </w:r>
          </w:p>
        </w:tc>
        <w:tc>
          <w:tcPr>
            <w:tcW w:w="317"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 </w:t>
            </w:r>
          </w:p>
        </w:tc>
        <w:tc>
          <w:tcPr>
            <w:tcW w:w="37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2,9</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2,7</w:t>
            </w:r>
          </w:p>
        </w:tc>
        <w:tc>
          <w:tcPr>
            <w:tcW w:w="30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 </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-1,4</w:t>
            </w:r>
          </w:p>
        </w:tc>
        <w:tc>
          <w:tcPr>
            <w:tcW w:w="368"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-0,7</w:t>
            </w:r>
          </w:p>
        </w:tc>
        <w:tc>
          <w:tcPr>
            <w:tcW w:w="334" w:type="pct"/>
            <w:shd w:val="clear" w:color="auto" w:fill="auto"/>
            <w:vAlign w:val="center"/>
          </w:tcPr>
          <w:p w:rsidR="00FB57D4" w:rsidRPr="00D41731" w:rsidRDefault="00FB57D4"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 </w:t>
            </w:r>
          </w:p>
        </w:tc>
        <w:tc>
          <w:tcPr>
            <w:tcW w:w="434" w:type="pct"/>
            <w:vAlign w:val="center"/>
          </w:tcPr>
          <w:p w:rsidR="00FB57D4" w:rsidRPr="00D41731" w:rsidRDefault="009811DA" w:rsidP="008C1E04">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2,9</w:t>
            </w:r>
          </w:p>
        </w:tc>
        <w:tc>
          <w:tcPr>
            <w:tcW w:w="407" w:type="pct"/>
            <w:vAlign w:val="center"/>
          </w:tcPr>
          <w:p w:rsidR="00FB57D4" w:rsidRPr="00D41731" w:rsidRDefault="001F0A9D" w:rsidP="008C1E04">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3,4</w:t>
            </w:r>
          </w:p>
        </w:tc>
        <w:tc>
          <w:tcPr>
            <w:tcW w:w="399" w:type="pct"/>
            <w:vAlign w:val="center"/>
          </w:tcPr>
          <w:p w:rsidR="00FB57D4" w:rsidRPr="00D41731" w:rsidRDefault="00FB57D4" w:rsidP="008C1E04">
            <w:pPr>
              <w:spacing w:after="0" w:line="240" w:lineRule="auto"/>
              <w:jc w:val="center"/>
              <w:rPr>
                <w:rFonts w:ascii="Times New Roman" w:hAnsi="Times New Roman" w:cs="Times New Roman"/>
                <w:color w:val="000000" w:themeColor="text1"/>
                <w:sz w:val="16"/>
                <w:szCs w:val="16"/>
              </w:rPr>
            </w:pPr>
          </w:p>
        </w:tc>
      </w:tr>
      <w:tr w:rsidR="004B6DAA" w:rsidRPr="00D41731" w:rsidTr="00674852">
        <w:trPr>
          <w:trHeight w:val="315"/>
        </w:trPr>
        <w:tc>
          <w:tcPr>
            <w:tcW w:w="513" w:type="pct"/>
            <w:shd w:val="clear" w:color="auto" w:fill="auto"/>
            <w:vAlign w:val="center"/>
          </w:tcPr>
          <w:p w:rsidR="004B6DAA" w:rsidRPr="00D41731" w:rsidRDefault="004B6DAA" w:rsidP="00DC162E">
            <w:pPr>
              <w:spacing w:after="0" w:line="240" w:lineRule="auto"/>
              <w:rPr>
                <w:rFonts w:ascii="Times New Roman" w:hAnsi="Times New Roman" w:cs="Times New Roman"/>
                <w:color w:val="000000" w:themeColor="text1"/>
                <w:sz w:val="16"/>
                <w:szCs w:val="16"/>
              </w:rPr>
            </w:pPr>
            <w:proofErr w:type="spellStart"/>
            <w:r w:rsidRPr="00D41731">
              <w:rPr>
                <w:rFonts w:ascii="Times New Roman" w:hAnsi="Times New Roman" w:cs="Times New Roman"/>
                <w:color w:val="000000" w:themeColor="text1"/>
                <w:sz w:val="16"/>
                <w:szCs w:val="16"/>
              </w:rPr>
              <w:t>Ненефтегазовый</w:t>
            </w:r>
            <w:proofErr w:type="spellEnd"/>
            <w:r w:rsidRPr="00D41731">
              <w:rPr>
                <w:rFonts w:ascii="Times New Roman" w:hAnsi="Times New Roman" w:cs="Times New Roman"/>
                <w:color w:val="000000" w:themeColor="text1"/>
                <w:sz w:val="16"/>
                <w:szCs w:val="16"/>
              </w:rPr>
              <w:t xml:space="preserve"> дефицит</w:t>
            </w:r>
          </w:p>
        </w:tc>
        <w:tc>
          <w:tcPr>
            <w:tcW w:w="447" w:type="pct"/>
            <w:shd w:val="clear" w:color="auto" w:fill="auto"/>
            <w:vAlign w:val="center"/>
          </w:tcPr>
          <w:p w:rsidR="004B6DAA" w:rsidRPr="00D41731" w:rsidRDefault="004B6DAA" w:rsidP="008414D7">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-8 045,8</w:t>
            </w:r>
          </w:p>
        </w:tc>
        <w:tc>
          <w:tcPr>
            <w:tcW w:w="364" w:type="pct"/>
            <w:shd w:val="clear" w:color="auto" w:fill="auto"/>
            <w:vAlign w:val="center"/>
          </w:tcPr>
          <w:p w:rsidR="004B6DAA" w:rsidRPr="00D41731" w:rsidRDefault="004B6DAA" w:rsidP="00E73B23">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-7 823,7</w:t>
            </w:r>
          </w:p>
        </w:tc>
        <w:tc>
          <w:tcPr>
            <w:tcW w:w="317" w:type="pct"/>
            <w:shd w:val="clear" w:color="auto" w:fill="auto"/>
            <w:vAlign w:val="center"/>
          </w:tcPr>
          <w:p w:rsidR="004B6DAA" w:rsidRPr="00D41731" w:rsidRDefault="004B6DAA"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97,2</w:t>
            </w:r>
          </w:p>
        </w:tc>
        <w:tc>
          <w:tcPr>
            <w:tcW w:w="374" w:type="pct"/>
            <w:shd w:val="clear" w:color="auto" w:fill="auto"/>
            <w:vAlign w:val="center"/>
          </w:tcPr>
          <w:p w:rsidR="004B6DAA" w:rsidRPr="00D41731" w:rsidRDefault="004B6DAA" w:rsidP="008414D7">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-7 811,9</w:t>
            </w:r>
          </w:p>
        </w:tc>
        <w:tc>
          <w:tcPr>
            <w:tcW w:w="368" w:type="pct"/>
            <w:shd w:val="clear" w:color="auto" w:fill="auto"/>
            <w:vAlign w:val="center"/>
          </w:tcPr>
          <w:p w:rsidR="004B6DAA" w:rsidRPr="00D41731" w:rsidRDefault="004B6DAA"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-7 800,4</w:t>
            </w:r>
          </w:p>
        </w:tc>
        <w:tc>
          <w:tcPr>
            <w:tcW w:w="308" w:type="pct"/>
            <w:shd w:val="clear" w:color="auto" w:fill="auto"/>
            <w:vAlign w:val="center"/>
          </w:tcPr>
          <w:p w:rsidR="004B6DAA" w:rsidRPr="00D41731" w:rsidRDefault="004B6DAA"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99,9</w:t>
            </w:r>
          </w:p>
        </w:tc>
        <w:tc>
          <w:tcPr>
            <w:tcW w:w="368" w:type="pct"/>
            <w:shd w:val="clear" w:color="auto" w:fill="auto"/>
            <w:vAlign w:val="center"/>
          </w:tcPr>
          <w:p w:rsidR="004B6DAA" w:rsidRPr="00D41731" w:rsidRDefault="004B6DAA" w:rsidP="0043580A">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-7 803,3</w:t>
            </w:r>
          </w:p>
        </w:tc>
        <w:tc>
          <w:tcPr>
            <w:tcW w:w="368" w:type="pct"/>
            <w:shd w:val="clear" w:color="auto" w:fill="auto"/>
            <w:vAlign w:val="center"/>
          </w:tcPr>
          <w:p w:rsidR="004B6DAA" w:rsidRPr="00D41731" w:rsidRDefault="004B6DAA"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-7 303,3</w:t>
            </w:r>
          </w:p>
        </w:tc>
        <w:tc>
          <w:tcPr>
            <w:tcW w:w="334" w:type="pct"/>
            <w:shd w:val="clear" w:color="auto" w:fill="auto"/>
            <w:vAlign w:val="center"/>
          </w:tcPr>
          <w:p w:rsidR="004B6DAA" w:rsidRPr="00D41731" w:rsidRDefault="004B6DAA"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93,6</w:t>
            </w:r>
          </w:p>
        </w:tc>
        <w:tc>
          <w:tcPr>
            <w:tcW w:w="434" w:type="pct"/>
            <w:vAlign w:val="center"/>
          </w:tcPr>
          <w:p w:rsidR="004B6DAA" w:rsidRPr="00D41731" w:rsidRDefault="004B6DAA" w:rsidP="004B6DAA">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-6 684,0</w:t>
            </w:r>
          </w:p>
        </w:tc>
        <w:tc>
          <w:tcPr>
            <w:tcW w:w="407" w:type="pct"/>
            <w:vAlign w:val="center"/>
          </w:tcPr>
          <w:p w:rsidR="004B6DAA" w:rsidRPr="00D41731" w:rsidRDefault="004B6DAA" w:rsidP="00E73B23">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-6 276,4</w:t>
            </w:r>
          </w:p>
        </w:tc>
        <w:tc>
          <w:tcPr>
            <w:tcW w:w="399" w:type="pct"/>
            <w:vAlign w:val="center"/>
          </w:tcPr>
          <w:p w:rsidR="004B6DAA" w:rsidRPr="00D41731" w:rsidRDefault="00A971F0" w:rsidP="008C1E04">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93,9</w:t>
            </w:r>
          </w:p>
        </w:tc>
      </w:tr>
      <w:tr w:rsidR="004B6DAA" w:rsidRPr="00D41731" w:rsidTr="00674852">
        <w:trPr>
          <w:trHeight w:val="315"/>
        </w:trPr>
        <w:tc>
          <w:tcPr>
            <w:tcW w:w="513" w:type="pct"/>
            <w:shd w:val="clear" w:color="auto" w:fill="auto"/>
            <w:vAlign w:val="center"/>
          </w:tcPr>
          <w:p w:rsidR="004B6DAA" w:rsidRPr="00D41731" w:rsidRDefault="004B6DAA" w:rsidP="00E73B23">
            <w:pPr>
              <w:spacing w:after="0" w:line="240" w:lineRule="auto"/>
              <w:rPr>
                <w:rFonts w:ascii="Times New Roman" w:hAnsi="Times New Roman" w:cs="Times New Roman"/>
                <w:color w:val="000000" w:themeColor="text1"/>
                <w:sz w:val="16"/>
                <w:szCs w:val="16"/>
              </w:rPr>
            </w:pPr>
            <w:proofErr w:type="gramStart"/>
            <w:r w:rsidRPr="00D41731">
              <w:rPr>
                <w:rFonts w:ascii="Times New Roman" w:hAnsi="Times New Roman" w:cs="Times New Roman"/>
                <w:color w:val="000000" w:themeColor="text1"/>
                <w:sz w:val="16"/>
                <w:szCs w:val="16"/>
              </w:rPr>
              <w:t>в</w:t>
            </w:r>
            <w:proofErr w:type="gramEnd"/>
            <w:r w:rsidRPr="00D41731">
              <w:rPr>
                <w:rFonts w:ascii="Times New Roman" w:hAnsi="Times New Roman" w:cs="Times New Roman"/>
                <w:color w:val="000000" w:themeColor="text1"/>
                <w:sz w:val="16"/>
                <w:szCs w:val="16"/>
              </w:rPr>
              <w:t xml:space="preserve"> % к ВВП</w:t>
            </w:r>
          </w:p>
        </w:tc>
        <w:tc>
          <w:tcPr>
            <w:tcW w:w="447" w:type="pct"/>
            <w:shd w:val="clear" w:color="auto" w:fill="auto"/>
            <w:vAlign w:val="center"/>
          </w:tcPr>
          <w:p w:rsidR="004B6DAA" w:rsidRPr="00D41731" w:rsidRDefault="004B6DAA" w:rsidP="008414D7">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10,9</w:t>
            </w:r>
          </w:p>
        </w:tc>
        <w:tc>
          <w:tcPr>
            <w:tcW w:w="364" w:type="pct"/>
            <w:shd w:val="clear" w:color="auto" w:fill="auto"/>
            <w:vAlign w:val="center"/>
          </w:tcPr>
          <w:p w:rsidR="004B6DAA" w:rsidRPr="00D41731" w:rsidRDefault="004B6DAA"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9,4</w:t>
            </w:r>
          </w:p>
        </w:tc>
        <w:tc>
          <w:tcPr>
            <w:tcW w:w="317" w:type="pct"/>
            <w:shd w:val="clear" w:color="auto" w:fill="auto"/>
            <w:vAlign w:val="center"/>
          </w:tcPr>
          <w:p w:rsidR="004B6DAA" w:rsidRPr="00D41731" w:rsidRDefault="004B6DAA" w:rsidP="00DC162E">
            <w:pPr>
              <w:spacing w:after="0" w:line="240" w:lineRule="auto"/>
              <w:jc w:val="center"/>
              <w:rPr>
                <w:rFonts w:ascii="Times New Roman" w:hAnsi="Times New Roman" w:cs="Times New Roman"/>
                <w:color w:val="000000" w:themeColor="text1"/>
                <w:sz w:val="16"/>
                <w:szCs w:val="16"/>
              </w:rPr>
            </w:pPr>
          </w:p>
        </w:tc>
        <w:tc>
          <w:tcPr>
            <w:tcW w:w="374" w:type="pct"/>
            <w:shd w:val="clear" w:color="auto" w:fill="auto"/>
            <w:vAlign w:val="center"/>
          </w:tcPr>
          <w:p w:rsidR="004B6DAA" w:rsidRPr="00D41731" w:rsidRDefault="004B6DAA" w:rsidP="008414D7">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9,4</w:t>
            </w:r>
          </w:p>
        </w:tc>
        <w:tc>
          <w:tcPr>
            <w:tcW w:w="368" w:type="pct"/>
            <w:shd w:val="clear" w:color="auto" w:fill="auto"/>
            <w:vAlign w:val="center"/>
          </w:tcPr>
          <w:p w:rsidR="004B6DAA" w:rsidRPr="00D41731" w:rsidRDefault="004B6DAA"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9,1</w:t>
            </w:r>
          </w:p>
        </w:tc>
        <w:tc>
          <w:tcPr>
            <w:tcW w:w="308" w:type="pct"/>
            <w:shd w:val="clear" w:color="auto" w:fill="auto"/>
            <w:vAlign w:val="center"/>
          </w:tcPr>
          <w:p w:rsidR="004B6DAA" w:rsidRPr="00D41731" w:rsidRDefault="004B6DAA" w:rsidP="00DC162E">
            <w:pPr>
              <w:spacing w:after="0" w:line="240" w:lineRule="auto"/>
              <w:jc w:val="center"/>
              <w:rPr>
                <w:rFonts w:ascii="Times New Roman" w:hAnsi="Times New Roman" w:cs="Times New Roman"/>
                <w:color w:val="000000" w:themeColor="text1"/>
                <w:sz w:val="16"/>
                <w:szCs w:val="16"/>
              </w:rPr>
            </w:pPr>
          </w:p>
        </w:tc>
        <w:tc>
          <w:tcPr>
            <w:tcW w:w="368" w:type="pct"/>
            <w:shd w:val="clear" w:color="auto" w:fill="auto"/>
            <w:vAlign w:val="center"/>
          </w:tcPr>
          <w:p w:rsidR="004B6DAA" w:rsidRPr="00D41731" w:rsidRDefault="004B6DAA" w:rsidP="0043580A">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8,5</w:t>
            </w:r>
          </w:p>
        </w:tc>
        <w:tc>
          <w:tcPr>
            <w:tcW w:w="368" w:type="pct"/>
            <w:shd w:val="clear" w:color="auto" w:fill="auto"/>
            <w:vAlign w:val="center"/>
          </w:tcPr>
          <w:p w:rsidR="004B6DAA" w:rsidRPr="00D41731" w:rsidRDefault="004B6DAA"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7,9</w:t>
            </w:r>
          </w:p>
        </w:tc>
        <w:tc>
          <w:tcPr>
            <w:tcW w:w="334" w:type="pct"/>
            <w:shd w:val="clear" w:color="auto" w:fill="auto"/>
            <w:vAlign w:val="center"/>
          </w:tcPr>
          <w:p w:rsidR="004B6DAA" w:rsidRPr="00D41731" w:rsidRDefault="004B6DAA" w:rsidP="00DC162E">
            <w:pPr>
              <w:spacing w:after="0" w:line="240" w:lineRule="auto"/>
              <w:jc w:val="center"/>
              <w:rPr>
                <w:rFonts w:ascii="Times New Roman" w:hAnsi="Times New Roman" w:cs="Times New Roman"/>
                <w:color w:val="000000" w:themeColor="text1"/>
                <w:sz w:val="16"/>
                <w:szCs w:val="16"/>
              </w:rPr>
            </w:pPr>
          </w:p>
        </w:tc>
        <w:tc>
          <w:tcPr>
            <w:tcW w:w="434" w:type="pct"/>
            <w:vAlign w:val="center"/>
          </w:tcPr>
          <w:p w:rsidR="004B6DAA" w:rsidRPr="00D41731" w:rsidRDefault="004B6DAA" w:rsidP="004B6DAA">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-6,6</w:t>
            </w:r>
          </w:p>
        </w:tc>
        <w:tc>
          <w:tcPr>
            <w:tcW w:w="407" w:type="pct"/>
            <w:vAlign w:val="center"/>
          </w:tcPr>
          <w:p w:rsidR="004B6DAA" w:rsidRPr="00D41731" w:rsidRDefault="004B6DAA" w:rsidP="00E73B23">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6,1</w:t>
            </w:r>
          </w:p>
        </w:tc>
        <w:tc>
          <w:tcPr>
            <w:tcW w:w="399" w:type="pct"/>
            <w:vAlign w:val="center"/>
          </w:tcPr>
          <w:p w:rsidR="004B6DAA" w:rsidRPr="00D41731" w:rsidRDefault="004B6DAA" w:rsidP="008C1E04">
            <w:pPr>
              <w:spacing w:after="0" w:line="240" w:lineRule="auto"/>
              <w:jc w:val="center"/>
              <w:rPr>
                <w:rFonts w:ascii="Times New Roman" w:hAnsi="Times New Roman" w:cs="Times New Roman"/>
                <w:color w:val="000000" w:themeColor="text1"/>
                <w:sz w:val="16"/>
                <w:szCs w:val="16"/>
              </w:rPr>
            </w:pPr>
          </w:p>
        </w:tc>
      </w:tr>
      <w:tr w:rsidR="00E223EF" w:rsidRPr="00D41731" w:rsidTr="00674852">
        <w:trPr>
          <w:trHeight w:val="315"/>
        </w:trPr>
        <w:tc>
          <w:tcPr>
            <w:tcW w:w="513" w:type="pct"/>
            <w:shd w:val="clear" w:color="auto" w:fill="auto"/>
            <w:vAlign w:val="center"/>
            <w:hideMark/>
          </w:tcPr>
          <w:p w:rsidR="00E223EF" w:rsidRPr="00D41731" w:rsidRDefault="00E223EF" w:rsidP="00DC162E">
            <w:pPr>
              <w:spacing w:after="0" w:line="240" w:lineRule="auto"/>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Справочно: ВВП</w:t>
            </w:r>
          </w:p>
        </w:tc>
        <w:tc>
          <w:tcPr>
            <w:tcW w:w="447" w:type="pct"/>
            <w:shd w:val="clear" w:color="auto" w:fill="auto"/>
            <w:vAlign w:val="center"/>
          </w:tcPr>
          <w:p w:rsidR="00E223EF" w:rsidRPr="00D41731" w:rsidRDefault="00E223EF"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73 515,0</w:t>
            </w:r>
          </w:p>
        </w:tc>
        <w:tc>
          <w:tcPr>
            <w:tcW w:w="364" w:type="pct"/>
            <w:shd w:val="clear" w:color="auto" w:fill="auto"/>
            <w:vAlign w:val="center"/>
          </w:tcPr>
          <w:p w:rsidR="00E223EF" w:rsidRPr="00D41731" w:rsidRDefault="00E223EF"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83 094,3</w:t>
            </w:r>
          </w:p>
        </w:tc>
        <w:tc>
          <w:tcPr>
            <w:tcW w:w="317" w:type="pct"/>
            <w:shd w:val="clear" w:color="auto" w:fill="auto"/>
            <w:vAlign w:val="center"/>
          </w:tcPr>
          <w:p w:rsidR="00E223EF" w:rsidRPr="00D41731" w:rsidRDefault="00E223EF" w:rsidP="00E223EF">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113,0</w:t>
            </w:r>
          </w:p>
        </w:tc>
        <w:tc>
          <w:tcPr>
            <w:tcW w:w="374" w:type="pct"/>
            <w:shd w:val="clear" w:color="auto" w:fill="auto"/>
            <w:vAlign w:val="center"/>
          </w:tcPr>
          <w:p w:rsidR="00E223EF" w:rsidRPr="00D41731" w:rsidRDefault="00E223EF"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82 815,0</w:t>
            </w:r>
          </w:p>
        </w:tc>
        <w:tc>
          <w:tcPr>
            <w:tcW w:w="368" w:type="pct"/>
            <w:shd w:val="clear" w:color="auto" w:fill="auto"/>
            <w:vAlign w:val="center"/>
          </w:tcPr>
          <w:p w:rsidR="00E223EF" w:rsidRPr="00D41731" w:rsidRDefault="00E223EF"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86 014,2</w:t>
            </w:r>
          </w:p>
        </w:tc>
        <w:tc>
          <w:tcPr>
            <w:tcW w:w="308" w:type="pct"/>
            <w:shd w:val="clear" w:color="auto" w:fill="auto"/>
            <w:vAlign w:val="center"/>
          </w:tcPr>
          <w:p w:rsidR="00E223EF" w:rsidRPr="00D41731" w:rsidRDefault="00E223EF" w:rsidP="00E223EF">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103,9</w:t>
            </w:r>
          </w:p>
        </w:tc>
        <w:tc>
          <w:tcPr>
            <w:tcW w:w="368" w:type="pct"/>
            <w:shd w:val="clear" w:color="auto" w:fill="auto"/>
            <w:vAlign w:val="center"/>
          </w:tcPr>
          <w:p w:rsidR="00E223EF" w:rsidRPr="00D41731" w:rsidRDefault="00E223EF"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92 224,0</w:t>
            </w:r>
          </w:p>
        </w:tc>
        <w:tc>
          <w:tcPr>
            <w:tcW w:w="368" w:type="pct"/>
            <w:shd w:val="clear" w:color="auto" w:fill="auto"/>
            <w:vAlign w:val="center"/>
          </w:tcPr>
          <w:p w:rsidR="00E223EF" w:rsidRPr="00D41731" w:rsidRDefault="00E223EF" w:rsidP="00DC162E">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92 101,3</w:t>
            </w:r>
          </w:p>
        </w:tc>
        <w:tc>
          <w:tcPr>
            <w:tcW w:w="334" w:type="pct"/>
            <w:shd w:val="clear" w:color="auto" w:fill="auto"/>
            <w:vAlign w:val="center"/>
          </w:tcPr>
          <w:p w:rsidR="00E223EF" w:rsidRPr="00D41731" w:rsidRDefault="00E223EF" w:rsidP="00E223EF">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99,9</w:t>
            </w:r>
          </w:p>
        </w:tc>
        <w:tc>
          <w:tcPr>
            <w:tcW w:w="434" w:type="pct"/>
            <w:vAlign w:val="center"/>
          </w:tcPr>
          <w:p w:rsidR="00E223EF" w:rsidRPr="00D41731" w:rsidRDefault="00E223EF" w:rsidP="008C1E04">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101 164,0</w:t>
            </w:r>
          </w:p>
        </w:tc>
        <w:tc>
          <w:tcPr>
            <w:tcW w:w="407" w:type="pct"/>
            <w:vAlign w:val="center"/>
          </w:tcPr>
          <w:p w:rsidR="00E223EF" w:rsidRPr="00D41731" w:rsidRDefault="00E223EF" w:rsidP="008C1E04">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103 875,8</w:t>
            </w:r>
          </w:p>
        </w:tc>
        <w:tc>
          <w:tcPr>
            <w:tcW w:w="399" w:type="pct"/>
            <w:vAlign w:val="center"/>
          </w:tcPr>
          <w:p w:rsidR="00E223EF" w:rsidRPr="00D41731" w:rsidRDefault="00E223EF" w:rsidP="008C1E04">
            <w:pPr>
              <w:spacing w:after="0" w:line="240" w:lineRule="auto"/>
              <w:jc w:val="center"/>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102,7</w:t>
            </w:r>
          </w:p>
        </w:tc>
      </w:tr>
    </w:tbl>
    <w:p w:rsidR="00691A30" w:rsidRDefault="00691A30" w:rsidP="00691A30">
      <w:pPr>
        <w:widowControl w:val="0"/>
        <w:spacing w:after="0" w:line="240" w:lineRule="auto"/>
        <w:jc w:val="both"/>
        <w:rPr>
          <w:rFonts w:ascii="Times New Roman" w:eastAsia="Times New Roman" w:hAnsi="Times New Roman" w:cs="Times New Roman"/>
          <w:bCs/>
          <w:color w:val="000000" w:themeColor="text1"/>
          <w:sz w:val="24"/>
          <w:szCs w:val="24"/>
          <w:lang w:eastAsia="ru-RU"/>
        </w:rPr>
      </w:pPr>
    </w:p>
    <w:p w:rsidR="00691A30" w:rsidRDefault="00691A30" w:rsidP="00691A30">
      <w:pPr>
        <w:widowControl w:val="0"/>
        <w:spacing w:after="0" w:line="240" w:lineRule="auto"/>
        <w:jc w:val="right"/>
        <w:rPr>
          <w:rFonts w:ascii="Times New Roman" w:eastAsia="Times New Roman" w:hAnsi="Times New Roman" w:cs="Times New Roman"/>
          <w:bCs/>
          <w:color w:val="000000" w:themeColor="text1"/>
          <w:sz w:val="24"/>
          <w:szCs w:val="24"/>
          <w:lang w:eastAsia="ru-RU"/>
        </w:rPr>
      </w:pPr>
      <w:r>
        <w:rPr>
          <w:rFonts w:ascii="Times New Roman" w:eastAsia="Times New Roman" w:hAnsi="Times New Roman" w:cs="Times New Roman"/>
          <w:bCs/>
          <w:color w:val="000000" w:themeColor="text1"/>
          <w:sz w:val="24"/>
          <w:szCs w:val="24"/>
          <w:lang w:eastAsia="ru-RU"/>
        </w:rPr>
        <w:t>Диаграмма № 1</w:t>
      </w:r>
    </w:p>
    <w:p w:rsidR="00691A30" w:rsidRPr="00691A30" w:rsidRDefault="00691A30" w:rsidP="00691A30">
      <w:pPr>
        <w:widowControl w:val="0"/>
        <w:spacing w:after="0" w:line="240" w:lineRule="auto"/>
        <w:jc w:val="right"/>
        <w:rPr>
          <w:rFonts w:ascii="Times New Roman" w:eastAsia="Times New Roman" w:hAnsi="Times New Roman" w:cs="Times New Roman"/>
          <w:bCs/>
          <w:color w:val="000000" w:themeColor="text1"/>
          <w:sz w:val="10"/>
          <w:szCs w:val="10"/>
          <w:lang w:eastAsia="ru-RU"/>
        </w:rPr>
      </w:pPr>
    </w:p>
    <w:p w:rsidR="004D0097" w:rsidRPr="00691A30" w:rsidRDefault="004D0097"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691A30">
        <w:rPr>
          <w:rFonts w:ascii="Times New Roman" w:eastAsia="Times New Roman" w:hAnsi="Times New Roman" w:cs="Times New Roman"/>
          <w:color w:val="000000" w:themeColor="text1"/>
          <w:sz w:val="24"/>
          <w:szCs w:val="24"/>
          <w:lang w:eastAsia="ru-RU"/>
        </w:rPr>
        <w:t>Динамика источников финансирования дефицита в 201</w:t>
      </w:r>
      <w:r w:rsidR="00345CFF" w:rsidRPr="00691A30">
        <w:rPr>
          <w:rFonts w:ascii="Times New Roman" w:eastAsia="Times New Roman" w:hAnsi="Times New Roman" w:cs="Times New Roman"/>
          <w:color w:val="000000" w:themeColor="text1"/>
          <w:sz w:val="24"/>
          <w:szCs w:val="24"/>
          <w:lang w:eastAsia="ru-RU"/>
        </w:rPr>
        <w:t>5</w:t>
      </w:r>
      <w:r w:rsidRPr="00691A30">
        <w:rPr>
          <w:rFonts w:ascii="Times New Roman" w:eastAsia="Times New Roman" w:hAnsi="Times New Roman" w:cs="Times New Roman"/>
          <w:color w:val="000000" w:themeColor="text1"/>
          <w:sz w:val="24"/>
          <w:szCs w:val="24"/>
          <w:lang w:eastAsia="ru-RU"/>
        </w:rPr>
        <w:t xml:space="preserve"> – 2018 годах </w:t>
      </w:r>
    </w:p>
    <w:p w:rsidR="003945D4" w:rsidRPr="00D6489D" w:rsidRDefault="003945D4" w:rsidP="009D10C6">
      <w:pPr>
        <w:pStyle w:val="a5"/>
        <w:widowControl w:val="0"/>
        <w:spacing w:after="0" w:line="240" w:lineRule="auto"/>
        <w:ind w:left="709"/>
        <w:jc w:val="both"/>
        <w:rPr>
          <w:rFonts w:ascii="Times New Roman" w:eastAsia="Times New Roman" w:hAnsi="Times New Roman" w:cs="Times New Roman"/>
          <w:color w:val="000000" w:themeColor="text1"/>
          <w:sz w:val="24"/>
          <w:szCs w:val="24"/>
          <w:lang w:eastAsia="ru-RU"/>
        </w:rPr>
      </w:pPr>
    </w:p>
    <w:p w:rsidR="004D0097" w:rsidRPr="00D41731" w:rsidRDefault="004D0097" w:rsidP="004D0097">
      <w:pPr>
        <w:widowControl w:val="0"/>
        <w:spacing w:line="328" w:lineRule="auto"/>
        <w:rPr>
          <w:color w:val="FF0000"/>
          <w:sz w:val="24"/>
          <w:szCs w:val="24"/>
        </w:rPr>
      </w:pPr>
      <w:r w:rsidRPr="00D41731">
        <w:rPr>
          <w:noProof/>
          <w:color w:val="FF0000"/>
          <w:lang w:eastAsia="ru-RU"/>
        </w:rPr>
        <w:drawing>
          <wp:inline distT="0" distB="0" distL="0" distR="0" wp14:anchorId="5CCA4EE8" wp14:editId="58420E7E">
            <wp:extent cx="6209665" cy="3943985"/>
            <wp:effectExtent l="0" t="0" r="63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D0097" w:rsidRDefault="004D0097" w:rsidP="0095768B">
      <w:pPr>
        <w:spacing w:after="120" w:line="240" w:lineRule="auto"/>
        <w:jc w:val="right"/>
        <w:rPr>
          <w:rFonts w:ascii="Times New Roman" w:eastAsia="Times New Roman" w:hAnsi="Times New Roman" w:cs="Times New Roman"/>
          <w:snapToGrid w:val="0"/>
          <w:sz w:val="24"/>
          <w:szCs w:val="24"/>
          <w:lang w:eastAsia="ru-RU"/>
        </w:rPr>
      </w:pPr>
    </w:p>
    <w:p w:rsidR="00D759F8" w:rsidRDefault="00D759F8" w:rsidP="0095768B">
      <w:pPr>
        <w:spacing w:after="120" w:line="240" w:lineRule="auto"/>
        <w:jc w:val="right"/>
        <w:rPr>
          <w:rFonts w:ascii="Times New Roman" w:eastAsia="Times New Roman" w:hAnsi="Times New Roman" w:cs="Times New Roman"/>
          <w:snapToGrid w:val="0"/>
          <w:sz w:val="24"/>
          <w:szCs w:val="24"/>
          <w:lang w:eastAsia="ru-RU"/>
        </w:rPr>
      </w:pPr>
    </w:p>
    <w:p w:rsidR="00D759F8" w:rsidRDefault="00D759F8" w:rsidP="0095768B">
      <w:pPr>
        <w:spacing w:after="120" w:line="240" w:lineRule="auto"/>
        <w:jc w:val="right"/>
        <w:rPr>
          <w:rFonts w:ascii="Times New Roman" w:eastAsia="Times New Roman" w:hAnsi="Times New Roman" w:cs="Times New Roman"/>
          <w:snapToGrid w:val="0"/>
          <w:sz w:val="24"/>
          <w:szCs w:val="24"/>
          <w:lang w:eastAsia="ru-RU"/>
        </w:rPr>
      </w:pPr>
    </w:p>
    <w:p w:rsidR="007A65A6" w:rsidRDefault="00691A30" w:rsidP="0095768B">
      <w:pPr>
        <w:spacing w:after="12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Таблица № 2</w:t>
      </w:r>
    </w:p>
    <w:p w:rsidR="00691A30" w:rsidRPr="00691A30" w:rsidRDefault="00691A30" w:rsidP="00691A30">
      <w:pPr>
        <w:widowControl w:val="0"/>
        <w:spacing w:after="0" w:line="240" w:lineRule="auto"/>
        <w:jc w:val="both"/>
        <w:rPr>
          <w:rFonts w:ascii="Times New Roman" w:eastAsia="Times New Roman" w:hAnsi="Times New Roman" w:cs="Times New Roman"/>
          <w:color w:val="000000" w:themeColor="text1"/>
          <w:sz w:val="10"/>
          <w:szCs w:val="10"/>
          <w:lang w:eastAsia="ru-RU"/>
        </w:rPr>
      </w:pPr>
    </w:p>
    <w:p w:rsidR="00A0532B" w:rsidRPr="00691A30" w:rsidRDefault="00A0532B"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691A30">
        <w:rPr>
          <w:rFonts w:ascii="Times New Roman" w:eastAsia="Times New Roman" w:hAnsi="Times New Roman" w:cs="Times New Roman"/>
          <w:color w:val="000000" w:themeColor="text1"/>
          <w:sz w:val="24"/>
          <w:szCs w:val="24"/>
          <w:lang w:eastAsia="ru-RU"/>
        </w:rPr>
        <w:t>Анализ исполнения Федерального закона № 362-ФЗ (с изменениями) по</w:t>
      </w:r>
      <w:r w:rsidR="00D6489D" w:rsidRPr="00691A30">
        <w:rPr>
          <w:rFonts w:ascii="Times New Roman" w:eastAsia="Times New Roman" w:hAnsi="Times New Roman" w:cs="Times New Roman"/>
          <w:color w:val="000000" w:themeColor="text1"/>
          <w:sz w:val="24"/>
          <w:szCs w:val="24"/>
          <w:lang w:eastAsia="ru-RU"/>
        </w:rPr>
        <w:t> </w:t>
      </w:r>
      <w:r w:rsidRPr="00691A30">
        <w:rPr>
          <w:rFonts w:ascii="Times New Roman" w:eastAsia="Times New Roman" w:hAnsi="Times New Roman" w:cs="Times New Roman"/>
          <w:color w:val="000000" w:themeColor="text1"/>
          <w:sz w:val="24"/>
          <w:szCs w:val="24"/>
          <w:lang w:eastAsia="ru-RU"/>
        </w:rPr>
        <w:t>основным источникам внутреннего финансирования дефицита за 2018 год</w:t>
      </w:r>
    </w:p>
    <w:p w:rsidR="00A0532B" w:rsidRPr="00D41731" w:rsidRDefault="00A0532B" w:rsidP="0095768B">
      <w:pPr>
        <w:widowControl w:val="0"/>
        <w:overflowPunct w:val="0"/>
        <w:autoSpaceDE w:val="0"/>
        <w:autoSpaceDN w:val="0"/>
        <w:adjustRightInd w:val="0"/>
        <w:spacing w:after="0" w:line="240" w:lineRule="auto"/>
        <w:ind w:firstLine="709"/>
        <w:jc w:val="center"/>
        <w:textAlignment w:val="baseline"/>
        <w:rPr>
          <w:rFonts w:ascii="Times New Roman" w:eastAsia="Times New Roman" w:hAnsi="Times New Roman" w:cs="Times New Roman"/>
          <w:snapToGrid w:val="0"/>
          <w:sz w:val="24"/>
          <w:szCs w:val="24"/>
          <w:lang w:eastAsia="ru-RU"/>
        </w:rPr>
      </w:pPr>
    </w:p>
    <w:p w:rsidR="00A0532B" w:rsidRPr="00D41731" w:rsidRDefault="00A0532B" w:rsidP="00A0532B">
      <w:pPr>
        <w:widowControl w:val="0"/>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snapToGrid w:val="0"/>
          <w:sz w:val="24"/>
          <w:szCs w:val="24"/>
          <w:lang w:eastAsia="ru-RU"/>
        </w:rPr>
      </w:pPr>
      <w:r w:rsidRPr="00D41731">
        <w:rPr>
          <w:rFonts w:ascii="Times New Roman" w:eastAsia="Times New Roman" w:hAnsi="Times New Roman" w:cs="Times New Roman"/>
          <w:sz w:val="20"/>
          <w:szCs w:val="20"/>
          <w:lang w:eastAsia="ru-RU"/>
        </w:rPr>
        <w:t>(млн. рублей)</w:t>
      </w:r>
    </w:p>
    <w:tbl>
      <w:tblPr>
        <w:tblW w:w="5000" w:type="pct"/>
        <w:tblLook w:val="04A0" w:firstRow="1" w:lastRow="0" w:firstColumn="1" w:lastColumn="0" w:noHBand="0" w:noVBand="1"/>
      </w:tblPr>
      <w:tblGrid>
        <w:gridCol w:w="4219"/>
        <w:gridCol w:w="1843"/>
        <w:gridCol w:w="1417"/>
        <w:gridCol w:w="1133"/>
        <w:gridCol w:w="1242"/>
      </w:tblGrid>
      <w:tr w:rsidR="00526D6A" w:rsidRPr="00D41731" w:rsidTr="00D759F8">
        <w:trPr>
          <w:trHeight w:val="1196"/>
          <w:tblHeader/>
        </w:trPr>
        <w:tc>
          <w:tcPr>
            <w:tcW w:w="2141" w:type="pct"/>
            <w:tcBorders>
              <w:top w:val="single" w:sz="4" w:space="0" w:color="auto"/>
              <w:left w:val="single" w:sz="4" w:space="0" w:color="auto"/>
              <w:bottom w:val="nil"/>
              <w:right w:val="single" w:sz="4" w:space="0" w:color="auto"/>
            </w:tcBorders>
            <w:shd w:val="clear" w:color="auto" w:fill="auto"/>
            <w:vAlign w:val="center"/>
            <w:hideMark/>
          </w:tcPr>
          <w:p w:rsidR="00526D6A" w:rsidRPr="00D41731" w:rsidRDefault="00526D6A"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Наименование источников внутреннего финансирования дефицита федерального бюджета</w:t>
            </w:r>
          </w:p>
        </w:tc>
        <w:tc>
          <w:tcPr>
            <w:tcW w:w="935" w:type="pct"/>
            <w:tcBorders>
              <w:top w:val="single" w:sz="4" w:space="0" w:color="auto"/>
              <w:left w:val="nil"/>
              <w:bottom w:val="single" w:sz="4" w:space="0" w:color="auto"/>
              <w:right w:val="single" w:sz="4" w:space="0" w:color="auto"/>
            </w:tcBorders>
            <w:shd w:val="clear" w:color="auto" w:fill="auto"/>
            <w:vAlign w:val="center"/>
            <w:hideMark/>
          </w:tcPr>
          <w:p w:rsidR="00526D6A" w:rsidRPr="00D41731" w:rsidRDefault="00526D6A" w:rsidP="00D759F8">
            <w:pPr>
              <w:widowControl w:val="0"/>
              <w:spacing w:after="0" w:line="240" w:lineRule="auto"/>
              <w:ind w:left="-57" w:right="-57" w:firstLine="108"/>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Показатели, установленные Федеральным законом от 5 декабря 2017 г. № 362-ФЗ (с изменениями) и показатели в расчетах к нему</w:t>
            </w:r>
          </w:p>
        </w:tc>
        <w:tc>
          <w:tcPr>
            <w:tcW w:w="719" w:type="pct"/>
            <w:tcBorders>
              <w:top w:val="single" w:sz="4" w:space="0" w:color="auto"/>
              <w:left w:val="nil"/>
              <w:bottom w:val="nil"/>
              <w:right w:val="single" w:sz="4" w:space="0" w:color="auto"/>
            </w:tcBorders>
            <w:shd w:val="clear" w:color="auto" w:fill="auto"/>
            <w:vAlign w:val="center"/>
            <w:hideMark/>
          </w:tcPr>
          <w:p w:rsidR="00526D6A" w:rsidRPr="00D41731" w:rsidRDefault="00526D6A"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Показатели, утвержденные сводной бюджетной росписью (с изменениями)</w:t>
            </w:r>
          </w:p>
        </w:tc>
        <w:tc>
          <w:tcPr>
            <w:tcW w:w="575" w:type="pct"/>
            <w:tcBorders>
              <w:top w:val="single" w:sz="4" w:space="0" w:color="auto"/>
              <w:left w:val="nil"/>
              <w:bottom w:val="nil"/>
              <w:right w:val="single" w:sz="4" w:space="0" w:color="auto"/>
            </w:tcBorders>
            <w:shd w:val="clear" w:color="auto" w:fill="auto"/>
            <w:vAlign w:val="center"/>
            <w:hideMark/>
          </w:tcPr>
          <w:p w:rsidR="00526D6A" w:rsidRPr="00D41731" w:rsidRDefault="00526D6A"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Исполнено</w:t>
            </w:r>
          </w:p>
        </w:tc>
        <w:tc>
          <w:tcPr>
            <w:tcW w:w="630" w:type="pct"/>
            <w:tcBorders>
              <w:top w:val="single" w:sz="4" w:space="0" w:color="auto"/>
              <w:left w:val="nil"/>
              <w:bottom w:val="single" w:sz="4" w:space="0" w:color="auto"/>
              <w:right w:val="single" w:sz="4" w:space="0" w:color="auto"/>
            </w:tcBorders>
            <w:shd w:val="clear" w:color="auto" w:fill="auto"/>
            <w:vAlign w:val="center"/>
            <w:hideMark/>
          </w:tcPr>
          <w:p w:rsidR="00526D6A" w:rsidRPr="00D41731" w:rsidRDefault="00526D6A"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Процент исполнения (гр.4/гр.2)</w:t>
            </w:r>
          </w:p>
        </w:tc>
      </w:tr>
      <w:tr w:rsidR="00A0532B" w:rsidRPr="00D41731" w:rsidTr="00D759F8">
        <w:trPr>
          <w:trHeight w:val="55"/>
          <w:tblHeader/>
        </w:trPr>
        <w:tc>
          <w:tcPr>
            <w:tcW w:w="214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w:t>
            </w:r>
          </w:p>
        </w:tc>
        <w:tc>
          <w:tcPr>
            <w:tcW w:w="935"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2</w:t>
            </w:r>
          </w:p>
        </w:tc>
        <w:tc>
          <w:tcPr>
            <w:tcW w:w="719" w:type="pct"/>
            <w:tcBorders>
              <w:top w:val="single" w:sz="4" w:space="0" w:color="auto"/>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3</w:t>
            </w:r>
          </w:p>
        </w:tc>
        <w:tc>
          <w:tcPr>
            <w:tcW w:w="575" w:type="pct"/>
            <w:tcBorders>
              <w:top w:val="single" w:sz="4" w:space="0" w:color="auto"/>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4</w:t>
            </w:r>
          </w:p>
        </w:tc>
        <w:tc>
          <w:tcPr>
            <w:tcW w:w="630"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5</w:t>
            </w:r>
          </w:p>
        </w:tc>
      </w:tr>
      <w:tr w:rsidR="00A0532B" w:rsidRPr="00D41731" w:rsidTr="00D759F8">
        <w:trPr>
          <w:trHeight w:val="268"/>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ИСТОЧНИКИ ВНУТРЕННЕГО ФИНАНСИРОВАНИЯ ДЕФИЦИТА ФЕДЕРАЛЬНОГО БЮДЖЕТА</w:t>
            </w:r>
          </w:p>
        </w:tc>
        <w:tc>
          <w:tcPr>
            <w:tcW w:w="93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-2 044 364,3</w:t>
            </w:r>
            <w:r w:rsidR="00C33005" w:rsidRPr="00D41731">
              <w:rPr>
                <w:rFonts w:ascii="Times New Roman" w:eastAsia="Times New Roman" w:hAnsi="Times New Roman" w:cs="Times New Roman"/>
                <w:b/>
                <w:bCs/>
                <w:sz w:val="16"/>
                <w:szCs w:val="16"/>
                <w:lang w:eastAsia="ru-RU"/>
              </w:rPr>
              <w:t>*</w:t>
            </w:r>
          </w:p>
        </w:tc>
        <w:tc>
          <w:tcPr>
            <w:tcW w:w="719"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-660 226,3</w:t>
            </w:r>
          </w:p>
        </w:tc>
        <w:tc>
          <w:tcPr>
            <w:tcW w:w="57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-2 606 188,9</w:t>
            </w:r>
          </w:p>
        </w:tc>
        <w:tc>
          <w:tcPr>
            <w:tcW w:w="630" w:type="pct"/>
            <w:tcBorders>
              <w:top w:val="nil"/>
              <w:left w:val="nil"/>
              <w:bottom w:val="single" w:sz="4" w:space="0" w:color="auto"/>
              <w:right w:val="single" w:sz="4" w:space="0" w:color="auto"/>
            </w:tcBorders>
            <w:shd w:val="clear" w:color="auto" w:fill="auto"/>
            <w:noWrap/>
            <w:vAlign w:val="center"/>
            <w:hideMark/>
          </w:tcPr>
          <w:p w:rsidR="00A0532B" w:rsidRPr="00D41731" w:rsidRDefault="001F4E58"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1,3 раза</w:t>
            </w:r>
          </w:p>
        </w:tc>
      </w:tr>
      <w:tr w:rsidR="00A0532B" w:rsidRPr="00D41731" w:rsidTr="00D759F8">
        <w:trPr>
          <w:trHeight w:val="120"/>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Государственные ценные бумаги Российской Федерации, номинальная стоимость которых указана в валюте Российской Федерации</w:t>
            </w:r>
          </w:p>
        </w:tc>
        <w:tc>
          <w:tcPr>
            <w:tcW w:w="93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661 770,8</w:t>
            </w:r>
            <w:r w:rsidR="00C33005" w:rsidRPr="00D41731">
              <w:rPr>
                <w:rFonts w:ascii="Times New Roman" w:eastAsia="Times New Roman" w:hAnsi="Times New Roman" w:cs="Times New Roman"/>
                <w:b/>
                <w:bCs/>
                <w:sz w:val="16"/>
                <w:szCs w:val="16"/>
                <w:lang w:eastAsia="ru-RU"/>
              </w:rPr>
              <w:t>*</w:t>
            </w:r>
          </w:p>
        </w:tc>
        <w:tc>
          <w:tcPr>
            <w:tcW w:w="719"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-531 090,8</w:t>
            </w:r>
          </w:p>
        </w:tc>
        <w:tc>
          <w:tcPr>
            <w:tcW w:w="57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507 535,9</w:t>
            </w:r>
          </w:p>
        </w:tc>
        <w:tc>
          <w:tcPr>
            <w:tcW w:w="630"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76,7</w:t>
            </w:r>
          </w:p>
        </w:tc>
      </w:tr>
      <w:tr w:rsidR="00A0532B" w:rsidRPr="00D41731" w:rsidTr="00D759F8">
        <w:trPr>
          <w:trHeight w:val="127"/>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A0532B" w:rsidRPr="00D41731" w:rsidRDefault="00A0532B" w:rsidP="00DC7715">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Размещение государственных ценных бумаг Российской Федерации, номинальная стоимость которых указана в валюте Российской Федерации</w:t>
            </w:r>
          </w:p>
        </w:tc>
        <w:tc>
          <w:tcPr>
            <w:tcW w:w="935"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1 192 861,6</w:t>
            </w:r>
          </w:p>
        </w:tc>
        <w:tc>
          <w:tcPr>
            <w:tcW w:w="719"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х</w:t>
            </w:r>
          </w:p>
        </w:tc>
        <w:tc>
          <w:tcPr>
            <w:tcW w:w="57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1 036 575,0</w:t>
            </w:r>
          </w:p>
        </w:tc>
        <w:tc>
          <w:tcPr>
            <w:tcW w:w="630"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86,9</w:t>
            </w:r>
          </w:p>
        </w:tc>
      </w:tr>
      <w:tr w:rsidR="00A0532B" w:rsidRPr="00D41731" w:rsidTr="00D759F8">
        <w:trPr>
          <w:trHeight w:val="13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A0532B" w:rsidRPr="00D41731" w:rsidRDefault="00A0532B" w:rsidP="00DC7715">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Погашение государственных ценных бумаг Российской Федерации, номинальная стоимость которых указана в валюте  Российской Федерации</w:t>
            </w:r>
          </w:p>
        </w:tc>
        <w:tc>
          <w:tcPr>
            <w:tcW w:w="935"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-531 090,8</w:t>
            </w:r>
            <w:r w:rsidR="00C33005" w:rsidRPr="00D41731">
              <w:rPr>
                <w:rFonts w:ascii="Times New Roman" w:eastAsia="Times New Roman" w:hAnsi="Times New Roman" w:cs="Times New Roman"/>
                <w:sz w:val="16"/>
                <w:szCs w:val="16"/>
                <w:lang w:eastAsia="ru-RU"/>
              </w:rPr>
              <w:t>*</w:t>
            </w:r>
          </w:p>
        </w:tc>
        <w:tc>
          <w:tcPr>
            <w:tcW w:w="719"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-531 090,8</w:t>
            </w:r>
          </w:p>
        </w:tc>
        <w:tc>
          <w:tcPr>
            <w:tcW w:w="57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-529 039,1</w:t>
            </w:r>
          </w:p>
        </w:tc>
        <w:tc>
          <w:tcPr>
            <w:tcW w:w="630"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99,6</w:t>
            </w:r>
          </w:p>
        </w:tc>
      </w:tr>
      <w:tr w:rsidR="00A0532B" w:rsidRPr="00D41731" w:rsidTr="00D759F8">
        <w:trPr>
          <w:trHeight w:val="143"/>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Средства от продажи акций и иных форм участия в капитале, находящихся в собственности Российской Федерации</w:t>
            </w:r>
          </w:p>
        </w:tc>
        <w:tc>
          <w:tcPr>
            <w:tcW w:w="93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15 783,8</w:t>
            </w:r>
          </w:p>
        </w:tc>
        <w:tc>
          <w:tcPr>
            <w:tcW w:w="719"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12 787,5</w:t>
            </w:r>
          </w:p>
        </w:tc>
        <w:tc>
          <w:tcPr>
            <w:tcW w:w="630"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81,0</w:t>
            </w:r>
          </w:p>
        </w:tc>
      </w:tr>
      <w:tr w:rsidR="00A0532B"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Государственные запасы драгоценных металлов и драгоценных камней</w:t>
            </w:r>
          </w:p>
        </w:tc>
        <w:tc>
          <w:tcPr>
            <w:tcW w:w="93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-1 000,0</w:t>
            </w:r>
          </w:p>
        </w:tc>
        <w:tc>
          <w:tcPr>
            <w:tcW w:w="719"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-8 500,0</w:t>
            </w:r>
          </w:p>
        </w:tc>
        <w:tc>
          <w:tcPr>
            <w:tcW w:w="57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-999,5</w:t>
            </w:r>
          </w:p>
        </w:tc>
        <w:tc>
          <w:tcPr>
            <w:tcW w:w="630"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100,0</w:t>
            </w:r>
          </w:p>
        </w:tc>
      </w:tr>
      <w:tr w:rsidR="00A0532B" w:rsidRPr="00D41731" w:rsidTr="00D759F8">
        <w:trPr>
          <w:trHeight w:val="58"/>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A0532B" w:rsidRPr="00D41731" w:rsidRDefault="00A0532B" w:rsidP="00DC7715">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Выплаты на приобретение государственных запасов драгоценных металлов и драгоценных камней</w:t>
            </w:r>
          </w:p>
        </w:tc>
        <w:tc>
          <w:tcPr>
            <w:tcW w:w="935"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-8 500,0</w:t>
            </w:r>
            <w:r w:rsidR="00C33005" w:rsidRPr="00D41731">
              <w:rPr>
                <w:rFonts w:ascii="Times New Roman" w:eastAsia="Times New Roman" w:hAnsi="Times New Roman" w:cs="Times New Roman"/>
                <w:sz w:val="16"/>
                <w:szCs w:val="16"/>
                <w:lang w:eastAsia="ru-RU"/>
              </w:rPr>
              <w:t>*</w:t>
            </w:r>
          </w:p>
        </w:tc>
        <w:tc>
          <w:tcPr>
            <w:tcW w:w="719"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-8 500,0</w:t>
            </w:r>
          </w:p>
        </w:tc>
        <w:tc>
          <w:tcPr>
            <w:tcW w:w="575"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-8 499,5</w:t>
            </w:r>
          </w:p>
        </w:tc>
        <w:tc>
          <w:tcPr>
            <w:tcW w:w="630"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100,0</w:t>
            </w:r>
          </w:p>
        </w:tc>
      </w:tr>
      <w:tr w:rsidR="00A0532B"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A0532B" w:rsidRPr="00D41731" w:rsidRDefault="00A0532B" w:rsidP="00DC7715">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Поступления от реализации государственных запасов драгоценных металлов и драгоценных камней</w:t>
            </w:r>
          </w:p>
        </w:tc>
        <w:tc>
          <w:tcPr>
            <w:tcW w:w="935"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7 500,0</w:t>
            </w:r>
            <w:r w:rsidR="00C33005" w:rsidRPr="00D41731">
              <w:rPr>
                <w:rFonts w:ascii="Times New Roman" w:eastAsia="Times New Roman" w:hAnsi="Times New Roman" w:cs="Times New Roman"/>
                <w:sz w:val="16"/>
                <w:szCs w:val="16"/>
                <w:lang w:eastAsia="ru-RU"/>
              </w:rPr>
              <w:t>*</w:t>
            </w:r>
          </w:p>
        </w:tc>
        <w:tc>
          <w:tcPr>
            <w:tcW w:w="719"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х</w:t>
            </w:r>
          </w:p>
        </w:tc>
        <w:tc>
          <w:tcPr>
            <w:tcW w:w="575"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7 500,0</w:t>
            </w:r>
          </w:p>
        </w:tc>
        <w:tc>
          <w:tcPr>
            <w:tcW w:w="630"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100,0</w:t>
            </w:r>
          </w:p>
        </w:tc>
      </w:tr>
      <w:tr w:rsidR="00A0532B"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Курсовая разница по средствам федерального бюджета, в том числе:</w:t>
            </w:r>
          </w:p>
        </w:tc>
        <w:tc>
          <w:tcPr>
            <w:tcW w:w="93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839 248,5</w:t>
            </w:r>
          </w:p>
        </w:tc>
        <w:tc>
          <w:tcPr>
            <w:tcW w:w="630"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A0532B" w:rsidRPr="00D41731" w:rsidTr="00D759F8">
        <w:trPr>
          <w:trHeight w:val="60"/>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A0532B" w:rsidRPr="00D41731" w:rsidRDefault="00A0532B" w:rsidP="00DC7715">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курсовая разница по средствам ФНБ</w:t>
            </w:r>
          </w:p>
        </w:tc>
        <w:tc>
          <w:tcPr>
            <w:tcW w:w="93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575"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405 278,5</w:t>
            </w:r>
          </w:p>
        </w:tc>
        <w:tc>
          <w:tcPr>
            <w:tcW w:w="630"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A0532B"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A0532B" w:rsidRPr="00D41731" w:rsidRDefault="00A0532B" w:rsidP="00DC7715">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курсовая разница по прочим средствам федерального бюджета</w:t>
            </w:r>
          </w:p>
        </w:tc>
        <w:tc>
          <w:tcPr>
            <w:tcW w:w="93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575"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433 969,9</w:t>
            </w:r>
          </w:p>
        </w:tc>
        <w:tc>
          <w:tcPr>
            <w:tcW w:w="630"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A0532B" w:rsidRPr="00D41731" w:rsidTr="00D759F8">
        <w:trPr>
          <w:trHeight w:val="81"/>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xml:space="preserve">Исполнение государственных гарантий Российской Федерации в валюте  Российской Федерации </w:t>
            </w:r>
          </w:p>
        </w:tc>
        <w:tc>
          <w:tcPr>
            <w:tcW w:w="93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-26 013,0</w:t>
            </w:r>
            <w:r w:rsidR="00C33005" w:rsidRPr="00D41731">
              <w:rPr>
                <w:rFonts w:ascii="Times New Roman" w:eastAsia="Times New Roman" w:hAnsi="Times New Roman" w:cs="Times New Roman"/>
                <w:b/>
                <w:bCs/>
                <w:sz w:val="16"/>
                <w:szCs w:val="16"/>
                <w:lang w:eastAsia="ru-RU"/>
              </w:rPr>
              <w:t>*</w:t>
            </w:r>
          </w:p>
        </w:tc>
        <w:tc>
          <w:tcPr>
            <w:tcW w:w="719"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-26 013,0</w:t>
            </w:r>
          </w:p>
        </w:tc>
        <w:tc>
          <w:tcPr>
            <w:tcW w:w="57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630"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p>
        </w:tc>
      </w:tr>
      <w:tr w:rsidR="00A0532B" w:rsidRPr="00D41731" w:rsidTr="00D759F8">
        <w:trPr>
          <w:trHeight w:val="454"/>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Бюджетные кредиты, предоставленные другим бюджетам бюджетной системы Российской Федерации из федерального бюджета в валюте Российской Федерации</w:t>
            </w:r>
          </w:p>
        </w:tc>
        <w:tc>
          <w:tcPr>
            <w:tcW w:w="93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71 685,4</w:t>
            </w:r>
          </w:p>
        </w:tc>
        <w:tc>
          <w:tcPr>
            <w:tcW w:w="719"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0,0</w:t>
            </w:r>
          </w:p>
        </w:tc>
        <w:tc>
          <w:tcPr>
            <w:tcW w:w="575"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69 883,1</w:t>
            </w:r>
          </w:p>
        </w:tc>
        <w:tc>
          <w:tcPr>
            <w:tcW w:w="630"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97,5</w:t>
            </w:r>
          </w:p>
        </w:tc>
      </w:tr>
      <w:tr w:rsidR="00A0532B"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A0532B" w:rsidRPr="00D41731" w:rsidRDefault="00A0532B" w:rsidP="00DC7715">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w:t>
            </w:r>
          </w:p>
        </w:tc>
        <w:tc>
          <w:tcPr>
            <w:tcW w:w="935"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71 685,4</w:t>
            </w:r>
          </w:p>
        </w:tc>
        <w:tc>
          <w:tcPr>
            <w:tcW w:w="719" w:type="pct"/>
            <w:tcBorders>
              <w:top w:val="nil"/>
              <w:left w:val="nil"/>
              <w:bottom w:val="single" w:sz="4" w:space="0" w:color="auto"/>
              <w:right w:val="single" w:sz="4" w:space="0" w:color="auto"/>
            </w:tcBorders>
            <w:shd w:val="clear" w:color="auto" w:fill="auto"/>
            <w:noWrap/>
            <w:vAlign w:val="center"/>
            <w:hideMark/>
          </w:tcPr>
          <w:p w:rsidR="00A0532B" w:rsidRPr="00D41731" w:rsidRDefault="00A0532B" w:rsidP="00A0532B">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х</w:t>
            </w:r>
          </w:p>
        </w:tc>
        <w:tc>
          <w:tcPr>
            <w:tcW w:w="575"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69 883,1</w:t>
            </w:r>
          </w:p>
        </w:tc>
        <w:tc>
          <w:tcPr>
            <w:tcW w:w="630" w:type="pct"/>
            <w:tcBorders>
              <w:top w:val="nil"/>
              <w:left w:val="nil"/>
              <w:bottom w:val="single" w:sz="4" w:space="0" w:color="auto"/>
              <w:right w:val="single" w:sz="4" w:space="0" w:color="auto"/>
            </w:tcBorders>
            <w:shd w:val="clear" w:color="auto" w:fill="auto"/>
            <w:vAlign w:val="center"/>
            <w:hideMark/>
          </w:tcPr>
          <w:p w:rsidR="00A0532B" w:rsidRPr="00D41731" w:rsidRDefault="00A0532B" w:rsidP="00A0532B">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97,5</w:t>
            </w:r>
          </w:p>
        </w:tc>
      </w:tr>
      <w:tr w:rsidR="00927BDE"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927BDE" w:rsidRPr="00D41731" w:rsidRDefault="00927BDE" w:rsidP="00A0532B">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Прочие источники внутреннего финансирования, в том числе:</w:t>
            </w:r>
          </w:p>
        </w:tc>
        <w:tc>
          <w:tcPr>
            <w:tcW w:w="935" w:type="pct"/>
            <w:tcBorders>
              <w:top w:val="nil"/>
              <w:left w:val="nil"/>
              <w:bottom w:val="single" w:sz="4" w:space="0" w:color="auto"/>
              <w:right w:val="single" w:sz="4" w:space="0" w:color="auto"/>
            </w:tcBorders>
            <w:shd w:val="clear" w:color="auto" w:fill="auto"/>
            <w:noWrap/>
            <w:vAlign w:val="center"/>
            <w:hideMark/>
          </w:tcPr>
          <w:p w:rsidR="00927BDE" w:rsidRPr="00D41731" w:rsidRDefault="00927BDE"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-5 500,0</w:t>
            </w:r>
          </w:p>
        </w:tc>
        <w:tc>
          <w:tcPr>
            <w:tcW w:w="719" w:type="pct"/>
            <w:tcBorders>
              <w:top w:val="nil"/>
              <w:left w:val="nil"/>
              <w:bottom w:val="single" w:sz="4" w:space="0" w:color="auto"/>
              <w:right w:val="single" w:sz="4" w:space="0" w:color="auto"/>
            </w:tcBorders>
            <w:shd w:val="clear" w:color="auto" w:fill="auto"/>
            <w:noWrap/>
            <w:vAlign w:val="center"/>
            <w:hideMark/>
          </w:tcPr>
          <w:p w:rsidR="00927BDE" w:rsidRPr="00D41731" w:rsidRDefault="00927BDE" w:rsidP="00B00131">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w:t>
            </w:r>
            <w:r w:rsidR="00B00131" w:rsidRPr="00D41731">
              <w:rPr>
                <w:rFonts w:ascii="Times New Roman" w:eastAsia="Times New Roman" w:hAnsi="Times New Roman" w:cs="Times New Roman"/>
                <w:b/>
                <w:bCs/>
                <w:sz w:val="16"/>
                <w:szCs w:val="16"/>
                <w:lang w:eastAsia="ru-RU"/>
              </w:rPr>
              <w:t>54</w:t>
            </w:r>
            <w:r w:rsidRPr="00D41731">
              <w:rPr>
                <w:rFonts w:ascii="Times New Roman" w:eastAsia="Times New Roman" w:hAnsi="Times New Roman" w:cs="Times New Roman"/>
                <w:b/>
                <w:bCs/>
                <w:sz w:val="16"/>
                <w:szCs w:val="16"/>
                <w:lang w:eastAsia="ru-RU"/>
              </w:rPr>
              <w:t xml:space="preserve"> 500,0</w:t>
            </w:r>
          </w:p>
        </w:tc>
        <w:tc>
          <w:tcPr>
            <w:tcW w:w="575" w:type="pct"/>
            <w:tcBorders>
              <w:top w:val="nil"/>
              <w:left w:val="nil"/>
              <w:bottom w:val="single" w:sz="4" w:space="0" w:color="auto"/>
              <w:right w:val="single" w:sz="4" w:space="0" w:color="auto"/>
            </w:tcBorders>
            <w:shd w:val="clear" w:color="auto" w:fill="auto"/>
            <w:noWrap/>
            <w:vAlign w:val="center"/>
            <w:hideMark/>
          </w:tcPr>
          <w:p w:rsidR="00927BDE" w:rsidRPr="00D41731" w:rsidRDefault="00927BDE"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-53 757,3</w:t>
            </w:r>
          </w:p>
        </w:tc>
        <w:tc>
          <w:tcPr>
            <w:tcW w:w="630" w:type="pct"/>
            <w:tcBorders>
              <w:top w:val="nil"/>
              <w:left w:val="nil"/>
              <w:bottom w:val="single" w:sz="4" w:space="0" w:color="auto"/>
              <w:right w:val="single" w:sz="4" w:space="0" w:color="auto"/>
            </w:tcBorders>
            <w:shd w:val="clear" w:color="auto" w:fill="auto"/>
            <w:vAlign w:val="center"/>
            <w:hideMark/>
          </w:tcPr>
          <w:p w:rsidR="00927BDE" w:rsidRPr="00D41731" w:rsidRDefault="001F4E58"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9,8 раз</w:t>
            </w:r>
          </w:p>
        </w:tc>
      </w:tr>
      <w:tr w:rsidR="00927BDE"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927BDE" w:rsidRPr="00D41731" w:rsidRDefault="00927BDE" w:rsidP="00DC7715">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компенсационные выплаты по сбережениям граждан</w:t>
            </w:r>
          </w:p>
        </w:tc>
        <w:tc>
          <w:tcPr>
            <w:tcW w:w="935" w:type="pct"/>
            <w:tcBorders>
              <w:top w:val="nil"/>
              <w:left w:val="nil"/>
              <w:bottom w:val="single" w:sz="4" w:space="0" w:color="auto"/>
              <w:right w:val="single" w:sz="4" w:space="0" w:color="auto"/>
            </w:tcBorders>
            <w:shd w:val="clear" w:color="auto" w:fill="auto"/>
            <w:vAlign w:val="center"/>
            <w:hideMark/>
          </w:tcPr>
          <w:p w:rsidR="00927BDE" w:rsidRPr="00D41731" w:rsidRDefault="00927BDE"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-5 500,0</w:t>
            </w:r>
            <w:r w:rsidR="00C33005" w:rsidRPr="00D41731">
              <w:rPr>
                <w:rFonts w:ascii="Times New Roman" w:eastAsia="Times New Roman" w:hAnsi="Times New Roman" w:cs="Times New Roman"/>
                <w:sz w:val="16"/>
                <w:szCs w:val="16"/>
                <w:lang w:eastAsia="ru-RU"/>
              </w:rPr>
              <w:t>*</w:t>
            </w:r>
          </w:p>
        </w:tc>
        <w:tc>
          <w:tcPr>
            <w:tcW w:w="719" w:type="pct"/>
            <w:tcBorders>
              <w:top w:val="nil"/>
              <w:left w:val="nil"/>
              <w:bottom w:val="single" w:sz="4" w:space="0" w:color="auto"/>
              <w:right w:val="single" w:sz="4" w:space="0" w:color="auto"/>
            </w:tcBorders>
            <w:shd w:val="clear" w:color="auto" w:fill="auto"/>
            <w:vAlign w:val="center"/>
            <w:hideMark/>
          </w:tcPr>
          <w:p w:rsidR="00927BDE" w:rsidRPr="00D41731" w:rsidRDefault="00927BDE"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-5 500,0</w:t>
            </w:r>
          </w:p>
        </w:tc>
        <w:tc>
          <w:tcPr>
            <w:tcW w:w="575" w:type="pct"/>
            <w:tcBorders>
              <w:top w:val="nil"/>
              <w:left w:val="nil"/>
              <w:bottom w:val="single" w:sz="4" w:space="0" w:color="auto"/>
              <w:right w:val="single" w:sz="4" w:space="0" w:color="auto"/>
            </w:tcBorders>
            <w:shd w:val="clear" w:color="auto" w:fill="auto"/>
            <w:noWrap/>
            <w:vAlign w:val="center"/>
            <w:hideMark/>
          </w:tcPr>
          <w:p w:rsidR="00927BDE" w:rsidRPr="00D41731" w:rsidRDefault="00927BDE"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-4 757,3</w:t>
            </w:r>
          </w:p>
        </w:tc>
        <w:tc>
          <w:tcPr>
            <w:tcW w:w="630" w:type="pct"/>
            <w:tcBorders>
              <w:top w:val="nil"/>
              <w:left w:val="nil"/>
              <w:bottom w:val="single" w:sz="4" w:space="0" w:color="auto"/>
              <w:right w:val="single" w:sz="4" w:space="0" w:color="auto"/>
            </w:tcBorders>
            <w:shd w:val="clear" w:color="auto" w:fill="auto"/>
            <w:vAlign w:val="center"/>
            <w:hideMark/>
          </w:tcPr>
          <w:p w:rsidR="00927BDE" w:rsidRPr="00D41731" w:rsidRDefault="00927BDE" w:rsidP="00A0532B">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86,5</w:t>
            </w:r>
          </w:p>
        </w:tc>
      </w:tr>
      <w:tr w:rsidR="00927BDE"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927BDE" w:rsidRPr="00D41731" w:rsidRDefault="00927BDE" w:rsidP="00DC7715">
            <w:pPr>
              <w:spacing w:after="0" w:line="240" w:lineRule="auto"/>
              <w:ind w:left="284"/>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Увеличение иных финансовых активов в федеральной собственности за счет средств ФНБ</w:t>
            </w:r>
          </w:p>
        </w:tc>
        <w:tc>
          <w:tcPr>
            <w:tcW w:w="935" w:type="pct"/>
            <w:tcBorders>
              <w:top w:val="nil"/>
              <w:left w:val="nil"/>
              <w:bottom w:val="single" w:sz="4" w:space="0" w:color="auto"/>
              <w:right w:val="single" w:sz="4" w:space="0" w:color="auto"/>
            </w:tcBorders>
            <w:shd w:val="clear" w:color="auto" w:fill="auto"/>
            <w:vAlign w:val="center"/>
          </w:tcPr>
          <w:p w:rsidR="00927BDE" w:rsidRPr="00D41731" w:rsidRDefault="00927BDE"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vAlign w:val="center"/>
          </w:tcPr>
          <w:p w:rsidR="00927BDE" w:rsidRPr="00D41731" w:rsidRDefault="00927BDE"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-49 000,0</w:t>
            </w:r>
          </w:p>
        </w:tc>
        <w:tc>
          <w:tcPr>
            <w:tcW w:w="575" w:type="pct"/>
            <w:tcBorders>
              <w:top w:val="nil"/>
              <w:left w:val="nil"/>
              <w:bottom w:val="single" w:sz="4" w:space="0" w:color="auto"/>
              <w:right w:val="single" w:sz="4" w:space="0" w:color="auto"/>
            </w:tcBorders>
            <w:shd w:val="clear" w:color="auto" w:fill="auto"/>
            <w:noWrap/>
            <w:vAlign w:val="center"/>
          </w:tcPr>
          <w:p w:rsidR="00927BDE" w:rsidRPr="00D41731" w:rsidRDefault="00927BDE"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-49 000,0</w:t>
            </w:r>
          </w:p>
        </w:tc>
        <w:tc>
          <w:tcPr>
            <w:tcW w:w="630" w:type="pct"/>
            <w:tcBorders>
              <w:top w:val="nil"/>
              <w:left w:val="nil"/>
              <w:bottom w:val="single" w:sz="4" w:space="0" w:color="auto"/>
              <w:right w:val="single" w:sz="4" w:space="0" w:color="auto"/>
            </w:tcBorders>
            <w:shd w:val="clear" w:color="auto" w:fill="auto"/>
            <w:vAlign w:val="center"/>
          </w:tcPr>
          <w:p w:rsidR="00927BDE" w:rsidRPr="00D41731" w:rsidRDefault="00927BDE" w:rsidP="00C4345F">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r>
      <w:tr w:rsidR="00927BDE"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927BDE" w:rsidRPr="00D41731" w:rsidRDefault="00927BDE" w:rsidP="00DC7715">
            <w:pPr>
              <w:spacing w:after="0" w:line="240" w:lineRule="auto"/>
              <w:ind w:left="567"/>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Увеличение иных финансовых активов в федеральной собственности (долговых обязательств) за счет средств Фонда национального благосостояния</w:t>
            </w:r>
          </w:p>
        </w:tc>
        <w:tc>
          <w:tcPr>
            <w:tcW w:w="935" w:type="pct"/>
            <w:tcBorders>
              <w:top w:val="nil"/>
              <w:left w:val="nil"/>
              <w:bottom w:val="single" w:sz="4" w:space="0" w:color="auto"/>
              <w:right w:val="single" w:sz="4" w:space="0" w:color="auto"/>
            </w:tcBorders>
            <w:shd w:val="clear" w:color="auto" w:fill="auto"/>
            <w:vAlign w:val="center"/>
          </w:tcPr>
          <w:p w:rsidR="00927BDE" w:rsidRPr="00D41731" w:rsidRDefault="00927BDE" w:rsidP="00C4345F">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c>
          <w:tcPr>
            <w:tcW w:w="719" w:type="pct"/>
            <w:tcBorders>
              <w:top w:val="nil"/>
              <w:left w:val="nil"/>
              <w:bottom w:val="single" w:sz="4" w:space="0" w:color="auto"/>
              <w:right w:val="single" w:sz="4" w:space="0" w:color="auto"/>
            </w:tcBorders>
            <w:shd w:val="clear" w:color="auto" w:fill="auto"/>
            <w:vAlign w:val="center"/>
          </w:tcPr>
          <w:p w:rsidR="00927BDE" w:rsidRPr="00D41731" w:rsidRDefault="00927BDE"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-29 000,0</w:t>
            </w:r>
          </w:p>
        </w:tc>
        <w:tc>
          <w:tcPr>
            <w:tcW w:w="575" w:type="pct"/>
            <w:tcBorders>
              <w:top w:val="nil"/>
              <w:left w:val="nil"/>
              <w:bottom w:val="single" w:sz="4" w:space="0" w:color="auto"/>
              <w:right w:val="single" w:sz="4" w:space="0" w:color="auto"/>
            </w:tcBorders>
            <w:shd w:val="clear" w:color="auto" w:fill="auto"/>
            <w:noWrap/>
            <w:vAlign w:val="center"/>
          </w:tcPr>
          <w:p w:rsidR="00927BDE" w:rsidRPr="00D41731" w:rsidRDefault="00927BDE"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-29 000,0</w:t>
            </w:r>
          </w:p>
        </w:tc>
        <w:tc>
          <w:tcPr>
            <w:tcW w:w="630" w:type="pct"/>
            <w:tcBorders>
              <w:top w:val="nil"/>
              <w:left w:val="nil"/>
              <w:bottom w:val="single" w:sz="4" w:space="0" w:color="auto"/>
              <w:right w:val="single" w:sz="4" w:space="0" w:color="auto"/>
            </w:tcBorders>
            <w:shd w:val="clear" w:color="auto" w:fill="auto"/>
            <w:vAlign w:val="center"/>
          </w:tcPr>
          <w:p w:rsidR="00927BDE" w:rsidRPr="00D41731" w:rsidRDefault="00927BDE" w:rsidP="00C4345F">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r>
      <w:tr w:rsidR="00927BDE"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927BDE" w:rsidRPr="00D41731" w:rsidRDefault="00927BDE" w:rsidP="00DC7715">
            <w:pPr>
              <w:spacing w:after="0" w:line="240" w:lineRule="auto"/>
              <w:ind w:left="567"/>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Увеличение иных финансовых активов в федеральной собственности (акций) за счет средств Фонда национального благосостояния</w:t>
            </w:r>
          </w:p>
        </w:tc>
        <w:tc>
          <w:tcPr>
            <w:tcW w:w="935" w:type="pct"/>
            <w:tcBorders>
              <w:top w:val="nil"/>
              <w:left w:val="nil"/>
              <w:bottom w:val="single" w:sz="4" w:space="0" w:color="auto"/>
              <w:right w:val="single" w:sz="4" w:space="0" w:color="auto"/>
            </w:tcBorders>
            <w:shd w:val="clear" w:color="auto" w:fill="auto"/>
            <w:vAlign w:val="center"/>
          </w:tcPr>
          <w:p w:rsidR="00927BDE" w:rsidRPr="00D41731" w:rsidRDefault="00927BDE" w:rsidP="00C4345F">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c>
          <w:tcPr>
            <w:tcW w:w="719" w:type="pct"/>
            <w:tcBorders>
              <w:top w:val="nil"/>
              <w:left w:val="nil"/>
              <w:bottom w:val="single" w:sz="4" w:space="0" w:color="auto"/>
              <w:right w:val="single" w:sz="4" w:space="0" w:color="auto"/>
            </w:tcBorders>
            <w:shd w:val="clear" w:color="auto" w:fill="auto"/>
            <w:vAlign w:val="center"/>
          </w:tcPr>
          <w:p w:rsidR="00927BDE" w:rsidRPr="00D41731" w:rsidRDefault="00927BDE"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-20 000,0</w:t>
            </w:r>
          </w:p>
        </w:tc>
        <w:tc>
          <w:tcPr>
            <w:tcW w:w="575" w:type="pct"/>
            <w:tcBorders>
              <w:top w:val="nil"/>
              <w:left w:val="nil"/>
              <w:bottom w:val="single" w:sz="4" w:space="0" w:color="auto"/>
              <w:right w:val="single" w:sz="4" w:space="0" w:color="auto"/>
            </w:tcBorders>
            <w:shd w:val="clear" w:color="auto" w:fill="auto"/>
            <w:noWrap/>
            <w:vAlign w:val="center"/>
          </w:tcPr>
          <w:p w:rsidR="00927BDE" w:rsidRPr="00D41731" w:rsidRDefault="00927BDE"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-20 000,0</w:t>
            </w:r>
          </w:p>
        </w:tc>
        <w:tc>
          <w:tcPr>
            <w:tcW w:w="630" w:type="pct"/>
            <w:tcBorders>
              <w:top w:val="nil"/>
              <w:left w:val="nil"/>
              <w:bottom w:val="single" w:sz="4" w:space="0" w:color="auto"/>
              <w:right w:val="single" w:sz="4" w:space="0" w:color="auto"/>
            </w:tcBorders>
            <w:shd w:val="clear" w:color="auto" w:fill="auto"/>
            <w:vAlign w:val="center"/>
          </w:tcPr>
          <w:p w:rsidR="00927BDE" w:rsidRPr="00D41731" w:rsidRDefault="00927BDE" w:rsidP="00C4345F">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Бюджетные кредиты, предоставленные федеральным бюджетом внутри страны за счет средств целевых иностранных  кредитов (заимствований)</w:t>
            </w:r>
          </w:p>
        </w:tc>
        <w:tc>
          <w:tcPr>
            <w:tcW w:w="935"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-1 021,9</w:t>
            </w:r>
          </w:p>
        </w:tc>
        <w:tc>
          <w:tcPr>
            <w:tcW w:w="719"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-1 862,6</w:t>
            </w: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843,0</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-82,5</w:t>
            </w: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AD3564" w:rsidRPr="00D41731" w:rsidRDefault="00AD3564" w:rsidP="00DC7715">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Предоставление бюджетных кредитов федеральным бюджетом внутри страны за счет средств целевых иностранных кредитов (заимствований)</w:t>
            </w:r>
          </w:p>
        </w:tc>
        <w:tc>
          <w:tcPr>
            <w:tcW w:w="935"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-1 862,6</w:t>
            </w:r>
            <w:r w:rsidR="00C33005" w:rsidRPr="00D41731">
              <w:rPr>
                <w:rFonts w:ascii="Times New Roman" w:eastAsia="Times New Roman" w:hAnsi="Times New Roman" w:cs="Times New Roman"/>
                <w:sz w:val="16"/>
                <w:szCs w:val="16"/>
                <w:lang w:eastAsia="ru-RU"/>
              </w:rPr>
              <w:t>*</w:t>
            </w:r>
          </w:p>
        </w:tc>
        <w:tc>
          <w:tcPr>
            <w:tcW w:w="719"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-1 862,6</w:t>
            </w: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0,0</w:t>
            </w: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AD3564" w:rsidRPr="00D41731" w:rsidRDefault="00AD3564" w:rsidP="00DC7715">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Возврат бюджетных кредитов, предоставленных федеральным бюджетом внутри страны за счет средств целевых иностранных кредитов (заимствований)</w:t>
            </w:r>
          </w:p>
        </w:tc>
        <w:tc>
          <w:tcPr>
            <w:tcW w:w="935"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840,6</w:t>
            </w:r>
          </w:p>
        </w:tc>
        <w:tc>
          <w:tcPr>
            <w:tcW w:w="719"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х</w:t>
            </w: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843,0</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100,3</w:t>
            </w: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Прочие бюджетные кредиты (ссуды), предоставленные федеральным бюджетом внутри страны, из них:</w:t>
            </w:r>
          </w:p>
        </w:tc>
        <w:tc>
          <w:tcPr>
            <w:tcW w:w="935"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1 872,7</w:t>
            </w:r>
          </w:p>
        </w:tc>
        <w:tc>
          <w:tcPr>
            <w:tcW w:w="719"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0,0</w:t>
            </w: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2 359,6</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1F4E58"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1,3 раза</w:t>
            </w: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AD3564" w:rsidRPr="00D41731" w:rsidRDefault="00AD3564" w:rsidP="00DC7715">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Возврат прочих бюджетных кредитов (ссуд), предоставленных федеральным бюджетом внутри страны</w:t>
            </w:r>
          </w:p>
        </w:tc>
        <w:tc>
          <w:tcPr>
            <w:tcW w:w="935"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1 872,7</w:t>
            </w:r>
          </w:p>
        </w:tc>
        <w:tc>
          <w:tcPr>
            <w:tcW w:w="719"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х</w:t>
            </w: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2 359,6</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1F4E58" w:rsidP="00C4345F">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1,3 раза</w:t>
            </w: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AD3564" w:rsidRPr="00D41731" w:rsidRDefault="00AD3564" w:rsidP="004214AF">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xml:space="preserve">Увеличение финансовых активов в государственной </w:t>
            </w:r>
            <w:r w:rsidRPr="00D41731">
              <w:rPr>
                <w:rFonts w:ascii="Times New Roman" w:eastAsia="Times New Roman" w:hAnsi="Times New Roman" w:cs="Times New Roman"/>
                <w:b/>
                <w:bCs/>
                <w:sz w:val="16"/>
                <w:szCs w:val="16"/>
                <w:lang w:eastAsia="ru-RU"/>
              </w:rPr>
              <w:lastRenderedPageBreak/>
              <w:t>(муниципальной) собственности за счет средств организаций,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w:t>
            </w:r>
          </w:p>
        </w:tc>
        <w:tc>
          <w:tcPr>
            <w:tcW w:w="935" w:type="pct"/>
            <w:tcBorders>
              <w:top w:val="nil"/>
              <w:left w:val="nil"/>
              <w:bottom w:val="single" w:sz="4" w:space="0" w:color="auto"/>
              <w:right w:val="single" w:sz="4" w:space="0" w:color="auto"/>
            </w:tcBorders>
            <w:shd w:val="clear" w:color="auto" w:fill="auto"/>
            <w:vAlign w:val="center"/>
          </w:tcPr>
          <w:p w:rsidR="00AD3564" w:rsidRPr="00D41731" w:rsidRDefault="00AD3564" w:rsidP="004214AF">
            <w:pPr>
              <w:spacing w:after="0" w:line="240" w:lineRule="auto"/>
              <w:jc w:val="both"/>
              <w:rPr>
                <w:rFonts w:ascii="Times New Roman" w:eastAsia="Times New Roman" w:hAnsi="Times New Roman" w:cs="Times New Roman"/>
                <w:b/>
                <w:bCs/>
                <w:sz w:val="16"/>
                <w:szCs w:val="16"/>
                <w:lang w:eastAsia="ru-RU"/>
              </w:rPr>
            </w:pPr>
          </w:p>
        </w:tc>
        <w:tc>
          <w:tcPr>
            <w:tcW w:w="719" w:type="pct"/>
            <w:tcBorders>
              <w:top w:val="nil"/>
              <w:left w:val="nil"/>
              <w:bottom w:val="single" w:sz="4" w:space="0" w:color="auto"/>
              <w:right w:val="single" w:sz="4" w:space="0" w:color="auto"/>
            </w:tcBorders>
            <w:shd w:val="clear" w:color="auto" w:fill="auto"/>
            <w:vAlign w:val="center"/>
          </w:tcPr>
          <w:p w:rsidR="00AD3564" w:rsidRPr="00D41731" w:rsidRDefault="00AD3564" w:rsidP="004214AF">
            <w:pPr>
              <w:spacing w:after="0" w:line="240" w:lineRule="auto"/>
              <w:jc w:val="both"/>
              <w:rPr>
                <w:rFonts w:ascii="Times New Roman" w:eastAsia="Times New Roman" w:hAnsi="Times New Roman" w:cs="Times New Roman"/>
                <w:b/>
                <w:bCs/>
                <w:sz w:val="16"/>
                <w:szCs w:val="16"/>
                <w:lang w:eastAsia="ru-RU"/>
              </w:rPr>
            </w:pP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167 989,8</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AD3564" w:rsidP="004214AF">
            <w:pPr>
              <w:spacing w:after="0" w:line="240" w:lineRule="auto"/>
              <w:jc w:val="both"/>
              <w:rPr>
                <w:rFonts w:ascii="Times New Roman" w:eastAsia="Times New Roman" w:hAnsi="Times New Roman" w:cs="Times New Roman"/>
                <w:b/>
                <w:bCs/>
                <w:sz w:val="16"/>
                <w:szCs w:val="16"/>
                <w:lang w:eastAsia="ru-RU"/>
              </w:rPr>
            </w:pP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AD3564" w:rsidRPr="00D41731" w:rsidRDefault="00AD3564" w:rsidP="005364D8">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lastRenderedPageBreak/>
              <w:t>во временном распоряжении федеральных казенных учреждений</w:t>
            </w:r>
          </w:p>
        </w:tc>
        <w:tc>
          <w:tcPr>
            <w:tcW w:w="935" w:type="pct"/>
            <w:tcBorders>
              <w:top w:val="nil"/>
              <w:left w:val="nil"/>
              <w:bottom w:val="single" w:sz="4" w:space="0" w:color="auto"/>
              <w:right w:val="single" w:sz="4" w:space="0" w:color="auto"/>
            </w:tcBorders>
            <w:shd w:val="clear" w:color="auto" w:fill="auto"/>
            <w:vAlign w:val="center"/>
          </w:tcPr>
          <w:p w:rsidR="00AD3564" w:rsidRPr="00D41731" w:rsidRDefault="00AD3564" w:rsidP="004214AF">
            <w:pPr>
              <w:spacing w:after="0" w:line="240" w:lineRule="auto"/>
              <w:jc w:val="both"/>
              <w:rPr>
                <w:rFonts w:ascii="Times New Roman" w:eastAsia="Times New Roman" w:hAnsi="Times New Roman" w:cs="Times New Roman"/>
                <w:sz w:val="16"/>
                <w:szCs w:val="16"/>
                <w:lang w:eastAsia="ru-RU"/>
              </w:rPr>
            </w:pPr>
          </w:p>
        </w:tc>
        <w:tc>
          <w:tcPr>
            <w:tcW w:w="719" w:type="pct"/>
            <w:tcBorders>
              <w:top w:val="nil"/>
              <w:left w:val="nil"/>
              <w:bottom w:val="single" w:sz="4" w:space="0" w:color="auto"/>
              <w:right w:val="single" w:sz="4" w:space="0" w:color="auto"/>
            </w:tcBorders>
            <w:shd w:val="clear" w:color="auto" w:fill="auto"/>
            <w:vAlign w:val="center"/>
          </w:tcPr>
          <w:p w:rsidR="00AD3564" w:rsidRPr="00D41731" w:rsidRDefault="00AD3564" w:rsidP="004214AF">
            <w:pPr>
              <w:spacing w:after="0" w:line="240" w:lineRule="auto"/>
              <w:jc w:val="both"/>
              <w:rPr>
                <w:rFonts w:ascii="Times New Roman" w:eastAsia="Times New Roman" w:hAnsi="Times New Roman" w:cs="Times New Roman"/>
                <w:sz w:val="16"/>
                <w:szCs w:val="16"/>
                <w:lang w:eastAsia="ru-RU"/>
              </w:rPr>
            </w:pP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1 900,2</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AD3564" w:rsidP="004214AF">
            <w:pPr>
              <w:spacing w:after="0" w:line="240" w:lineRule="auto"/>
              <w:jc w:val="both"/>
              <w:rPr>
                <w:rFonts w:ascii="Times New Roman" w:eastAsia="Times New Roman" w:hAnsi="Times New Roman" w:cs="Times New Roman"/>
                <w:sz w:val="16"/>
                <w:szCs w:val="16"/>
                <w:lang w:eastAsia="ru-RU"/>
              </w:rPr>
            </w:pP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AD3564" w:rsidRPr="00D41731" w:rsidRDefault="00AD3564" w:rsidP="005364D8">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иных организаций</w:t>
            </w:r>
          </w:p>
        </w:tc>
        <w:tc>
          <w:tcPr>
            <w:tcW w:w="935" w:type="pct"/>
            <w:tcBorders>
              <w:top w:val="nil"/>
              <w:left w:val="nil"/>
              <w:bottom w:val="single" w:sz="4" w:space="0" w:color="auto"/>
              <w:right w:val="single" w:sz="4" w:space="0" w:color="auto"/>
            </w:tcBorders>
            <w:shd w:val="clear" w:color="auto" w:fill="auto"/>
            <w:vAlign w:val="center"/>
          </w:tcPr>
          <w:p w:rsidR="00AD3564" w:rsidRPr="00D41731" w:rsidRDefault="00AD3564" w:rsidP="004214AF">
            <w:pPr>
              <w:spacing w:after="0" w:line="240" w:lineRule="auto"/>
              <w:jc w:val="both"/>
              <w:rPr>
                <w:rFonts w:ascii="Times New Roman" w:eastAsia="Times New Roman" w:hAnsi="Times New Roman" w:cs="Times New Roman"/>
                <w:sz w:val="16"/>
                <w:szCs w:val="16"/>
                <w:lang w:eastAsia="ru-RU"/>
              </w:rPr>
            </w:pPr>
          </w:p>
        </w:tc>
        <w:tc>
          <w:tcPr>
            <w:tcW w:w="719" w:type="pct"/>
            <w:tcBorders>
              <w:top w:val="nil"/>
              <w:left w:val="nil"/>
              <w:bottom w:val="single" w:sz="4" w:space="0" w:color="auto"/>
              <w:right w:val="single" w:sz="4" w:space="0" w:color="auto"/>
            </w:tcBorders>
            <w:shd w:val="clear" w:color="auto" w:fill="auto"/>
            <w:vAlign w:val="center"/>
          </w:tcPr>
          <w:p w:rsidR="00AD3564" w:rsidRPr="00D41731" w:rsidRDefault="00AD3564" w:rsidP="004214AF">
            <w:pPr>
              <w:spacing w:after="0" w:line="240" w:lineRule="auto"/>
              <w:jc w:val="both"/>
              <w:rPr>
                <w:rFonts w:ascii="Times New Roman" w:eastAsia="Times New Roman" w:hAnsi="Times New Roman" w:cs="Times New Roman"/>
                <w:sz w:val="16"/>
                <w:szCs w:val="16"/>
                <w:lang w:eastAsia="ru-RU"/>
              </w:rPr>
            </w:pP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233 320,5</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AD3564" w:rsidP="004214AF">
            <w:pPr>
              <w:spacing w:after="0" w:line="240" w:lineRule="auto"/>
              <w:jc w:val="both"/>
              <w:rPr>
                <w:rFonts w:ascii="Times New Roman" w:eastAsia="Times New Roman" w:hAnsi="Times New Roman" w:cs="Times New Roman"/>
                <w:sz w:val="16"/>
                <w:szCs w:val="16"/>
                <w:lang w:eastAsia="ru-RU"/>
              </w:rPr>
            </w:pP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AD3564" w:rsidRPr="00D41731" w:rsidRDefault="00AD3564" w:rsidP="005364D8">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государственных внебюджетных фондов</w:t>
            </w:r>
          </w:p>
        </w:tc>
        <w:tc>
          <w:tcPr>
            <w:tcW w:w="935" w:type="pct"/>
            <w:tcBorders>
              <w:top w:val="nil"/>
              <w:left w:val="nil"/>
              <w:bottom w:val="single" w:sz="4" w:space="0" w:color="auto"/>
              <w:right w:val="single" w:sz="4" w:space="0" w:color="auto"/>
            </w:tcBorders>
            <w:shd w:val="clear" w:color="auto" w:fill="auto"/>
            <w:vAlign w:val="center"/>
          </w:tcPr>
          <w:p w:rsidR="00AD3564" w:rsidRPr="00D41731" w:rsidRDefault="00AD3564" w:rsidP="004214AF">
            <w:pPr>
              <w:spacing w:after="0" w:line="240" w:lineRule="auto"/>
              <w:jc w:val="both"/>
              <w:rPr>
                <w:rFonts w:ascii="Times New Roman" w:eastAsia="Times New Roman" w:hAnsi="Times New Roman" w:cs="Times New Roman"/>
                <w:sz w:val="16"/>
                <w:szCs w:val="16"/>
                <w:lang w:eastAsia="ru-RU"/>
              </w:rPr>
            </w:pPr>
          </w:p>
        </w:tc>
        <w:tc>
          <w:tcPr>
            <w:tcW w:w="719" w:type="pct"/>
            <w:tcBorders>
              <w:top w:val="nil"/>
              <w:left w:val="nil"/>
              <w:bottom w:val="single" w:sz="4" w:space="0" w:color="auto"/>
              <w:right w:val="single" w:sz="4" w:space="0" w:color="auto"/>
            </w:tcBorders>
            <w:shd w:val="clear" w:color="auto" w:fill="auto"/>
            <w:vAlign w:val="center"/>
          </w:tcPr>
          <w:p w:rsidR="00AD3564" w:rsidRPr="00D41731" w:rsidRDefault="00AD3564" w:rsidP="004214AF">
            <w:pPr>
              <w:spacing w:after="0" w:line="240" w:lineRule="auto"/>
              <w:jc w:val="both"/>
              <w:rPr>
                <w:rFonts w:ascii="Times New Roman" w:eastAsia="Times New Roman" w:hAnsi="Times New Roman" w:cs="Times New Roman"/>
                <w:sz w:val="16"/>
                <w:szCs w:val="16"/>
                <w:lang w:eastAsia="ru-RU"/>
              </w:rPr>
            </w:pP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-67 231,0</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AD3564" w:rsidP="004214AF">
            <w:pPr>
              <w:spacing w:after="0" w:line="240" w:lineRule="auto"/>
              <w:jc w:val="both"/>
              <w:rPr>
                <w:rFonts w:ascii="Times New Roman" w:eastAsia="Times New Roman" w:hAnsi="Times New Roman" w:cs="Times New Roman"/>
                <w:sz w:val="16"/>
                <w:szCs w:val="16"/>
                <w:lang w:eastAsia="ru-RU"/>
              </w:rPr>
            </w:pP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AD3564" w:rsidRPr="00D41731" w:rsidRDefault="00AD3564" w:rsidP="005E51E8">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Бюджетные кредиты на пополнение остатков средств на счетах бюджетов субъектов Российской Федерации (местных бюджетов)</w:t>
            </w:r>
          </w:p>
        </w:tc>
        <w:tc>
          <w:tcPr>
            <w:tcW w:w="935"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0,0</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AD3564" w:rsidRPr="00D41731" w:rsidRDefault="00AD3564" w:rsidP="005364D8">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Предоставление за счет средств федерального бюджета бюджетных кредитов на пополнение остатков средств на счетах бюджетов субъектов Российской Федерации (местных бюджетов)</w:t>
            </w:r>
          </w:p>
        </w:tc>
        <w:tc>
          <w:tcPr>
            <w:tcW w:w="935"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-559 201,7</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AD3564" w:rsidRPr="00D41731" w:rsidRDefault="00AD3564" w:rsidP="005364D8">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Возврат бюджетных кредитов на пополнение остатков средств на счетах бюджетов субъектов Российской Федерации (местных бюджетов), предоставленных за счет средств федерального бюджета</w:t>
            </w:r>
          </w:p>
        </w:tc>
        <w:tc>
          <w:tcPr>
            <w:tcW w:w="935"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559 201,7</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AD3564" w:rsidRPr="00D41731" w:rsidRDefault="00AD3564" w:rsidP="005E51E8">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xml:space="preserve">Покупка (продажа) ценных бумаг по договорам </w:t>
            </w:r>
            <w:proofErr w:type="spellStart"/>
            <w:r w:rsidRPr="00D41731">
              <w:rPr>
                <w:rFonts w:ascii="Times New Roman" w:eastAsia="Times New Roman" w:hAnsi="Times New Roman" w:cs="Times New Roman"/>
                <w:b/>
                <w:bCs/>
                <w:sz w:val="16"/>
                <w:szCs w:val="16"/>
                <w:lang w:eastAsia="ru-RU"/>
              </w:rPr>
              <w:t>репо</w:t>
            </w:r>
            <w:proofErr w:type="spellEnd"/>
          </w:p>
        </w:tc>
        <w:tc>
          <w:tcPr>
            <w:tcW w:w="935"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-149 915,0</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bottom"/>
          </w:tcPr>
          <w:p w:rsidR="00AD3564" w:rsidRPr="00D41731" w:rsidRDefault="00AD3564" w:rsidP="005364D8">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xml:space="preserve">Увеличение финансовых активов в федеральной собственности за счет приобретения ценных бумаг (кроме акций) по договорам </w:t>
            </w:r>
            <w:proofErr w:type="spellStart"/>
            <w:r w:rsidRPr="00D41731">
              <w:rPr>
                <w:rFonts w:ascii="Times New Roman" w:eastAsia="Times New Roman" w:hAnsi="Times New Roman" w:cs="Times New Roman"/>
                <w:sz w:val="16"/>
                <w:szCs w:val="16"/>
                <w:lang w:eastAsia="ru-RU"/>
              </w:rPr>
              <w:t>репо</w:t>
            </w:r>
            <w:proofErr w:type="spellEnd"/>
          </w:p>
        </w:tc>
        <w:tc>
          <w:tcPr>
            <w:tcW w:w="935" w:type="pct"/>
            <w:tcBorders>
              <w:top w:val="nil"/>
              <w:left w:val="nil"/>
              <w:bottom w:val="single" w:sz="4" w:space="0" w:color="auto"/>
              <w:right w:val="single" w:sz="4" w:space="0" w:color="auto"/>
            </w:tcBorders>
            <w:shd w:val="clear" w:color="auto" w:fill="auto"/>
            <w:vAlign w:val="bottom"/>
          </w:tcPr>
          <w:p w:rsidR="00AD3564" w:rsidRPr="00D41731" w:rsidRDefault="00AD3564" w:rsidP="00C4345F">
            <w:pPr>
              <w:spacing w:after="0" w:line="240" w:lineRule="auto"/>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c>
          <w:tcPr>
            <w:tcW w:w="719" w:type="pct"/>
            <w:tcBorders>
              <w:top w:val="nil"/>
              <w:left w:val="nil"/>
              <w:bottom w:val="single" w:sz="4" w:space="0" w:color="auto"/>
              <w:right w:val="single" w:sz="4" w:space="0" w:color="auto"/>
            </w:tcBorders>
            <w:shd w:val="clear" w:color="auto" w:fill="auto"/>
            <w:vAlign w:val="bottom"/>
          </w:tcPr>
          <w:p w:rsidR="00AD3564" w:rsidRPr="00D41731" w:rsidRDefault="00AD3564" w:rsidP="00C4345F">
            <w:pPr>
              <w:spacing w:after="0" w:line="240" w:lineRule="auto"/>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-17 306 890,0</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bottom"/>
          </w:tcPr>
          <w:p w:rsidR="00AD3564" w:rsidRPr="00D41731" w:rsidRDefault="00AD3564" w:rsidP="005364D8">
            <w:pPr>
              <w:spacing w:after="0" w:line="240" w:lineRule="auto"/>
              <w:ind w:left="284"/>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xml:space="preserve">Уменьшение финансовых активов в федеральной собственности за счет приобретения ценных бумаг (кроме акций) по договорам </w:t>
            </w:r>
            <w:proofErr w:type="spellStart"/>
            <w:r w:rsidRPr="00D41731">
              <w:rPr>
                <w:rFonts w:ascii="Times New Roman" w:eastAsia="Times New Roman" w:hAnsi="Times New Roman" w:cs="Times New Roman"/>
                <w:sz w:val="16"/>
                <w:szCs w:val="16"/>
                <w:lang w:eastAsia="ru-RU"/>
              </w:rPr>
              <w:t>репо</w:t>
            </w:r>
            <w:proofErr w:type="spellEnd"/>
          </w:p>
        </w:tc>
        <w:tc>
          <w:tcPr>
            <w:tcW w:w="935" w:type="pct"/>
            <w:tcBorders>
              <w:top w:val="nil"/>
              <w:left w:val="nil"/>
              <w:bottom w:val="single" w:sz="4" w:space="0" w:color="auto"/>
              <w:right w:val="single" w:sz="4" w:space="0" w:color="auto"/>
            </w:tcBorders>
            <w:shd w:val="clear" w:color="auto" w:fill="auto"/>
            <w:vAlign w:val="bottom"/>
          </w:tcPr>
          <w:p w:rsidR="00AD3564" w:rsidRPr="00D41731" w:rsidRDefault="00AD3564" w:rsidP="00C4345F">
            <w:pPr>
              <w:spacing w:after="0" w:line="240" w:lineRule="auto"/>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c>
          <w:tcPr>
            <w:tcW w:w="719" w:type="pct"/>
            <w:tcBorders>
              <w:top w:val="nil"/>
              <w:left w:val="nil"/>
              <w:bottom w:val="single" w:sz="4" w:space="0" w:color="auto"/>
              <w:right w:val="single" w:sz="4" w:space="0" w:color="auto"/>
            </w:tcBorders>
            <w:shd w:val="clear" w:color="auto" w:fill="auto"/>
            <w:vAlign w:val="bottom"/>
          </w:tcPr>
          <w:p w:rsidR="00AD3564" w:rsidRPr="00D41731" w:rsidRDefault="00AD3564" w:rsidP="00C4345F">
            <w:pPr>
              <w:spacing w:after="0" w:line="240" w:lineRule="auto"/>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AD3564"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17 156 975,0</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AD3564"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bottom"/>
          </w:tcPr>
          <w:p w:rsidR="00AD3564" w:rsidRPr="00D41731" w:rsidRDefault="006F683B" w:rsidP="006F683B">
            <w:pPr>
              <w:spacing w:after="0" w:line="240" w:lineRule="auto"/>
              <w:jc w:val="both"/>
              <w:rPr>
                <w:rFonts w:ascii="Times New Roman" w:eastAsia="Times New Roman" w:hAnsi="Times New Roman" w:cs="Times New Roman"/>
                <w:b/>
                <w:sz w:val="16"/>
                <w:szCs w:val="16"/>
                <w:lang w:eastAsia="ru-RU"/>
              </w:rPr>
            </w:pPr>
            <w:r w:rsidRPr="00D41731">
              <w:rPr>
                <w:rFonts w:ascii="Times New Roman" w:eastAsia="Times New Roman" w:hAnsi="Times New Roman" w:cs="Times New Roman"/>
                <w:b/>
                <w:sz w:val="16"/>
                <w:szCs w:val="16"/>
                <w:lang w:eastAsia="ru-RU"/>
              </w:rPr>
              <w:t>Изменение финансовых активов в федеральной собственности по операциям купли-продажи иностранной валюты и заключенным договорам, являющимся производными финансовыми инструментами, предметом которых является иностранная валюта</w:t>
            </w:r>
          </w:p>
        </w:tc>
        <w:tc>
          <w:tcPr>
            <w:tcW w:w="935" w:type="pct"/>
            <w:tcBorders>
              <w:top w:val="nil"/>
              <w:left w:val="nil"/>
              <w:bottom w:val="single" w:sz="4" w:space="0" w:color="auto"/>
              <w:right w:val="single" w:sz="4" w:space="0" w:color="auto"/>
            </w:tcBorders>
            <w:shd w:val="clear" w:color="auto" w:fill="auto"/>
            <w:vAlign w:val="bottom"/>
          </w:tcPr>
          <w:p w:rsidR="00AD3564" w:rsidRPr="00D41731" w:rsidRDefault="00AD3564" w:rsidP="00C4345F">
            <w:pPr>
              <w:spacing w:after="0" w:line="240" w:lineRule="auto"/>
              <w:rPr>
                <w:rFonts w:ascii="Times New Roman" w:eastAsia="Times New Roman" w:hAnsi="Times New Roman" w:cs="Times New Roman"/>
                <w:sz w:val="16"/>
                <w:szCs w:val="16"/>
                <w:lang w:eastAsia="ru-RU"/>
              </w:rPr>
            </w:pPr>
          </w:p>
        </w:tc>
        <w:tc>
          <w:tcPr>
            <w:tcW w:w="719" w:type="pct"/>
            <w:tcBorders>
              <w:top w:val="nil"/>
              <w:left w:val="nil"/>
              <w:bottom w:val="single" w:sz="4" w:space="0" w:color="auto"/>
              <w:right w:val="single" w:sz="4" w:space="0" w:color="auto"/>
            </w:tcBorders>
            <w:shd w:val="clear" w:color="auto" w:fill="auto"/>
            <w:vAlign w:val="bottom"/>
          </w:tcPr>
          <w:p w:rsidR="00AD3564" w:rsidRPr="00D41731" w:rsidRDefault="00AD3564" w:rsidP="00C4345F">
            <w:pPr>
              <w:spacing w:after="0" w:line="240" w:lineRule="auto"/>
              <w:rPr>
                <w:rFonts w:ascii="Times New Roman" w:eastAsia="Times New Roman" w:hAnsi="Times New Roman" w:cs="Times New Roman"/>
                <w:sz w:val="16"/>
                <w:szCs w:val="16"/>
                <w:lang w:eastAsia="ru-RU"/>
              </w:rPr>
            </w:pPr>
          </w:p>
        </w:tc>
        <w:tc>
          <w:tcPr>
            <w:tcW w:w="575" w:type="pct"/>
            <w:tcBorders>
              <w:top w:val="nil"/>
              <w:left w:val="nil"/>
              <w:bottom w:val="single" w:sz="4" w:space="0" w:color="auto"/>
              <w:right w:val="single" w:sz="4" w:space="0" w:color="auto"/>
            </w:tcBorders>
            <w:shd w:val="clear" w:color="auto" w:fill="auto"/>
            <w:noWrap/>
            <w:vAlign w:val="center"/>
          </w:tcPr>
          <w:p w:rsidR="00AD3564" w:rsidRPr="00D41731" w:rsidRDefault="00BB3C2A" w:rsidP="00C4345F">
            <w:pPr>
              <w:spacing w:after="0" w:line="240" w:lineRule="auto"/>
              <w:jc w:val="right"/>
              <w:rPr>
                <w:rFonts w:ascii="Times New Roman" w:eastAsia="Times New Roman" w:hAnsi="Times New Roman" w:cs="Times New Roman"/>
                <w:b/>
                <w:sz w:val="16"/>
                <w:szCs w:val="16"/>
                <w:lang w:eastAsia="ru-RU"/>
              </w:rPr>
            </w:pPr>
            <w:r w:rsidRPr="00D41731">
              <w:rPr>
                <w:rFonts w:ascii="Times New Roman" w:eastAsia="Times New Roman" w:hAnsi="Times New Roman" w:cs="Times New Roman"/>
                <w:b/>
                <w:sz w:val="16"/>
                <w:szCs w:val="16"/>
                <w:lang w:eastAsia="ru-RU"/>
              </w:rPr>
              <w:t>0,0</w:t>
            </w:r>
          </w:p>
        </w:tc>
        <w:tc>
          <w:tcPr>
            <w:tcW w:w="630" w:type="pct"/>
            <w:tcBorders>
              <w:top w:val="nil"/>
              <w:left w:val="nil"/>
              <w:bottom w:val="single" w:sz="4" w:space="0" w:color="auto"/>
              <w:right w:val="single" w:sz="4" w:space="0" w:color="auto"/>
            </w:tcBorders>
            <w:shd w:val="clear" w:color="auto" w:fill="auto"/>
            <w:vAlign w:val="center"/>
          </w:tcPr>
          <w:p w:rsidR="00AD3564" w:rsidRPr="00D41731" w:rsidRDefault="00AD3564" w:rsidP="00C4345F">
            <w:pPr>
              <w:spacing w:after="0" w:line="240" w:lineRule="auto"/>
              <w:jc w:val="center"/>
              <w:rPr>
                <w:rFonts w:ascii="Times New Roman" w:eastAsia="Times New Roman" w:hAnsi="Times New Roman" w:cs="Times New Roman"/>
                <w:b/>
                <w:bCs/>
                <w:sz w:val="16"/>
                <w:szCs w:val="16"/>
                <w:lang w:eastAsia="ru-RU"/>
              </w:rPr>
            </w:pPr>
          </w:p>
        </w:tc>
      </w:tr>
      <w:tr w:rsidR="00BB3C2A"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BB3C2A" w:rsidRPr="00D41731" w:rsidRDefault="00BB3C2A" w:rsidP="00BB3C2A">
            <w:pPr>
              <w:spacing w:after="0" w:line="240" w:lineRule="auto"/>
              <w:ind w:left="426"/>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увеличение</w:t>
            </w:r>
          </w:p>
        </w:tc>
        <w:tc>
          <w:tcPr>
            <w:tcW w:w="935" w:type="pct"/>
            <w:tcBorders>
              <w:top w:val="nil"/>
              <w:left w:val="nil"/>
              <w:bottom w:val="single" w:sz="4" w:space="0" w:color="auto"/>
              <w:right w:val="single" w:sz="4" w:space="0" w:color="auto"/>
            </w:tcBorders>
            <w:shd w:val="clear" w:color="auto" w:fill="auto"/>
            <w:vAlign w:val="bottom"/>
          </w:tcPr>
          <w:p w:rsidR="00BB3C2A" w:rsidRPr="00D41731" w:rsidRDefault="00BB3C2A" w:rsidP="00C4345F">
            <w:pPr>
              <w:spacing w:after="0" w:line="240" w:lineRule="auto"/>
              <w:rPr>
                <w:rFonts w:ascii="Times New Roman" w:eastAsia="Times New Roman" w:hAnsi="Times New Roman" w:cs="Times New Roman"/>
                <w:sz w:val="16"/>
                <w:szCs w:val="16"/>
                <w:lang w:eastAsia="ru-RU"/>
              </w:rPr>
            </w:pPr>
          </w:p>
        </w:tc>
        <w:tc>
          <w:tcPr>
            <w:tcW w:w="719" w:type="pct"/>
            <w:tcBorders>
              <w:top w:val="nil"/>
              <w:left w:val="nil"/>
              <w:bottom w:val="single" w:sz="4" w:space="0" w:color="auto"/>
              <w:right w:val="single" w:sz="4" w:space="0" w:color="auto"/>
            </w:tcBorders>
            <w:shd w:val="clear" w:color="auto" w:fill="auto"/>
            <w:vAlign w:val="bottom"/>
          </w:tcPr>
          <w:p w:rsidR="00BB3C2A" w:rsidRPr="00D41731" w:rsidRDefault="00BB3C2A" w:rsidP="00C4345F">
            <w:pPr>
              <w:spacing w:after="0" w:line="240" w:lineRule="auto"/>
              <w:rPr>
                <w:rFonts w:ascii="Times New Roman" w:eastAsia="Times New Roman" w:hAnsi="Times New Roman" w:cs="Times New Roman"/>
                <w:sz w:val="16"/>
                <w:szCs w:val="16"/>
                <w:lang w:eastAsia="ru-RU"/>
              </w:rPr>
            </w:pPr>
          </w:p>
        </w:tc>
        <w:tc>
          <w:tcPr>
            <w:tcW w:w="575"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-349 808,8</w:t>
            </w:r>
          </w:p>
        </w:tc>
        <w:tc>
          <w:tcPr>
            <w:tcW w:w="630" w:type="pct"/>
            <w:tcBorders>
              <w:top w:val="nil"/>
              <w:left w:val="nil"/>
              <w:bottom w:val="single" w:sz="4" w:space="0" w:color="auto"/>
              <w:right w:val="single" w:sz="4" w:space="0" w:color="auto"/>
            </w:tcBorders>
            <w:shd w:val="clear" w:color="auto" w:fill="auto"/>
            <w:vAlign w:val="center"/>
          </w:tcPr>
          <w:p w:rsidR="00BB3C2A" w:rsidRPr="00D41731" w:rsidRDefault="00BB3C2A" w:rsidP="00C4345F">
            <w:pPr>
              <w:spacing w:after="0" w:line="240" w:lineRule="auto"/>
              <w:jc w:val="center"/>
              <w:rPr>
                <w:rFonts w:ascii="Times New Roman" w:eastAsia="Times New Roman" w:hAnsi="Times New Roman" w:cs="Times New Roman"/>
                <w:b/>
                <w:bCs/>
                <w:sz w:val="16"/>
                <w:szCs w:val="16"/>
                <w:lang w:eastAsia="ru-RU"/>
              </w:rPr>
            </w:pPr>
          </w:p>
        </w:tc>
      </w:tr>
      <w:tr w:rsidR="00BB3C2A"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BB3C2A" w:rsidRPr="00D41731" w:rsidRDefault="00BB3C2A" w:rsidP="00BB3C2A">
            <w:pPr>
              <w:spacing w:after="0" w:line="240" w:lineRule="auto"/>
              <w:ind w:left="426"/>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уменьшение</w:t>
            </w:r>
          </w:p>
        </w:tc>
        <w:tc>
          <w:tcPr>
            <w:tcW w:w="935" w:type="pct"/>
            <w:tcBorders>
              <w:top w:val="nil"/>
              <w:left w:val="nil"/>
              <w:bottom w:val="single" w:sz="4" w:space="0" w:color="auto"/>
              <w:right w:val="single" w:sz="4" w:space="0" w:color="auto"/>
            </w:tcBorders>
            <w:shd w:val="clear" w:color="auto" w:fill="auto"/>
            <w:vAlign w:val="bottom"/>
          </w:tcPr>
          <w:p w:rsidR="00BB3C2A" w:rsidRPr="00D41731" w:rsidRDefault="00BB3C2A" w:rsidP="00C4345F">
            <w:pPr>
              <w:spacing w:after="0" w:line="240" w:lineRule="auto"/>
              <w:rPr>
                <w:rFonts w:ascii="Times New Roman" w:eastAsia="Times New Roman" w:hAnsi="Times New Roman" w:cs="Times New Roman"/>
                <w:sz w:val="16"/>
                <w:szCs w:val="16"/>
                <w:lang w:eastAsia="ru-RU"/>
              </w:rPr>
            </w:pPr>
          </w:p>
        </w:tc>
        <w:tc>
          <w:tcPr>
            <w:tcW w:w="719" w:type="pct"/>
            <w:tcBorders>
              <w:top w:val="nil"/>
              <w:left w:val="nil"/>
              <w:bottom w:val="single" w:sz="4" w:space="0" w:color="auto"/>
              <w:right w:val="single" w:sz="4" w:space="0" w:color="auto"/>
            </w:tcBorders>
            <w:shd w:val="clear" w:color="auto" w:fill="auto"/>
            <w:vAlign w:val="bottom"/>
          </w:tcPr>
          <w:p w:rsidR="00BB3C2A" w:rsidRPr="00D41731" w:rsidRDefault="00BB3C2A" w:rsidP="00C4345F">
            <w:pPr>
              <w:spacing w:after="0" w:line="240" w:lineRule="auto"/>
              <w:rPr>
                <w:rFonts w:ascii="Times New Roman" w:eastAsia="Times New Roman" w:hAnsi="Times New Roman" w:cs="Times New Roman"/>
                <w:sz w:val="16"/>
                <w:szCs w:val="16"/>
                <w:lang w:eastAsia="ru-RU"/>
              </w:rPr>
            </w:pPr>
          </w:p>
        </w:tc>
        <w:tc>
          <w:tcPr>
            <w:tcW w:w="575"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349 808,8</w:t>
            </w:r>
          </w:p>
        </w:tc>
        <w:tc>
          <w:tcPr>
            <w:tcW w:w="630" w:type="pct"/>
            <w:tcBorders>
              <w:top w:val="nil"/>
              <w:left w:val="nil"/>
              <w:bottom w:val="single" w:sz="4" w:space="0" w:color="auto"/>
              <w:right w:val="single" w:sz="4" w:space="0" w:color="auto"/>
            </w:tcBorders>
            <w:shd w:val="clear" w:color="auto" w:fill="auto"/>
            <w:vAlign w:val="center"/>
          </w:tcPr>
          <w:p w:rsidR="00BB3C2A" w:rsidRPr="00D41731" w:rsidRDefault="00BB3C2A" w:rsidP="00C4345F">
            <w:pPr>
              <w:spacing w:after="0" w:line="240" w:lineRule="auto"/>
              <w:jc w:val="center"/>
              <w:rPr>
                <w:rFonts w:ascii="Times New Roman" w:eastAsia="Times New Roman" w:hAnsi="Times New Roman" w:cs="Times New Roman"/>
                <w:b/>
                <w:bCs/>
                <w:sz w:val="16"/>
                <w:szCs w:val="16"/>
                <w:lang w:eastAsia="ru-RU"/>
              </w:rPr>
            </w:pPr>
          </w:p>
        </w:tc>
      </w:tr>
      <w:tr w:rsidR="00BB3C2A"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BB3C2A" w:rsidRPr="00D41731" w:rsidRDefault="00BB3C2A" w:rsidP="00A0532B">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ИТОГО: Источники внутреннего финансирования дефицита федерального бюджета без учета изменения остатков</w:t>
            </w:r>
          </w:p>
        </w:tc>
        <w:tc>
          <w:tcPr>
            <w:tcW w:w="93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717 577,8</w:t>
            </w:r>
          </w:p>
        </w:tc>
        <w:tc>
          <w:tcPr>
            <w:tcW w:w="719"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195166">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w:t>
            </w:r>
            <w:r w:rsidR="00195166" w:rsidRPr="00D41731">
              <w:rPr>
                <w:rFonts w:ascii="Times New Roman" w:eastAsia="Times New Roman" w:hAnsi="Times New Roman" w:cs="Times New Roman"/>
                <w:b/>
                <w:bCs/>
                <w:sz w:val="16"/>
                <w:szCs w:val="16"/>
                <w:lang w:eastAsia="ru-RU"/>
              </w:rPr>
              <w:t>621 966,3</w:t>
            </w:r>
          </w:p>
        </w:tc>
        <w:tc>
          <w:tcPr>
            <w:tcW w:w="57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1 395 975,5</w:t>
            </w:r>
          </w:p>
        </w:tc>
        <w:tc>
          <w:tcPr>
            <w:tcW w:w="630" w:type="pct"/>
            <w:tcBorders>
              <w:top w:val="nil"/>
              <w:left w:val="nil"/>
              <w:bottom w:val="single" w:sz="4" w:space="0" w:color="auto"/>
              <w:right w:val="single" w:sz="4" w:space="0" w:color="auto"/>
            </w:tcBorders>
            <w:shd w:val="clear" w:color="auto" w:fill="auto"/>
            <w:vAlign w:val="center"/>
            <w:hideMark/>
          </w:tcPr>
          <w:p w:rsidR="00BB3C2A" w:rsidRPr="00D41731" w:rsidRDefault="001F4E58"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1,9 раза</w:t>
            </w:r>
          </w:p>
        </w:tc>
      </w:tr>
      <w:tr w:rsidR="00BB3C2A"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BB3C2A" w:rsidRPr="00D41731" w:rsidRDefault="00BB3C2A" w:rsidP="00A0532B">
            <w:pPr>
              <w:spacing w:after="0" w:line="240" w:lineRule="auto"/>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Изменение остатков денежных средств федерального бюджета, в том числе:</w:t>
            </w:r>
          </w:p>
        </w:tc>
        <w:tc>
          <w:tcPr>
            <w:tcW w:w="93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-2 761 942,1</w:t>
            </w:r>
            <w:r w:rsidR="00C33005" w:rsidRPr="00D41731">
              <w:rPr>
                <w:rFonts w:ascii="Times New Roman" w:eastAsia="Times New Roman" w:hAnsi="Times New Roman" w:cs="Times New Roman"/>
                <w:b/>
                <w:bCs/>
                <w:sz w:val="16"/>
                <w:szCs w:val="16"/>
                <w:lang w:eastAsia="ru-RU"/>
              </w:rPr>
              <w:t>*</w:t>
            </w:r>
          </w:p>
        </w:tc>
        <w:tc>
          <w:tcPr>
            <w:tcW w:w="719" w:type="pct"/>
            <w:tcBorders>
              <w:top w:val="nil"/>
              <w:left w:val="nil"/>
              <w:bottom w:val="single" w:sz="4" w:space="0" w:color="auto"/>
              <w:right w:val="single" w:sz="4" w:space="0" w:color="auto"/>
            </w:tcBorders>
            <w:shd w:val="clear" w:color="auto" w:fill="auto"/>
            <w:noWrap/>
            <w:vAlign w:val="center"/>
          </w:tcPr>
          <w:p w:rsidR="00BB3C2A" w:rsidRPr="00D41731" w:rsidRDefault="00595458"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-38 260,0</w:t>
            </w:r>
          </w:p>
        </w:tc>
        <w:tc>
          <w:tcPr>
            <w:tcW w:w="575" w:type="pct"/>
            <w:tcBorders>
              <w:top w:val="nil"/>
              <w:left w:val="nil"/>
              <w:bottom w:val="single" w:sz="4" w:space="0" w:color="auto"/>
              <w:right w:val="single" w:sz="4" w:space="0" w:color="auto"/>
            </w:tcBorders>
            <w:shd w:val="clear" w:color="auto" w:fill="auto"/>
            <w:noWrap/>
            <w:vAlign w:val="center"/>
            <w:hideMark/>
          </w:tcPr>
          <w:p w:rsidR="00BB3C2A" w:rsidRPr="00D41731" w:rsidRDefault="0016098F"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-4 002 164,4</w:t>
            </w:r>
          </w:p>
        </w:tc>
        <w:tc>
          <w:tcPr>
            <w:tcW w:w="630" w:type="pct"/>
            <w:tcBorders>
              <w:top w:val="nil"/>
              <w:left w:val="nil"/>
              <w:bottom w:val="single" w:sz="4" w:space="0" w:color="auto"/>
              <w:right w:val="single" w:sz="4" w:space="0" w:color="auto"/>
            </w:tcBorders>
            <w:shd w:val="clear" w:color="auto" w:fill="auto"/>
            <w:vAlign w:val="center"/>
            <w:hideMark/>
          </w:tcPr>
          <w:p w:rsidR="00BB3C2A" w:rsidRPr="00D41731" w:rsidRDefault="0016098F"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1,4 раза</w:t>
            </w:r>
          </w:p>
        </w:tc>
      </w:tr>
      <w:tr w:rsidR="00BB3C2A"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BB3C2A" w:rsidRPr="00D41731" w:rsidRDefault="00BB3C2A" w:rsidP="00FC1F01">
            <w:pPr>
              <w:spacing w:after="0" w:line="240" w:lineRule="auto"/>
              <w:ind w:left="284"/>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Изменение остатков денежных средств ФНБ</w:t>
            </w:r>
          </w:p>
        </w:tc>
        <w:tc>
          <w:tcPr>
            <w:tcW w:w="93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1 113 326,2</w:t>
            </w:r>
            <w:r w:rsidR="00C33005" w:rsidRPr="00D41731">
              <w:rPr>
                <w:rFonts w:ascii="Times New Roman" w:eastAsia="Times New Roman" w:hAnsi="Times New Roman" w:cs="Times New Roman"/>
                <w:b/>
                <w:bCs/>
                <w:sz w:val="16"/>
                <w:szCs w:val="16"/>
                <w:lang w:eastAsia="ru-RU"/>
              </w:rPr>
              <w:t>*</w:t>
            </w:r>
          </w:p>
        </w:tc>
        <w:tc>
          <w:tcPr>
            <w:tcW w:w="719" w:type="pct"/>
            <w:tcBorders>
              <w:top w:val="nil"/>
              <w:left w:val="nil"/>
              <w:bottom w:val="single" w:sz="4" w:space="0" w:color="auto"/>
              <w:right w:val="single" w:sz="4" w:space="0" w:color="auto"/>
            </w:tcBorders>
            <w:shd w:val="clear" w:color="auto" w:fill="auto"/>
            <w:noWrap/>
            <w:vAlign w:val="center"/>
          </w:tcPr>
          <w:p w:rsidR="00BB3C2A" w:rsidRPr="00D41731" w:rsidRDefault="00BB3C2A" w:rsidP="00A0532B">
            <w:pPr>
              <w:spacing w:after="0" w:line="240" w:lineRule="auto"/>
              <w:jc w:val="right"/>
              <w:rPr>
                <w:rFonts w:ascii="Times New Roman" w:eastAsia="Times New Roman" w:hAnsi="Times New Roman" w:cs="Times New Roman"/>
                <w:b/>
                <w:bCs/>
                <w:sz w:val="16"/>
                <w:szCs w:val="16"/>
                <w:lang w:eastAsia="ru-RU"/>
              </w:rPr>
            </w:pPr>
          </w:p>
        </w:tc>
        <w:tc>
          <w:tcPr>
            <w:tcW w:w="57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-151 175,4</w:t>
            </w:r>
          </w:p>
        </w:tc>
        <w:tc>
          <w:tcPr>
            <w:tcW w:w="630" w:type="pct"/>
            <w:tcBorders>
              <w:top w:val="nil"/>
              <w:left w:val="nil"/>
              <w:bottom w:val="single" w:sz="4" w:space="0" w:color="auto"/>
              <w:right w:val="single" w:sz="4" w:space="0" w:color="auto"/>
            </w:tcBorders>
            <w:shd w:val="clear" w:color="auto" w:fill="auto"/>
            <w:vAlign w:val="center"/>
          </w:tcPr>
          <w:p w:rsidR="00BB3C2A" w:rsidRPr="00D41731" w:rsidRDefault="00BB3C2A" w:rsidP="00A0532B">
            <w:pPr>
              <w:spacing w:after="0" w:line="240" w:lineRule="auto"/>
              <w:jc w:val="center"/>
              <w:rPr>
                <w:rFonts w:ascii="Times New Roman" w:eastAsia="Times New Roman" w:hAnsi="Times New Roman" w:cs="Times New Roman"/>
                <w:b/>
                <w:bCs/>
                <w:sz w:val="16"/>
                <w:szCs w:val="16"/>
                <w:lang w:eastAsia="ru-RU"/>
              </w:rPr>
            </w:pPr>
          </w:p>
        </w:tc>
      </w:tr>
      <w:tr w:rsidR="00BB3C2A"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BB3C2A" w:rsidRPr="00D41731" w:rsidRDefault="00BB3C2A" w:rsidP="00FC1F01">
            <w:pPr>
              <w:spacing w:after="0" w:line="240" w:lineRule="auto"/>
              <w:ind w:left="426"/>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увеличение остатков денежных средств ФНБ</w:t>
            </w:r>
          </w:p>
        </w:tc>
        <w:tc>
          <w:tcPr>
            <w:tcW w:w="935" w:type="pct"/>
            <w:tcBorders>
              <w:top w:val="nil"/>
              <w:left w:val="nil"/>
              <w:bottom w:val="single" w:sz="4" w:space="0" w:color="auto"/>
              <w:right w:val="single" w:sz="4" w:space="0" w:color="auto"/>
            </w:tcBorders>
            <w:shd w:val="clear" w:color="auto" w:fill="auto"/>
            <w:vAlign w:val="center"/>
            <w:hideMark/>
          </w:tcPr>
          <w:p w:rsidR="00BB3C2A" w:rsidRPr="00D41731" w:rsidRDefault="00BB3C2A"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noWrap/>
            <w:vAlign w:val="center"/>
          </w:tcPr>
          <w:p w:rsidR="00BB3C2A" w:rsidRPr="00D41731" w:rsidRDefault="00BB3C2A" w:rsidP="00A0532B">
            <w:pPr>
              <w:spacing w:after="0" w:line="240" w:lineRule="auto"/>
              <w:jc w:val="center"/>
              <w:rPr>
                <w:rFonts w:ascii="Times New Roman" w:eastAsia="Times New Roman" w:hAnsi="Times New Roman" w:cs="Times New Roman"/>
                <w:b/>
                <w:bCs/>
                <w:sz w:val="16"/>
                <w:szCs w:val="16"/>
                <w:lang w:eastAsia="ru-RU"/>
              </w:rPr>
            </w:pPr>
          </w:p>
        </w:tc>
        <w:tc>
          <w:tcPr>
            <w:tcW w:w="57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-4 360 538,7</w:t>
            </w:r>
          </w:p>
        </w:tc>
        <w:tc>
          <w:tcPr>
            <w:tcW w:w="630" w:type="pct"/>
            <w:tcBorders>
              <w:top w:val="nil"/>
              <w:left w:val="nil"/>
              <w:bottom w:val="single" w:sz="4" w:space="0" w:color="auto"/>
              <w:right w:val="single" w:sz="4" w:space="0" w:color="auto"/>
            </w:tcBorders>
            <w:shd w:val="clear" w:color="auto" w:fill="auto"/>
            <w:vAlign w:val="center"/>
            <w:hideMark/>
          </w:tcPr>
          <w:p w:rsidR="00BB3C2A" w:rsidRPr="00D41731" w:rsidRDefault="00BB3C2A"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BB3C2A"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BB3C2A" w:rsidRPr="00D41731" w:rsidRDefault="00BB3C2A" w:rsidP="00FC1F01">
            <w:pPr>
              <w:spacing w:after="0" w:line="240" w:lineRule="auto"/>
              <w:ind w:left="426"/>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уменьшение остатков денежных средств ФНБ</w:t>
            </w:r>
          </w:p>
        </w:tc>
        <w:tc>
          <w:tcPr>
            <w:tcW w:w="93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1 113 326,2</w:t>
            </w:r>
          </w:p>
        </w:tc>
        <w:tc>
          <w:tcPr>
            <w:tcW w:w="719" w:type="pct"/>
            <w:tcBorders>
              <w:top w:val="nil"/>
              <w:left w:val="nil"/>
              <w:bottom w:val="single" w:sz="4" w:space="0" w:color="auto"/>
              <w:right w:val="single" w:sz="4" w:space="0" w:color="auto"/>
            </w:tcBorders>
            <w:shd w:val="clear" w:color="auto" w:fill="auto"/>
            <w:noWrap/>
            <w:vAlign w:val="center"/>
          </w:tcPr>
          <w:p w:rsidR="00BB3C2A" w:rsidRPr="00D41731" w:rsidRDefault="00BB3C2A" w:rsidP="00A0532B">
            <w:pPr>
              <w:spacing w:after="0" w:line="240" w:lineRule="auto"/>
              <w:jc w:val="right"/>
              <w:rPr>
                <w:rFonts w:ascii="Times New Roman" w:eastAsia="Times New Roman" w:hAnsi="Times New Roman" w:cs="Times New Roman"/>
                <w:sz w:val="16"/>
                <w:szCs w:val="16"/>
                <w:lang w:eastAsia="ru-RU"/>
              </w:rPr>
            </w:pPr>
          </w:p>
        </w:tc>
        <w:tc>
          <w:tcPr>
            <w:tcW w:w="57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4 209 363,3</w:t>
            </w:r>
          </w:p>
        </w:tc>
        <w:tc>
          <w:tcPr>
            <w:tcW w:w="630" w:type="pct"/>
            <w:tcBorders>
              <w:top w:val="nil"/>
              <w:left w:val="nil"/>
              <w:bottom w:val="single" w:sz="4" w:space="0" w:color="auto"/>
              <w:right w:val="single" w:sz="4" w:space="0" w:color="auto"/>
            </w:tcBorders>
            <w:shd w:val="clear" w:color="auto" w:fill="auto"/>
            <w:vAlign w:val="center"/>
            <w:hideMark/>
          </w:tcPr>
          <w:p w:rsidR="00BB3C2A" w:rsidRPr="00D41731" w:rsidRDefault="00BB3C2A"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BB3C2A"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BB3C2A" w:rsidRPr="00D41731" w:rsidRDefault="00BB3C2A" w:rsidP="00FC1F01">
            <w:pPr>
              <w:spacing w:after="0" w:line="240" w:lineRule="auto"/>
              <w:ind w:left="284"/>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Изменение прочих остатков денежных средств бюджета</w:t>
            </w:r>
          </w:p>
        </w:tc>
        <w:tc>
          <w:tcPr>
            <w:tcW w:w="93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218 011,6</w:t>
            </w:r>
            <w:r w:rsidR="00C33005" w:rsidRPr="00D41731">
              <w:rPr>
                <w:rFonts w:ascii="Times New Roman" w:eastAsia="Times New Roman" w:hAnsi="Times New Roman" w:cs="Times New Roman"/>
                <w:b/>
                <w:bCs/>
                <w:sz w:val="16"/>
                <w:szCs w:val="16"/>
                <w:lang w:eastAsia="ru-RU"/>
              </w:rPr>
              <w:t>*</w:t>
            </w:r>
          </w:p>
        </w:tc>
        <w:tc>
          <w:tcPr>
            <w:tcW w:w="719" w:type="pct"/>
            <w:tcBorders>
              <w:top w:val="nil"/>
              <w:left w:val="nil"/>
              <w:bottom w:val="single" w:sz="4" w:space="0" w:color="auto"/>
              <w:right w:val="single" w:sz="4" w:space="0" w:color="auto"/>
            </w:tcBorders>
            <w:shd w:val="clear" w:color="auto" w:fill="auto"/>
            <w:noWrap/>
            <w:vAlign w:val="center"/>
          </w:tcPr>
          <w:p w:rsidR="00BB3C2A" w:rsidRPr="00D41731" w:rsidRDefault="00BB3C2A" w:rsidP="00A0532B">
            <w:pPr>
              <w:spacing w:after="0" w:line="240" w:lineRule="auto"/>
              <w:jc w:val="right"/>
              <w:rPr>
                <w:rFonts w:ascii="Times New Roman" w:eastAsia="Times New Roman" w:hAnsi="Times New Roman" w:cs="Times New Roman"/>
                <w:b/>
                <w:bCs/>
                <w:sz w:val="16"/>
                <w:szCs w:val="16"/>
                <w:lang w:eastAsia="ru-RU"/>
              </w:rPr>
            </w:pPr>
          </w:p>
        </w:tc>
        <w:tc>
          <w:tcPr>
            <w:tcW w:w="57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456 443,2</w:t>
            </w:r>
          </w:p>
        </w:tc>
        <w:tc>
          <w:tcPr>
            <w:tcW w:w="630" w:type="pct"/>
            <w:tcBorders>
              <w:top w:val="nil"/>
              <w:left w:val="nil"/>
              <w:bottom w:val="single" w:sz="4" w:space="0" w:color="auto"/>
              <w:right w:val="single" w:sz="4" w:space="0" w:color="auto"/>
            </w:tcBorders>
            <w:shd w:val="clear" w:color="auto" w:fill="auto"/>
            <w:vAlign w:val="center"/>
            <w:hideMark/>
          </w:tcPr>
          <w:p w:rsidR="00BB3C2A" w:rsidRPr="00D41731" w:rsidRDefault="00687FDF"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2,1 раза</w:t>
            </w:r>
          </w:p>
        </w:tc>
      </w:tr>
      <w:tr w:rsidR="00BB3C2A"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BB3C2A" w:rsidRPr="00D41731" w:rsidRDefault="00BB3C2A" w:rsidP="00FC1F01">
            <w:pPr>
              <w:spacing w:after="0" w:line="240" w:lineRule="auto"/>
              <w:ind w:left="426"/>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xml:space="preserve">увеличение остатков  средств </w:t>
            </w:r>
          </w:p>
        </w:tc>
        <w:tc>
          <w:tcPr>
            <w:tcW w:w="93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c>
          <w:tcPr>
            <w:tcW w:w="719"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-73 906 196,7</w:t>
            </w:r>
          </w:p>
        </w:tc>
        <w:tc>
          <w:tcPr>
            <w:tcW w:w="630" w:type="pct"/>
            <w:tcBorders>
              <w:top w:val="nil"/>
              <w:left w:val="nil"/>
              <w:bottom w:val="single" w:sz="4" w:space="0" w:color="auto"/>
              <w:right w:val="single" w:sz="4" w:space="0" w:color="auto"/>
            </w:tcBorders>
            <w:shd w:val="clear" w:color="auto" w:fill="auto"/>
            <w:vAlign w:val="center"/>
            <w:hideMark/>
          </w:tcPr>
          <w:p w:rsidR="00BB3C2A" w:rsidRPr="00D41731" w:rsidRDefault="00BB3C2A"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BB3C2A"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BB3C2A" w:rsidRPr="00D41731" w:rsidRDefault="00BB3C2A" w:rsidP="00FC1F01">
            <w:pPr>
              <w:spacing w:after="0" w:line="240" w:lineRule="auto"/>
              <w:ind w:left="426"/>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xml:space="preserve">уменьшение остатков  средств  </w:t>
            </w:r>
          </w:p>
        </w:tc>
        <w:tc>
          <w:tcPr>
            <w:tcW w:w="93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218 011,6</w:t>
            </w:r>
          </w:p>
        </w:tc>
        <w:tc>
          <w:tcPr>
            <w:tcW w:w="719"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74 362 639,9</w:t>
            </w:r>
          </w:p>
        </w:tc>
        <w:tc>
          <w:tcPr>
            <w:tcW w:w="630" w:type="pct"/>
            <w:tcBorders>
              <w:top w:val="nil"/>
              <w:left w:val="nil"/>
              <w:bottom w:val="single" w:sz="4" w:space="0" w:color="auto"/>
              <w:right w:val="single" w:sz="4" w:space="0" w:color="auto"/>
            </w:tcBorders>
            <w:shd w:val="clear" w:color="auto" w:fill="auto"/>
            <w:vAlign w:val="center"/>
            <w:hideMark/>
          </w:tcPr>
          <w:p w:rsidR="00BB3C2A" w:rsidRPr="00D41731" w:rsidRDefault="00BB3C2A"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BB3C2A"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BB3C2A" w:rsidRPr="00D41731" w:rsidRDefault="00FC1F01" w:rsidP="00FC1F01">
            <w:pPr>
              <w:spacing w:after="0" w:line="240" w:lineRule="auto"/>
              <w:ind w:left="284"/>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Изменение прочих остатков денежных средств федерального бюджета (уменьшение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c>
          <w:tcPr>
            <w:tcW w:w="93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-4 093 279,9</w:t>
            </w:r>
            <w:r w:rsidR="00C33005" w:rsidRPr="00D41731">
              <w:rPr>
                <w:rFonts w:ascii="Times New Roman" w:eastAsia="Times New Roman" w:hAnsi="Times New Roman" w:cs="Times New Roman"/>
                <w:b/>
                <w:bCs/>
                <w:sz w:val="16"/>
                <w:szCs w:val="16"/>
                <w:lang w:eastAsia="ru-RU"/>
              </w:rPr>
              <w:t>*</w:t>
            </w:r>
          </w:p>
        </w:tc>
        <w:tc>
          <w:tcPr>
            <w:tcW w:w="719"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-3 612 490,2</w:t>
            </w:r>
          </w:p>
        </w:tc>
        <w:tc>
          <w:tcPr>
            <w:tcW w:w="630" w:type="pct"/>
            <w:tcBorders>
              <w:top w:val="nil"/>
              <w:left w:val="nil"/>
              <w:bottom w:val="single" w:sz="4" w:space="0" w:color="auto"/>
              <w:right w:val="single" w:sz="4" w:space="0" w:color="auto"/>
            </w:tcBorders>
            <w:shd w:val="clear" w:color="auto" w:fill="auto"/>
            <w:vAlign w:val="center"/>
            <w:hideMark/>
          </w:tcPr>
          <w:p w:rsidR="00BB3C2A" w:rsidRPr="00D41731" w:rsidRDefault="00BB3C2A"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FC1F01"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FC1F01" w:rsidRPr="00D41731" w:rsidRDefault="00FC1F01" w:rsidP="00FC1F01">
            <w:pPr>
              <w:spacing w:after="0" w:line="240" w:lineRule="auto"/>
              <w:ind w:left="426"/>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увеличение</w:t>
            </w:r>
          </w:p>
        </w:tc>
        <w:tc>
          <w:tcPr>
            <w:tcW w:w="935" w:type="pct"/>
            <w:tcBorders>
              <w:top w:val="nil"/>
              <w:left w:val="nil"/>
              <w:bottom w:val="single" w:sz="4" w:space="0" w:color="auto"/>
              <w:right w:val="single" w:sz="4" w:space="0" w:color="auto"/>
            </w:tcBorders>
            <w:shd w:val="clear" w:color="auto" w:fill="auto"/>
            <w:noWrap/>
            <w:vAlign w:val="center"/>
            <w:hideMark/>
          </w:tcPr>
          <w:p w:rsidR="00FC1F01" w:rsidRPr="00D41731" w:rsidRDefault="00FC1F01"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-4 093 279,9</w:t>
            </w:r>
          </w:p>
        </w:tc>
        <w:tc>
          <w:tcPr>
            <w:tcW w:w="719" w:type="pct"/>
            <w:tcBorders>
              <w:top w:val="nil"/>
              <w:left w:val="nil"/>
              <w:bottom w:val="single" w:sz="4" w:space="0" w:color="auto"/>
              <w:right w:val="single" w:sz="4" w:space="0" w:color="auto"/>
            </w:tcBorders>
            <w:shd w:val="clear" w:color="auto" w:fill="auto"/>
            <w:noWrap/>
            <w:vAlign w:val="center"/>
            <w:hideMark/>
          </w:tcPr>
          <w:p w:rsidR="00FC1F01" w:rsidRPr="00D41731" w:rsidRDefault="00FC1F01" w:rsidP="00A0532B">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hideMark/>
          </w:tcPr>
          <w:p w:rsidR="00FC1F01" w:rsidRPr="00D41731" w:rsidRDefault="00FC1F01"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-6 002 329,8</w:t>
            </w:r>
          </w:p>
        </w:tc>
        <w:tc>
          <w:tcPr>
            <w:tcW w:w="630" w:type="pct"/>
            <w:tcBorders>
              <w:top w:val="nil"/>
              <w:left w:val="nil"/>
              <w:bottom w:val="single" w:sz="4" w:space="0" w:color="auto"/>
              <w:right w:val="single" w:sz="4" w:space="0" w:color="auto"/>
            </w:tcBorders>
            <w:shd w:val="clear" w:color="auto" w:fill="auto"/>
            <w:vAlign w:val="center"/>
            <w:hideMark/>
          </w:tcPr>
          <w:p w:rsidR="00FC1F01" w:rsidRPr="00D41731" w:rsidRDefault="00FC1F01"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FC1F01"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hideMark/>
          </w:tcPr>
          <w:p w:rsidR="00FC1F01" w:rsidRPr="00D41731" w:rsidRDefault="00FC1F01" w:rsidP="00FC1F01">
            <w:pPr>
              <w:spacing w:after="0" w:line="240" w:lineRule="auto"/>
              <w:ind w:left="426"/>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уменьшение</w:t>
            </w:r>
          </w:p>
        </w:tc>
        <w:tc>
          <w:tcPr>
            <w:tcW w:w="935" w:type="pct"/>
            <w:tcBorders>
              <w:top w:val="nil"/>
              <w:left w:val="nil"/>
              <w:bottom w:val="single" w:sz="4" w:space="0" w:color="auto"/>
              <w:right w:val="single" w:sz="4" w:space="0" w:color="auto"/>
            </w:tcBorders>
            <w:shd w:val="clear" w:color="auto" w:fill="auto"/>
            <w:noWrap/>
            <w:vAlign w:val="bottom"/>
            <w:hideMark/>
          </w:tcPr>
          <w:p w:rsidR="00FC1F01" w:rsidRPr="00D41731" w:rsidRDefault="00FC1F01" w:rsidP="00A0532B">
            <w:pPr>
              <w:spacing w:after="0" w:line="240" w:lineRule="auto"/>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c>
          <w:tcPr>
            <w:tcW w:w="719" w:type="pct"/>
            <w:tcBorders>
              <w:top w:val="nil"/>
              <w:left w:val="nil"/>
              <w:bottom w:val="single" w:sz="4" w:space="0" w:color="auto"/>
              <w:right w:val="single" w:sz="4" w:space="0" w:color="auto"/>
            </w:tcBorders>
            <w:shd w:val="clear" w:color="auto" w:fill="auto"/>
            <w:noWrap/>
            <w:vAlign w:val="bottom"/>
            <w:hideMark/>
          </w:tcPr>
          <w:p w:rsidR="00FC1F01" w:rsidRPr="00D41731" w:rsidRDefault="00FC1F01" w:rsidP="00A0532B">
            <w:pPr>
              <w:spacing w:after="0" w:line="240" w:lineRule="auto"/>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hideMark/>
          </w:tcPr>
          <w:p w:rsidR="00FC1F01" w:rsidRPr="00D41731" w:rsidRDefault="00FC1F01" w:rsidP="00A0532B">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2 389 839,7</w:t>
            </w:r>
          </w:p>
        </w:tc>
        <w:tc>
          <w:tcPr>
            <w:tcW w:w="630" w:type="pct"/>
            <w:tcBorders>
              <w:top w:val="nil"/>
              <w:left w:val="nil"/>
              <w:bottom w:val="single" w:sz="4" w:space="0" w:color="auto"/>
              <w:right w:val="single" w:sz="4" w:space="0" w:color="auto"/>
            </w:tcBorders>
            <w:shd w:val="clear" w:color="auto" w:fill="auto"/>
            <w:vAlign w:val="center"/>
            <w:hideMark/>
          </w:tcPr>
          <w:p w:rsidR="00FC1F01" w:rsidRPr="00D41731" w:rsidRDefault="00FC1F01" w:rsidP="00A0532B">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BB3C2A" w:rsidRPr="00D41731" w:rsidTr="00D759F8">
        <w:trPr>
          <w:trHeight w:val="791"/>
        </w:trPr>
        <w:tc>
          <w:tcPr>
            <w:tcW w:w="2141" w:type="pct"/>
            <w:tcBorders>
              <w:top w:val="nil"/>
              <w:left w:val="single" w:sz="4" w:space="0" w:color="auto"/>
              <w:bottom w:val="single" w:sz="4" w:space="0" w:color="auto"/>
              <w:right w:val="single" w:sz="4" w:space="0" w:color="auto"/>
            </w:tcBorders>
            <w:shd w:val="clear" w:color="auto" w:fill="auto"/>
            <w:vAlign w:val="center"/>
          </w:tcPr>
          <w:p w:rsidR="00BB3C2A" w:rsidRPr="00D41731" w:rsidRDefault="00BB3C2A" w:rsidP="00FC1F01">
            <w:pPr>
              <w:spacing w:after="0" w:line="240" w:lineRule="auto"/>
              <w:ind w:left="284"/>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Изменение финансовых активов в федеральной собственности за счет средств ФНБ, размещенных в депозитах в кредитных  организациях и Внешэкономбанке</w:t>
            </w:r>
          </w:p>
        </w:tc>
        <w:tc>
          <w:tcPr>
            <w:tcW w:w="93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-38 260,0</w:t>
            </w:r>
          </w:p>
        </w:tc>
        <w:tc>
          <w:tcPr>
            <w:tcW w:w="575"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1 501,5</w:t>
            </w:r>
          </w:p>
        </w:tc>
        <w:tc>
          <w:tcPr>
            <w:tcW w:w="630" w:type="pct"/>
            <w:tcBorders>
              <w:top w:val="nil"/>
              <w:left w:val="nil"/>
              <w:bottom w:val="single" w:sz="4" w:space="0" w:color="auto"/>
              <w:right w:val="single" w:sz="4" w:space="0" w:color="auto"/>
            </w:tcBorders>
            <w:shd w:val="clear" w:color="auto" w:fill="auto"/>
            <w:vAlign w:val="center"/>
            <w:hideMark/>
          </w:tcPr>
          <w:p w:rsidR="00BB3C2A" w:rsidRPr="00D41731" w:rsidRDefault="00BB3C2A"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BB3C2A" w:rsidRPr="00D41731" w:rsidTr="00D759F8">
        <w:trPr>
          <w:trHeight w:val="66"/>
        </w:trPr>
        <w:tc>
          <w:tcPr>
            <w:tcW w:w="2141" w:type="pct"/>
            <w:tcBorders>
              <w:top w:val="nil"/>
              <w:left w:val="single" w:sz="4" w:space="0" w:color="auto"/>
              <w:bottom w:val="single" w:sz="4" w:space="0" w:color="auto"/>
              <w:right w:val="single" w:sz="4" w:space="0" w:color="auto"/>
            </w:tcBorders>
            <w:shd w:val="clear" w:color="auto" w:fill="auto"/>
            <w:vAlign w:val="center"/>
          </w:tcPr>
          <w:p w:rsidR="00BB3C2A" w:rsidRPr="00D41731" w:rsidRDefault="00BB3C2A" w:rsidP="00570010">
            <w:pPr>
              <w:spacing w:after="0" w:line="240" w:lineRule="auto"/>
              <w:ind w:left="426"/>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увеличение</w:t>
            </w:r>
          </w:p>
        </w:tc>
        <w:tc>
          <w:tcPr>
            <w:tcW w:w="935"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noWrap/>
            <w:vAlign w:val="center"/>
            <w:hideMark/>
          </w:tcPr>
          <w:p w:rsidR="00BB3C2A" w:rsidRPr="00D41731" w:rsidRDefault="00BB3C2A"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-38 260,0</w:t>
            </w:r>
          </w:p>
        </w:tc>
        <w:tc>
          <w:tcPr>
            <w:tcW w:w="575"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-363 817,4</w:t>
            </w:r>
          </w:p>
        </w:tc>
        <w:tc>
          <w:tcPr>
            <w:tcW w:w="630" w:type="pct"/>
            <w:tcBorders>
              <w:top w:val="nil"/>
              <w:left w:val="nil"/>
              <w:bottom w:val="single" w:sz="4" w:space="0" w:color="auto"/>
              <w:right w:val="single" w:sz="4" w:space="0" w:color="auto"/>
            </w:tcBorders>
            <w:shd w:val="clear" w:color="auto" w:fill="auto"/>
            <w:vAlign w:val="center"/>
            <w:hideMark/>
          </w:tcPr>
          <w:p w:rsidR="00BB3C2A" w:rsidRPr="00D41731" w:rsidRDefault="00BB3C2A"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BB3C2A" w:rsidRPr="00D41731" w:rsidTr="00D759F8">
        <w:trPr>
          <w:trHeight w:val="104"/>
        </w:trPr>
        <w:tc>
          <w:tcPr>
            <w:tcW w:w="2141" w:type="pct"/>
            <w:tcBorders>
              <w:top w:val="nil"/>
              <w:left w:val="single" w:sz="4" w:space="0" w:color="auto"/>
              <w:bottom w:val="single" w:sz="4" w:space="0" w:color="auto"/>
              <w:right w:val="single" w:sz="4" w:space="0" w:color="auto"/>
            </w:tcBorders>
            <w:shd w:val="clear" w:color="auto" w:fill="auto"/>
            <w:vAlign w:val="center"/>
          </w:tcPr>
          <w:p w:rsidR="00BB3C2A" w:rsidRPr="00D41731" w:rsidRDefault="00BB3C2A" w:rsidP="00570010">
            <w:pPr>
              <w:spacing w:after="0" w:line="240" w:lineRule="auto"/>
              <w:ind w:left="426"/>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уменьшение</w:t>
            </w:r>
          </w:p>
        </w:tc>
        <w:tc>
          <w:tcPr>
            <w:tcW w:w="935"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365 318,8</w:t>
            </w:r>
          </w:p>
        </w:tc>
        <w:tc>
          <w:tcPr>
            <w:tcW w:w="630" w:type="pct"/>
            <w:tcBorders>
              <w:top w:val="nil"/>
              <w:left w:val="nil"/>
              <w:bottom w:val="single" w:sz="4" w:space="0" w:color="auto"/>
              <w:right w:val="single" w:sz="4" w:space="0" w:color="auto"/>
            </w:tcBorders>
            <w:shd w:val="clear" w:color="auto" w:fill="auto"/>
            <w:vAlign w:val="center"/>
          </w:tcPr>
          <w:p w:rsidR="00BB3C2A" w:rsidRPr="00D41731" w:rsidRDefault="00BB3C2A"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r>
      <w:tr w:rsidR="00BB3C2A" w:rsidRPr="00D41731" w:rsidTr="00D759F8">
        <w:trPr>
          <w:trHeight w:val="112"/>
        </w:trPr>
        <w:tc>
          <w:tcPr>
            <w:tcW w:w="2141" w:type="pct"/>
            <w:tcBorders>
              <w:top w:val="nil"/>
              <w:left w:val="single" w:sz="4" w:space="0" w:color="auto"/>
              <w:bottom w:val="single" w:sz="4" w:space="0" w:color="auto"/>
              <w:right w:val="single" w:sz="4" w:space="0" w:color="auto"/>
            </w:tcBorders>
            <w:shd w:val="clear" w:color="auto" w:fill="auto"/>
            <w:vAlign w:val="center"/>
          </w:tcPr>
          <w:p w:rsidR="00BB3C2A" w:rsidRPr="00D41731" w:rsidRDefault="00BB3C2A" w:rsidP="00FC1F01">
            <w:pPr>
              <w:spacing w:after="0" w:line="240" w:lineRule="auto"/>
              <w:ind w:left="284"/>
              <w:jc w:val="both"/>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Изменение финансовых активов в федеральной собственности за счет средств федерального бюджета, размещенных на банковских депозитах в валюте Российской Федерации и в иностранной валюте в кредитных организациях</w:t>
            </w:r>
          </w:p>
        </w:tc>
        <w:tc>
          <w:tcPr>
            <w:tcW w:w="935"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right"/>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-696 443,6</w:t>
            </w:r>
          </w:p>
        </w:tc>
        <w:tc>
          <w:tcPr>
            <w:tcW w:w="630" w:type="pct"/>
            <w:tcBorders>
              <w:top w:val="nil"/>
              <w:left w:val="nil"/>
              <w:bottom w:val="single" w:sz="4" w:space="0" w:color="auto"/>
              <w:right w:val="single" w:sz="4" w:space="0" w:color="auto"/>
            </w:tcBorders>
            <w:shd w:val="clear" w:color="auto" w:fill="auto"/>
            <w:vAlign w:val="center"/>
          </w:tcPr>
          <w:p w:rsidR="00BB3C2A" w:rsidRPr="00D41731" w:rsidRDefault="00BB3C2A" w:rsidP="00A0532B">
            <w:pPr>
              <w:spacing w:after="0" w:line="240" w:lineRule="auto"/>
              <w:jc w:val="center"/>
              <w:rPr>
                <w:rFonts w:ascii="Times New Roman" w:eastAsia="Times New Roman" w:hAnsi="Times New Roman" w:cs="Times New Roman"/>
                <w:b/>
                <w:bCs/>
                <w:sz w:val="16"/>
                <w:szCs w:val="16"/>
                <w:lang w:eastAsia="ru-RU"/>
              </w:rPr>
            </w:pPr>
          </w:p>
        </w:tc>
      </w:tr>
      <w:tr w:rsidR="00BB3C2A" w:rsidRPr="00D41731" w:rsidTr="00D759F8">
        <w:trPr>
          <w:trHeight w:val="80"/>
        </w:trPr>
        <w:tc>
          <w:tcPr>
            <w:tcW w:w="2141" w:type="pct"/>
            <w:tcBorders>
              <w:top w:val="nil"/>
              <w:left w:val="single" w:sz="4" w:space="0" w:color="auto"/>
              <w:bottom w:val="single" w:sz="4" w:space="0" w:color="auto"/>
              <w:right w:val="single" w:sz="4" w:space="0" w:color="auto"/>
            </w:tcBorders>
            <w:shd w:val="clear" w:color="auto" w:fill="auto"/>
            <w:vAlign w:val="center"/>
          </w:tcPr>
          <w:p w:rsidR="00BB3C2A" w:rsidRPr="00D41731" w:rsidRDefault="00BB3C2A" w:rsidP="00570010">
            <w:pPr>
              <w:spacing w:after="0" w:line="240" w:lineRule="auto"/>
              <w:ind w:left="426"/>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xml:space="preserve">увеличение  </w:t>
            </w:r>
          </w:p>
        </w:tc>
        <w:tc>
          <w:tcPr>
            <w:tcW w:w="935"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-5 983 635,4</w:t>
            </w:r>
          </w:p>
        </w:tc>
        <w:tc>
          <w:tcPr>
            <w:tcW w:w="630" w:type="pct"/>
            <w:tcBorders>
              <w:top w:val="nil"/>
              <w:left w:val="nil"/>
              <w:bottom w:val="single" w:sz="4" w:space="0" w:color="auto"/>
              <w:right w:val="single" w:sz="4" w:space="0" w:color="auto"/>
            </w:tcBorders>
            <w:shd w:val="clear" w:color="auto" w:fill="auto"/>
            <w:vAlign w:val="center"/>
          </w:tcPr>
          <w:p w:rsidR="00BB3C2A" w:rsidRPr="00D41731" w:rsidRDefault="00BB3C2A" w:rsidP="00A0532B">
            <w:pPr>
              <w:spacing w:after="0" w:line="240" w:lineRule="auto"/>
              <w:jc w:val="center"/>
              <w:rPr>
                <w:rFonts w:ascii="Times New Roman" w:eastAsia="Times New Roman" w:hAnsi="Times New Roman" w:cs="Times New Roman"/>
                <w:b/>
                <w:bCs/>
                <w:sz w:val="16"/>
                <w:szCs w:val="16"/>
                <w:lang w:eastAsia="ru-RU"/>
              </w:rPr>
            </w:pPr>
          </w:p>
        </w:tc>
      </w:tr>
      <w:tr w:rsidR="00BB3C2A" w:rsidRPr="00D41731" w:rsidTr="00D759F8">
        <w:trPr>
          <w:trHeight w:val="55"/>
        </w:trPr>
        <w:tc>
          <w:tcPr>
            <w:tcW w:w="2141" w:type="pct"/>
            <w:tcBorders>
              <w:top w:val="nil"/>
              <w:left w:val="single" w:sz="4" w:space="0" w:color="auto"/>
              <w:bottom w:val="single" w:sz="4" w:space="0" w:color="auto"/>
              <w:right w:val="single" w:sz="4" w:space="0" w:color="auto"/>
            </w:tcBorders>
            <w:shd w:val="clear" w:color="auto" w:fill="auto"/>
            <w:vAlign w:val="center"/>
          </w:tcPr>
          <w:p w:rsidR="00BB3C2A" w:rsidRPr="00D41731" w:rsidRDefault="00BB3C2A" w:rsidP="00570010">
            <w:pPr>
              <w:spacing w:after="0" w:line="240" w:lineRule="auto"/>
              <w:ind w:left="426"/>
              <w:jc w:val="both"/>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 xml:space="preserve">уменьшение </w:t>
            </w:r>
          </w:p>
        </w:tc>
        <w:tc>
          <w:tcPr>
            <w:tcW w:w="935"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719"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w:t>
            </w:r>
          </w:p>
        </w:tc>
        <w:tc>
          <w:tcPr>
            <w:tcW w:w="575" w:type="pct"/>
            <w:tcBorders>
              <w:top w:val="nil"/>
              <w:left w:val="nil"/>
              <w:bottom w:val="single" w:sz="4" w:space="0" w:color="auto"/>
              <w:right w:val="single" w:sz="4" w:space="0" w:color="auto"/>
            </w:tcBorders>
            <w:shd w:val="clear" w:color="auto" w:fill="auto"/>
            <w:noWrap/>
            <w:vAlign w:val="center"/>
          </w:tcPr>
          <w:p w:rsidR="00BB3C2A" w:rsidRPr="00D41731" w:rsidRDefault="00BB3C2A" w:rsidP="00C4345F">
            <w:pPr>
              <w:spacing w:after="0" w:line="240" w:lineRule="auto"/>
              <w:jc w:val="right"/>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5 287 191,8</w:t>
            </w:r>
          </w:p>
        </w:tc>
        <w:tc>
          <w:tcPr>
            <w:tcW w:w="630" w:type="pct"/>
            <w:tcBorders>
              <w:top w:val="nil"/>
              <w:left w:val="nil"/>
              <w:bottom w:val="single" w:sz="4" w:space="0" w:color="auto"/>
              <w:right w:val="single" w:sz="4" w:space="0" w:color="auto"/>
            </w:tcBorders>
            <w:shd w:val="clear" w:color="auto" w:fill="auto"/>
            <w:vAlign w:val="center"/>
          </w:tcPr>
          <w:p w:rsidR="00BB3C2A" w:rsidRPr="00D41731" w:rsidRDefault="00BB3C2A" w:rsidP="00A0532B">
            <w:pPr>
              <w:spacing w:after="0" w:line="240" w:lineRule="auto"/>
              <w:jc w:val="center"/>
              <w:rPr>
                <w:rFonts w:ascii="Times New Roman" w:eastAsia="Times New Roman" w:hAnsi="Times New Roman" w:cs="Times New Roman"/>
                <w:b/>
                <w:bCs/>
                <w:sz w:val="16"/>
                <w:szCs w:val="16"/>
                <w:lang w:eastAsia="ru-RU"/>
              </w:rPr>
            </w:pPr>
          </w:p>
        </w:tc>
      </w:tr>
    </w:tbl>
    <w:p w:rsidR="00567076" w:rsidRDefault="00567076" w:rsidP="00567076">
      <w:pPr>
        <w:widowControl w:val="0"/>
        <w:spacing w:line="240" w:lineRule="auto"/>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 Утверждено Федеральным законом № 362-ФЗ (с изменениями).</w:t>
      </w:r>
    </w:p>
    <w:p w:rsidR="009D10C6" w:rsidRDefault="009D10C6">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br w:type="page"/>
      </w:r>
    </w:p>
    <w:p w:rsidR="00691A30" w:rsidRPr="00691A30" w:rsidRDefault="00691A30" w:rsidP="00691A30">
      <w:pPr>
        <w:pStyle w:val="a5"/>
        <w:spacing w:after="120" w:line="240" w:lineRule="auto"/>
        <w:jc w:val="right"/>
        <w:rPr>
          <w:rFonts w:ascii="Times New Roman" w:eastAsia="Times New Roman" w:hAnsi="Times New Roman" w:cs="Times New Roman"/>
          <w:snapToGrid w:val="0"/>
          <w:sz w:val="24"/>
          <w:szCs w:val="24"/>
          <w:lang w:eastAsia="ru-RU"/>
        </w:rPr>
      </w:pPr>
      <w:r w:rsidRPr="00691A30">
        <w:rPr>
          <w:rFonts w:ascii="Times New Roman" w:eastAsia="Times New Roman" w:hAnsi="Times New Roman" w:cs="Times New Roman"/>
          <w:snapToGrid w:val="0"/>
          <w:sz w:val="24"/>
          <w:szCs w:val="24"/>
          <w:lang w:eastAsia="ru-RU"/>
        </w:rPr>
        <w:lastRenderedPageBreak/>
        <w:t xml:space="preserve">Таблица № </w:t>
      </w:r>
      <w:r>
        <w:rPr>
          <w:rFonts w:ascii="Times New Roman" w:eastAsia="Times New Roman" w:hAnsi="Times New Roman" w:cs="Times New Roman"/>
          <w:snapToGrid w:val="0"/>
          <w:sz w:val="24"/>
          <w:szCs w:val="24"/>
          <w:lang w:eastAsia="ru-RU"/>
        </w:rPr>
        <w:t>3</w:t>
      </w:r>
    </w:p>
    <w:p w:rsidR="00691A30" w:rsidRPr="00691A30" w:rsidRDefault="00691A30" w:rsidP="00691A30">
      <w:pPr>
        <w:pStyle w:val="a5"/>
        <w:widowControl w:val="0"/>
        <w:spacing w:after="0" w:line="240" w:lineRule="auto"/>
        <w:jc w:val="both"/>
        <w:rPr>
          <w:rFonts w:ascii="Times New Roman" w:eastAsia="Times New Roman" w:hAnsi="Times New Roman" w:cs="Times New Roman"/>
          <w:color w:val="000000" w:themeColor="text1"/>
          <w:sz w:val="10"/>
          <w:szCs w:val="10"/>
          <w:lang w:eastAsia="ru-RU"/>
        </w:rPr>
      </w:pPr>
    </w:p>
    <w:p w:rsidR="00A82CBF" w:rsidRPr="00D41731" w:rsidRDefault="00AF1B9D" w:rsidP="00691A30">
      <w:pPr>
        <w:widowControl w:val="0"/>
        <w:spacing w:after="0" w:line="240" w:lineRule="auto"/>
        <w:jc w:val="center"/>
        <w:rPr>
          <w:rFonts w:ascii="Times New Roman" w:eastAsia="Times New Roman" w:hAnsi="Times New Roman" w:cs="Times New Roman"/>
          <w:snapToGrid w:val="0"/>
          <w:sz w:val="24"/>
          <w:szCs w:val="24"/>
          <w:lang w:eastAsia="ru-RU"/>
        </w:rPr>
      </w:pPr>
      <w:r w:rsidRPr="00691A30">
        <w:rPr>
          <w:rFonts w:ascii="Times New Roman" w:eastAsia="Times New Roman" w:hAnsi="Times New Roman" w:cs="Times New Roman"/>
          <w:color w:val="000000" w:themeColor="text1"/>
          <w:sz w:val="24"/>
          <w:szCs w:val="24"/>
          <w:lang w:eastAsia="ru-RU"/>
        </w:rPr>
        <w:t xml:space="preserve">Анализ </w:t>
      </w:r>
      <w:proofErr w:type="gramStart"/>
      <w:r w:rsidRPr="00691A30">
        <w:rPr>
          <w:rFonts w:ascii="Times New Roman" w:eastAsia="Times New Roman" w:hAnsi="Times New Roman" w:cs="Times New Roman"/>
          <w:color w:val="000000" w:themeColor="text1"/>
          <w:sz w:val="24"/>
          <w:szCs w:val="24"/>
          <w:lang w:eastAsia="ru-RU"/>
        </w:rPr>
        <w:t>исполнения показателей</w:t>
      </w:r>
      <w:r w:rsidR="00D6489D" w:rsidRPr="00691A30">
        <w:rPr>
          <w:rFonts w:ascii="Times New Roman" w:eastAsia="Times New Roman" w:hAnsi="Times New Roman" w:cs="Times New Roman"/>
          <w:color w:val="000000" w:themeColor="text1"/>
          <w:sz w:val="24"/>
          <w:szCs w:val="24"/>
          <w:lang w:eastAsia="ru-RU"/>
        </w:rPr>
        <w:t xml:space="preserve"> </w:t>
      </w:r>
      <w:r w:rsidRPr="00691A30">
        <w:rPr>
          <w:rFonts w:ascii="Times New Roman" w:eastAsia="Times New Roman" w:hAnsi="Times New Roman" w:cs="Times New Roman"/>
          <w:color w:val="000000" w:themeColor="text1"/>
          <w:sz w:val="24"/>
          <w:szCs w:val="24"/>
          <w:lang w:eastAsia="ru-RU"/>
        </w:rPr>
        <w:t>Программы государственных внутренних заимствований Российской Федерации</w:t>
      </w:r>
      <w:proofErr w:type="gramEnd"/>
      <w:r w:rsidR="00D6489D" w:rsidRPr="00691A30">
        <w:rPr>
          <w:rFonts w:ascii="Times New Roman" w:eastAsia="Times New Roman" w:hAnsi="Times New Roman" w:cs="Times New Roman"/>
          <w:color w:val="000000" w:themeColor="text1"/>
          <w:sz w:val="24"/>
          <w:szCs w:val="24"/>
          <w:lang w:eastAsia="ru-RU"/>
        </w:rPr>
        <w:t xml:space="preserve"> </w:t>
      </w:r>
      <w:r w:rsidRPr="00691A30">
        <w:rPr>
          <w:rFonts w:ascii="Times New Roman" w:eastAsia="Times New Roman" w:hAnsi="Times New Roman" w:cs="Times New Roman"/>
          <w:color w:val="000000" w:themeColor="text1"/>
          <w:sz w:val="24"/>
          <w:szCs w:val="24"/>
          <w:lang w:eastAsia="ru-RU"/>
        </w:rPr>
        <w:t xml:space="preserve">на 2018 год и на плановый период 2019 и 2020 годов </w:t>
      </w:r>
      <w:r w:rsidR="00691A30">
        <w:rPr>
          <w:rFonts w:ascii="Times New Roman" w:eastAsia="Times New Roman" w:hAnsi="Times New Roman" w:cs="Times New Roman"/>
          <w:color w:val="000000" w:themeColor="text1"/>
          <w:sz w:val="24"/>
          <w:szCs w:val="24"/>
          <w:lang w:eastAsia="ru-RU"/>
        </w:rPr>
        <w:br/>
      </w:r>
      <w:r w:rsidRPr="00691A30">
        <w:rPr>
          <w:rFonts w:ascii="Times New Roman" w:eastAsia="Times New Roman" w:hAnsi="Times New Roman" w:cs="Times New Roman"/>
          <w:color w:val="000000" w:themeColor="text1"/>
          <w:sz w:val="24"/>
          <w:szCs w:val="24"/>
          <w:lang w:eastAsia="ru-RU"/>
        </w:rPr>
        <w:t>в</w:t>
      </w:r>
      <w:r w:rsidR="00AD5395" w:rsidRPr="00691A30">
        <w:rPr>
          <w:rFonts w:ascii="Times New Roman" w:eastAsia="Times New Roman" w:hAnsi="Times New Roman" w:cs="Times New Roman"/>
          <w:color w:val="000000" w:themeColor="text1"/>
          <w:sz w:val="24"/>
          <w:szCs w:val="24"/>
          <w:lang w:eastAsia="ru-RU"/>
        </w:rPr>
        <w:t> </w:t>
      </w:r>
      <w:r w:rsidRPr="00691A30">
        <w:rPr>
          <w:rFonts w:ascii="Times New Roman" w:eastAsia="Times New Roman" w:hAnsi="Times New Roman" w:cs="Times New Roman"/>
          <w:color w:val="000000" w:themeColor="text1"/>
          <w:sz w:val="24"/>
          <w:szCs w:val="24"/>
          <w:lang w:eastAsia="ru-RU"/>
        </w:rPr>
        <w:t>части 2018 года</w:t>
      </w:r>
      <w:r w:rsidR="00D6489D" w:rsidRPr="00691A30">
        <w:rPr>
          <w:rFonts w:ascii="Times New Roman" w:eastAsia="Times New Roman" w:hAnsi="Times New Roman" w:cs="Times New Roman"/>
          <w:color w:val="000000" w:themeColor="text1"/>
          <w:sz w:val="24"/>
          <w:szCs w:val="24"/>
          <w:lang w:eastAsia="ru-RU"/>
        </w:rPr>
        <w:t>:</w:t>
      </w:r>
      <w:r w:rsidR="00691A30" w:rsidRPr="00D41731">
        <w:rPr>
          <w:rFonts w:ascii="Times New Roman" w:eastAsia="Times New Roman" w:hAnsi="Times New Roman" w:cs="Times New Roman"/>
          <w:snapToGrid w:val="0"/>
          <w:sz w:val="24"/>
          <w:szCs w:val="24"/>
          <w:lang w:eastAsia="ru-RU"/>
        </w:rPr>
        <w:t xml:space="preserve"> </w:t>
      </w:r>
    </w:p>
    <w:p w:rsidR="00AF1B9D" w:rsidRPr="00D41731" w:rsidRDefault="00AF1B9D" w:rsidP="00AF1B9D">
      <w:pPr>
        <w:widowControl w:val="0"/>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sz w:val="18"/>
          <w:szCs w:val="18"/>
          <w:lang w:eastAsia="ru-RU"/>
        </w:rPr>
      </w:pPr>
      <w:r w:rsidRPr="00D41731">
        <w:rPr>
          <w:rFonts w:ascii="Times New Roman" w:eastAsia="Times New Roman" w:hAnsi="Times New Roman" w:cs="Times New Roman"/>
          <w:snapToGrid w:val="0"/>
          <w:sz w:val="24"/>
          <w:szCs w:val="24"/>
          <w:lang w:eastAsia="ru-RU"/>
        </w:rPr>
        <w:t xml:space="preserve"> </w:t>
      </w:r>
      <w:r w:rsidRPr="00D41731">
        <w:rPr>
          <w:rFonts w:ascii="Times New Roman" w:eastAsia="Times New Roman" w:hAnsi="Times New Roman" w:cs="Times New Roman"/>
          <w:sz w:val="18"/>
          <w:szCs w:val="18"/>
          <w:lang w:eastAsia="ru-RU"/>
        </w:rPr>
        <w:t>(млн. рублей)</w:t>
      </w:r>
    </w:p>
    <w:tbl>
      <w:tblPr>
        <w:tblW w:w="10065" w:type="dxa"/>
        <w:tblInd w:w="-176" w:type="dxa"/>
        <w:tblLayout w:type="fixed"/>
        <w:tblLook w:val="00A0" w:firstRow="1" w:lastRow="0" w:firstColumn="1" w:lastColumn="0" w:noHBand="0" w:noVBand="0"/>
      </w:tblPr>
      <w:tblGrid>
        <w:gridCol w:w="1702"/>
        <w:gridCol w:w="1276"/>
        <w:gridCol w:w="1275"/>
        <w:gridCol w:w="1276"/>
        <w:gridCol w:w="1276"/>
        <w:gridCol w:w="1276"/>
        <w:gridCol w:w="1275"/>
        <w:gridCol w:w="709"/>
      </w:tblGrid>
      <w:tr w:rsidR="00AF1B9D" w:rsidRPr="00D41731" w:rsidTr="00A0532B">
        <w:trPr>
          <w:cantSplit/>
          <w:trHeight w:val="591"/>
          <w:tblHeader/>
        </w:trPr>
        <w:tc>
          <w:tcPr>
            <w:tcW w:w="1702" w:type="dxa"/>
            <w:vMerge w:val="restart"/>
            <w:tcBorders>
              <w:top w:val="single" w:sz="4" w:space="0" w:color="auto"/>
              <w:left w:val="single" w:sz="4" w:space="0" w:color="auto"/>
              <w:right w:val="single" w:sz="4" w:space="0" w:color="auto"/>
            </w:tcBorders>
            <w:noWrap/>
            <w:vAlign w:val="center"/>
          </w:tcPr>
          <w:p w:rsidR="00AF1B9D" w:rsidRPr="00D41731" w:rsidRDefault="00AF1B9D" w:rsidP="00A0532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ru-RU"/>
              </w:rPr>
            </w:pPr>
            <w:r w:rsidRPr="00D41731">
              <w:rPr>
                <w:rFonts w:ascii="Times New Roman" w:eastAsia="Times New Roman" w:hAnsi="Times New Roman" w:cs="Times New Roman"/>
                <w:b/>
                <w:sz w:val="18"/>
                <w:szCs w:val="18"/>
                <w:lang w:eastAsia="ru-RU"/>
              </w:rPr>
              <w:t>Виды долговых обязательств</w:t>
            </w:r>
          </w:p>
        </w:tc>
        <w:tc>
          <w:tcPr>
            <w:tcW w:w="2551" w:type="dxa"/>
            <w:gridSpan w:val="2"/>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spacing w:after="0" w:line="240" w:lineRule="auto"/>
              <w:ind w:left="34" w:right="34"/>
              <w:jc w:val="center"/>
              <w:rPr>
                <w:rFonts w:ascii="Times New Roman" w:eastAsia="Times New Roman" w:hAnsi="Times New Roman" w:cs="Times New Roman"/>
                <w:b/>
                <w:bCs/>
                <w:sz w:val="18"/>
                <w:szCs w:val="18"/>
                <w:lang w:eastAsia="ru-RU"/>
              </w:rPr>
            </w:pPr>
            <w:r w:rsidRPr="00D41731">
              <w:rPr>
                <w:rFonts w:ascii="Times New Roman" w:eastAsia="Times New Roman" w:hAnsi="Times New Roman" w:cs="Times New Roman"/>
                <w:b/>
                <w:bCs/>
                <w:sz w:val="18"/>
                <w:szCs w:val="18"/>
                <w:lang w:eastAsia="ru-RU"/>
              </w:rPr>
              <w:t xml:space="preserve">Федеральный закон от 5 декабря 2017 г. </w:t>
            </w:r>
          </w:p>
          <w:p w:rsidR="00AF1B9D" w:rsidRPr="00D41731" w:rsidRDefault="00AF1B9D" w:rsidP="00A0532B">
            <w:pPr>
              <w:widowControl w:val="0"/>
              <w:spacing w:after="0" w:line="240" w:lineRule="auto"/>
              <w:ind w:left="34" w:right="34"/>
              <w:jc w:val="center"/>
              <w:rPr>
                <w:rFonts w:ascii="Times New Roman" w:eastAsia="Times New Roman" w:hAnsi="Times New Roman" w:cs="Times New Roman"/>
                <w:sz w:val="20"/>
                <w:szCs w:val="20"/>
                <w:lang w:eastAsia="ru-RU"/>
              </w:rPr>
            </w:pPr>
            <w:r w:rsidRPr="00D41731">
              <w:rPr>
                <w:rFonts w:ascii="Times New Roman" w:eastAsia="Times New Roman" w:hAnsi="Times New Roman" w:cs="Times New Roman"/>
                <w:b/>
                <w:bCs/>
                <w:sz w:val="18"/>
                <w:szCs w:val="18"/>
                <w:lang w:eastAsia="ru-RU"/>
              </w:rPr>
              <w:t>№ 362-ФЗ</w:t>
            </w:r>
          </w:p>
        </w:tc>
        <w:tc>
          <w:tcPr>
            <w:tcW w:w="3828" w:type="dxa"/>
            <w:gridSpan w:val="3"/>
            <w:tcBorders>
              <w:top w:val="single" w:sz="4" w:space="0" w:color="auto"/>
              <w:left w:val="nil"/>
              <w:bottom w:val="single" w:sz="4" w:space="0" w:color="auto"/>
              <w:right w:val="single" w:sz="4" w:space="0" w:color="auto"/>
            </w:tcBorders>
            <w:vAlign w:val="center"/>
          </w:tcPr>
          <w:p w:rsidR="00AF1B9D" w:rsidRPr="00D41731" w:rsidRDefault="00AF1B9D" w:rsidP="00B43535">
            <w:pPr>
              <w:widowControl w:val="0"/>
              <w:spacing w:after="0" w:line="240" w:lineRule="auto"/>
              <w:ind w:left="34" w:right="34"/>
              <w:jc w:val="center"/>
              <w:rPr>
                <w:rFonts w:ascii="Times New Roman" w:eastAsia="Times New Roman" w:hAnsi="Times New Roman" w:cs="Times New Roman"/>
                <w:b/>
                <w:bCs/>
                <w:sz w:val="18"/>
                <w:szCs w:val="18"/>
                <w:lang w:eastAsia="ru-RU"/>
              </w:rPr>
            </w:pPr>
            <w:r w:rsidRPr="00D41731">
              <w:rPr>
                <w:rFonts w:ascii="Times New Roman" w:eastAsia="Times New Roman" w:hAnsi="Times New Roman" w:cs="Times New Roman"/>
                <w:b/>
                <w:bCs/>
                <w:sz w:val="18"/>
                <w:szCs w:val="18"/>
                <w:lang w:eastAsia="ru-RU"/>
              </w:rPr>
              <w:t xml:space="preserve">Исполнено </w:t>
            </w:r>
            <w:r w:rsidRPr="00D41731">
              <w:rPr>
                <w:rFonts w:ascii="Times New Roman" w:eastAsia="Times New Roman" w:hAnsi="Times New Roman" w:cs="Times New Roman"/>
                <w:b/>
                <w:bCs/>
                <w:sz w:val="18"/>
                <w:szCs w:val="18"/>
                <w:lang w:eastAsia="ru-RU"/>
              </w:rPr>
              <w:br/>
              <w:t xml:space="preserve">по состоянию на </w:t>
            </w:r>
            <w:r w:rsidR="00B43535" w:rsidRPr="00D41731">
              <w:rPr>
                <w:rFonts w:ascii="Times New Roman" w:eastAsia="Times New Roman" w:hAnsi="Times New Roman" w:cs="Times New Roman"/>
                <w:b/>
                <w:bCs/>
                <w:sz w:val="18"/>
                <w:szCs w:val="18"/>
                <w:lang w:eastAsia="ru-RU"/>
              </w:rPr>
              <w:t>1 января 2019 года</w:t>
            </w:r>
          </w:p>
        </w:tc>
        <w:tc>
          <w:tcPr>
            <w:tcW w:w="1984" w:type="dxa"/>
            <w:gridSpan w:val="2"/>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spacing w:after="0" w:line="240" w:lineRule="auto"/>
              <w:ind w:left="34" w:right="34"/>
              <w:jc w:val="center"/>
              <w:rPr>
                <w:rFonts w:ascii="Times New Roman" w:eastAsia="Times New Roman" w:hAnsi="Times New Roman" w:cs="Times New Roman"/>
                <w:sz w:val="20"/>
                <w:szCs w:val="20"/>
                <w:lang w:eastAsia="ru-RU"/>
              </w:rPr>
            </w:pPr>
            <w:r w:rsidRPr="00D41731">
              <w:rPr>
                <w:rFonts w:ascii="Times New Roman" w:eastAsia="Times New Roman" w:hAnsi="Times New Roman" w:cs="Times New Roman"/>
                <w:b/>
                <w:bCs/>
                <w:sz w:val="18"/>
                <w:szCs w:val="18"/>
                <w:lang w:eastAsia="ru-RU"/>
              </w:rPr>
              <w:t>Перевыполнено (</w:t>
            </w:r>
            <w:proofErr w:type="spellStart"/>
            <w:r w:rsidRPr="00D41731">
              <w:rPr>
                <w:rFonts w:ascii="Times New Roman" w:eastAsia="Times New Roman" w:hAnsi="Times New Roman" w:cs="Times New Roman"/>
                <w:b/>
                <w:bCs/>
                <w:sz w:val="18"/>
                <w:szCs w:val="18"/>
                <w:lang w:eastAsia="ru-RU"/>
              </w:rPr>
              <w:t>недовыполнено</w:t>
            </w:r>
            <w:proofErr w:type="spellEnd"/>
            <w:r w:rsidRPr="00D41731">
              <w:rPr>
                <w:rFonts w:ascii="Times New Roman" w:eastAsia="Times New Roman" w:hAnsi="Times New Roman" w:cs="Times New Roman"/>
                <w:b/>
                <w:bCs/>
                <w:sz w:val="18"/>
                <w:szCs w:val="18"/>
                <w:lang w:eastAsia="ru-RU"/>
              </w:rPr>
              <w:t>)</w:t>
            </w:r>
          </w:p>
        </w:tc>
      </w:tr>
      <w:tr w:rsidR="00AF1B9D" w:rsidRPr="00D41731" w:rsidTr="00A0532B">
        <w:trPr>
          <w:cantSplit/>
          <w:trHeight w:val="20"/>
          <w:tblHeader/>
        </w:trPr>
        <w:tc>
          <w:tcPr>
            <w:tcW w:w="1702" w:type="dxa"/>
            <w:vMerge/>
            <w:tcBorders>
              <w:left w:val="single" w:sz="4" w:space="0" w:color="auto"/>
              <w:bottom w:val="single" w:sz="4" w:space="0" w:color="auto"/>
              <w:right w:val="single" w:sz="4" w:space="0" w:color="auto"/>
            </w:tcBorders>
            <w:noWrap/>
            <w:vAlign w:val="center"/>
          </w:tcPr>
          <w:p w:rsidR="00AF1B9D" w:rsidRPr="00D41731" w:rsidRDefault="00AF1B9D" w:rsidP="00A0532B">
            <w:pPr>
              <w:widowControl w:val="0"/>
              <w:spacing w:after="0" w:line="240" w:lineRule="auto"/>
              <w:jc w:val="center"/>
              <w:rPr>
                <w:rFonts w:ascii="Times New Roman" w:eastAsia="Times New Roman" w:hAnsi="Times New Roman" w:cs="Times New Roman"/>
                <w:sz w:val="18"/>
                <w:szCs w:val="18"/>
                <w:lang w:eastAsia="ru-RU"/>
              </w:rPr>
            </w:pPr>
          </w:p>
        </w:tc>
        <w:tc>
          <w:tcPr>
            <w:tcW w:w="1276"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spacing w:after="0" w:line="240" w:lineRule="auto"/>
              <w:ind w:left="-108" w:right="-108"/>
              <w:jc w:val="center"/>
              <w:rPr>
                <w:rFonts w:ascii="Times New Roman" w:eastAsia="Times New Roman" w:hAnsi="Times New Roman" w:cs="Times New Roman"/>
                <w:b/>
                <w:bCs/>
                <w:sz w:val="18"/>
                <w:szCs w:val="18"/>
                <w:lang w:eastAsia="ru-RU"/>
              </w:rPr>
            </w:pPr>
            <w:r w:rsidRPr="00D41731">
              <w:rPr>
                <w:rFonts w:ascii="Times New Roman" w:eastAsia="Times New Roman" w:hAnsi="Times New Roman" w:cs="Times New Roman"/>
                <w:b/>
                <w:bCs/>
                <w:sz w:val="18"/>
                <w:szCs w:val="18"/>
                <w:lang w:eastAsia="ru-RU"/>
              </w:rPr>
              <w:t>начальная редакция</w:t>
            </w:r>
          </w:p>
        </w:tc>
        <w:tc>
          <w:tcPr>
            <w:tcW w:w="1275"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spacing w:after="0" w:line="240" w:lineRule="auto"/>
              <w:ind w:left="34" w:right="34"/>
              <w:jc w:val="center"/>
              <w:rPr>
                <w:rFonts w:ascii="Times New Roman" w:eastAsia="Times New Roman" w:hAnsi="Times New Roman" w:cs="Times New Roman"/>
                <w:b/>
                <w:bCs/>
                <w:sz w:val="18"/>
                <w:szCs w:val="18"/>
                <w:lang w:eastAsia="ru-RU"/>
              </w:rPr>
            </w:pPr>
            <w:r w:rsidRPr="00D41731">
              <w:rPr>
                <w:rFonts w:ascii="Times New Roman" w:eastAsia="Times New Roman" w:hAnsi="Times New Roman" w:cs="Times New Roman"/>
                <w:b/>
                <w:bCs/>
                <w:sz w:val="18"/>
                <w:szCs w:val="18"/>
                <w:lang w:eastAsia="ru-RU"/>
              </w:rPr>
              <w:t>уточненная редакция</w:t>
            </w:r>
          </w:p>
        </w:tc>
        <w:tc>
          <w:tcPr>
            <w:tcW w:w="1276"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spacing w:after="0" w:line="240" w:lineRule="auto"/>
              <w:ind w:left="-108" w:right="-107"/>
              <w:jc w:val="center"/>
              <w:rPr>
                <w:rFonts w:ascii="Times New Roman" w:eastAsia="Times New Roman" w:hAnsi="Times New Roman" w:cs="Times New Roman"/>
                <w:b/>
                <w:bCs/>
                <w:sz w:val="18"/>
                <w:szCs w:val="18"/>
                <w:lang w:eastAsia="ru-RU"/>
              </w:rPr>
            </w:pPr>
            <w:r w:rsidRPr="00D41731">
              <w:rPr>
                <w:rFonts w:ascii="Times New Roman" w:eastAsia="Times New Roman" w:hAnsi="Times New Roman" w:cs="Times New Roman"/>
                <w:b/>
                <w:bCs/>
                <w:sz w:val="18"/>
                <w:szCs w:val="18"/>
                <w:lang w:eastAsia="ru-RU"/>
              </w:rPr>
              <w:t>через финансовые органы</w:t>
            </w:r>
          </w:p>
        </w:tc>
        <w:tc>
          <w:tcPr>
            <w:tcW w:w="1276"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spacing w:after="0" w:line="240" w:lineRule="auto"/>
              <w:ind w:left="34" w:right="34"/>
              <w:jc w:val="center"/>
              <w:rPr>
                <w:rFonts w:ascii="Times New Roman" w:eastAsia="Times New Roman" w:hAnsi="Times New Roman" w:cs="Times New Roman"/>
                <w:b/>
                <w:bCs/>
                <w:sz w:val="18"/>
                <w:szCs w:val="18"/>
                <w:lang w:eastAsia="ru-RU"/>
              </w:rPr>
            </w:pPr>
            <w:r w:rsidRPr="00D41731">
              <w:rPr>
                <w:rFonts w:ascii="Times New Roman" w:eastAsia="Times New Roman" w:hAnsi="Times New Roman" w:cs="Times New Roman"/>
                <w:b/>
                <w:bCs/>
                <w:sz w:val="18"/>
                <w:szCs w:val="18"/>
                <w:lang w:eastAsia="ru-RU"/>
              </w:rPr>
              <w:t>некассовые операции</w:t>
            </w:r>
          </w:p>
        </w:tc>
        <w:tc>
          <w:tcPr>
            <w:tcW w:w="1276"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spacing w:after="0" w:line="240" w:lineRule="auto"/>
              <w:ind w:left="34" w:right="34"/>
              <w:jc w:val="center"/>
              <w:rPr>
                <w:rFonts w:ascii="Times New Roman" w:eastAsia="Times New Roman" w:hAnsi="Times New Roman" w:cs="Times New Roman"/>
                <w:b/>
                <w:bCs/>
                <w:sz w:val="18"/>
                <w:szCs w:val="18"/>
                <w:lang w:eastAsia="ru-RU"/>
              </w:rPr>
            </w:pPr>
            <w:r w:rsidRPr="00D41731">
              <w:rPr>
                <w:rFonts w:ascii="Times New Roman" w:eastAsia="Times New Roman" w:hAnsi="Times New Roman" w:cs="Times New Roman"/>
                <w:b/>
                <w:bCs/>
                <w:sz w:val="18"/>
                <w:szCs w:val="18"/>
                <w:lang w:eastAsia="ru-RU"/>
              </w:rPr>
              <w:t>итого</w:t>
            </w:r>
          </w:p>
        </w:tc>
        <w:tc>
          <w:tcPr>
            <w:tcW w:w="1275"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spacing w:after="0" w:line="240" w:lineRule="auto"/>
              <w:ind w:left="-108" w:right="-108"/>
              <w:jc w:val="center"/>
              <w:rPr>
                <w:rFonts w:ascii="Times New Roman" w:eastAsia="Times New Roman" w:hAnsi="Times New Roman" w:cs="Times New Roman"/>
                <w:b/>
                <w:bCs/>
                <w:sz w:val="18"/>
                <w:szCs w:val="18"/>
                <w:lang w:eastAsia="ru-RU"/>
              </w:rPr>
            </w:pPr>
            <w:r w:rsidRPr="00D41731">
              <w:rPr>
                <w:rFonts w:ascii="Times New Roman" w:eastAsia="Times New Roman" w:hAnsi="Times New Roman" w:cs="Times New Roman"/>
                <w:b/>
                <w:bCs/>
                <w:sz w:val="18"/>
                <w:szCs w:val="18"/>
                <w:lang w:eastAsia="ru-RU"/>
              </w:rPr>
              <w:t>Сумма</w:t>
            </w:r>
          </w:p>
        </w:tc>
        <w:tc>
          <w:tcPr>
            <w:tcW w:w="709"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ru-RU"/>
              </w:rPr>
            </w:pPr>
            <w:r w:rsidRPr="00D41731">
              <w:rPr>
                <w:rFonts w:ascii="Times New Roman" w:eastAsia="Times New Roman" w:hAnsi="Times New Roman" w:cs="Times New Roman"/>
                <w:b/>
                <w:sz w:val="20"/>
                <w:szCs w:val="20"/>
                <w:lang w:eastAsia="ru-RU"/>
              </w:rPr>
              <w:t>%</w:t>
            </w:r>
          </w:p>
        </w:tc>
      </w:tr>
      <w:tr w:rsidR="00AF1B9D" w:rsidRPr="00D41731" w:rsidTr="00A0532B">
        <w:trPr>
          <w:cantSplit/>
          <w:trHeight w:val="20"/>
          <w:tblHeader/>
        </w:trPr>
        <w:tc>
          <w:tcPr>
            <w:tcW w:w="1702" w:type="dxa"/>
            <w:tcBorders>
              <w:left w:val="single" w:sz="4" w:space="0" w:color="auto"/>
              <w:bottom w:val="single" w:sz="4" w:space="0" w:color="auto"/>
              <w:right w:val="single" w:sz="4" w:space="0" w:color="auto"/>
            </w:tcBorders>
            <w:noWrap/>
            <w:vAlign w:val="center"/>
          </w:tcPr>
          <w:p w:rsidR="00AF1B9D" w:rsidRPr="00D41731" w:rsidRDefault="00AF1B9D" w:rsidP="00A0532B">
            <w:pPr>
              <w:widowControl w:val="0"/>
              <w:spacing w:after="0" w:line="240" w:lineRule="auto"/>
              <w:jc w:val="center"/>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1</w:t>
            </w:r>
          </w:p>
        </w:tc>
        <w:tc>
          <w:tcPr>
            <w:tcW w:w="1276"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spacing w:after="0" w:line="240" w:lineRule="auto"/>
              <w:ind w:left="-108" w:right="-108"/>
              <w:jc w:val="center"/>
              <w:rPr>
                <w:rFonts w:ascii="Times New Roman" w:eastAsia="Times New Roman" w:hAnsi="Times New Roman" w:cs="Times New Roman"/>
                <w:bCs/>
                <w:sz w:val="16"/>
                <w:szCs w:val="16"/>
                <w:lang w:eastAsia="ru-RU"/>
              </w:rPr>
            </w:pPr>
            <w:r w:rsidRPr="00D41731">
              <w:rPr>
                <w:rFonts w:ascii="Times New Roman" w:eastAsia="Times New Roman" w:hAnsi="Times New Roman" w:cs="Times New Roman"/>
                <w:bCs/>
                <w:sz w:val="16"/>
                <w:szCs w:val="16"/>
                <w:lang w:eastAsia="ru-RU"/>
              </w:rPr>
              <w:t>2</w:t>
            </w:r>
          </w:p>
        </w:tc>
        <w:tc>
          <w:tcPr>
            <w:tcW w:w="1275"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spacing w:after="0" w:line="240" w:lineRule="auto"/>
              <w:ind w:left="34" w:right="34"/>
              <w:jc w:val="center"/>
              <w:rPr>
                <w:rFonts w:ascii="Times New Roman" w:eastAsia="Times New Roman" w:hAnsi="Times New Roman" w:cs="Times New Roman"/>
                <w:bCs/>
                <w:sz w:val="16"/>
                <w:szCs w:val="16"/>
                <w:lang w:eastAsia="ru-RU"/>
              </w:rPr>
            </w:pPr>
            <w:r w:rsidRPr="00D41731">
              <w:rPr>
                <w:rFonts w:ascii="Times New Roman" w:eastAsia="Times New Roman" w:hAnsi="Times New Roman" w:cs="Times New Roman"/>
                <w:bCs/>
                <w:sz w:val="16"/>
                <w:szCs w:val="16"/>
                <w:lang w:eastAsia="ru-RU"/>
              </w:rPr>
              <w:t>3</w:t>
            </w:r>
          </w:p>
        </w:tc>
        <w:tc>
          <w:tcPr>
            <w:tcW w:w="1276"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spacing w:after="0" w:line="240" w:lineRule="auto"/>
              <w:ind w:left="-108" w:right="-107"/>
              <w:jc w:val="center"/>
              <w:rPr>
                <w:rFonts w:ascii="Times New Roman" w:eastAsia="Times New Roman" w:hAnsi="Times New Roman" w:cs="Times New Roman"/>
                <w:bCs/>
                <w:sz w:val="16"/>
                <w:szCs w:val="16"/>
                <w:lang w:eastAsia="ru-RU"/>
              </w:rPr>
            </w:pPr>
            <w:r w:rsidRPr="00D41731">
              <w:rPr>
                <w:rFonts w:ascii="Times New Roman" w:eastAsia="Times New Roman" w:hAnsi="Times New Roman" w:cs="Times New Roman"/>
                <w:bCs/>
                <w:sz w:val="16"/>
                <w:szCs w:val="16"/>
                <w:lang w:eastAsia="ru-RU"/>
              </w:rPr>
              <w:t>4</w:t>
            </w:r>
          </w:p>
        </w:tc>
        <w:tc>
          <w:tcPr>
            <w:tcW w:w="1276"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spacing w:after="0" w:line="240" w:lineRule="auto"/>
              <w:ind w:left="34" w:right="34"/>
              <w:jc w:val="center"/>
              <w:rPr>
                <w:rFonts w:ascii="Times New Roman" w:eastAsia="Times New Roman" w:hAnsi="Times New Roman" w:cs="Times New Roman"/>
                <w:bCs/>
                <w:sz w:val="16"/>
                <w:szCs w:val="16"/>
                <w:lang w:eastAsia="ru-RU"/>
              </w:rPr>
            </w:pPr>
            <w:r w:rsidRPr="00D41731">
              <w:rPr>
                <w:rFonts w:ascii="Times New Roman" w:eastAsia="Times New Roman" w:hAnsi="Times New Roman" w:cs="Times New Roman"/>
                <w:bCs/>
                <w:sz w:val="16"/>
                <w:szCs w:val="16"/>
                <w:lang w:eastAsia="ru-RU"/>
              </w:rPr>
              <w:t>5</w:t>
            </w:r>
          </w:p>
        </w:tc>
        <w:tc>
          <w:tcPr>
            <w:tcW w:w="1276"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spacing w:after="0" w:line="240" w:lineRule="auto"/>
              <w:ind w:left="34" w:right="34"/>
              <w:jc w:val="center"/>
              <w:rPr>
                <w:rFonts w:ascii="Times New Roman" w:eastAsia="Times New Roman" w:hAnsi="Times New Roman" w:cs="Times New Roman"/>
                <w:bCs/>
                <w:sz w:val="16"/>
                <w:szCs w:val="16"/>
                <w:lang w:eastAsia="ru-RU"/>
              </w:rPr>
            </w:pPr>
            <w:r w:rsidRPr="00D41731">
              <w:rPr>
                <w:rFonts w:ascii="Times New Roman" w:eastAsia="Times New Roman" w:hAnsi="Times New Roman" w:cs="Times New Roman"/>
                <w:bCs/>
                <w:sz w:val="16"/>
                <w:szCs w:val="16"/>
                <w:lang w:eastAsia="ru-RU"/>
              </w:rPr>
              <w:t>6</w:t>
            </w:r>
          </w:p>
        </w:tc>
        <w:tc>
          <w:tcPr>
            <w:tcW w:w="1275"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spacing w:after="0" w:line="240" w:lineRule="auto"/>
              <w:ind w:left="-108" w:right="-108"/>
              <w:jc w:val="center"/>
              <w:rPr>
                <w:rFonts w:ascii="Times New Roman" w:eastAsia="Times New Roman" w:hAnsi="Times New Roman" w:cs="Times New Roman"/>
                <w:bCs/>
                <w:sz w:val="16"/>
                <w:szCs w:val="16"/>
                <w:lang w:eastAsia="ru-RU"/>
              </w:rPr>
            </w:pPr>
            <w:r w:rsidRPr="00D41731">
              <w:rPr>
                <w:rFonts w:ascii="Times New Roman" w:eastAsia="Times New Roman" w:hAnsi="Times New Roman" w:cs="Times New Roman"/>
                <w:bCs/>
                <w:sz w:val="16"/>
                <w:szCs w:val="16"/>
                <w:lang w:eastAsia="ru-RU"/>
              </w:rPr>
              <w:t>7=3-6</w:t>
            </w:r>
          </w:p>
        </w:tc>
        <w:tc>
          <w:tcPr>
            <w:tcW w:w="709"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ru-RU"/>
              </w:rPr>
            </w:pPr>
            <w:r w:rsidRPr="00D41731">
              <w:rPr>
                <w:rFonts w:ascii="Times New Roman" w:eastAsia="Times New Roman" w:hAnsi="Times New Roman" w:cs="Times New Roman"/>
                <w:sz w:val="16"/>
                <w:szCs w:val="16"/>
                <w:lang w:eastAsia="ru-RU"/>
              </w:rPr>
              <w:t>8</w:t>
            </w:r>
          </w:p>
        </w:tc>
      </w:tr>
      <w:tr w:rsidR="00AF1B9D" w:rsidRPr="00D41731" w:rsidTr="004D0097">
        <w:trPr>
          <w:cantSplit/>
          <w:trHeight w:val="170"/>
        </w:trPr>
        <w:tc>
          <w:tcPr>
            <w:tcW w:w="1702" w:type="dxa"/>
            <w:tcBorders>
              <w:top w:val="nil"/>
              <w:left w:val="single" w:sz="4" w:space="0" w:color="auto"/>
              <w:bottom w:val="single" w:sz="4" w:space="0" w:color="auto"/>
              <w:right w:val="single" w:sz="4" w:space="0" w:color="auto"/>
            </w:tcBorders>
            <w:noWrap/>
          </w:tcPr>
          <w:p w:rsidR="00AF1B9D" w:rsidRPr="00D41731" w:rsidRDefault="00AF1B9D" w:rsidP="00A0532B">
            <w:pPr>
              <w:widowControl w:val="0"/>
              <w:spacing w:after="0" w:line="240" w:lineRule="auto"/>
              <w:jc w:val="both"/>
              <w:rPr>
                <w:rFonts w:ascii="Times New Roman" w:eastAsia="Times New Roman" w:hAnsi="Times New Roman" w:cs="Times New Roman"/>
                <w:sz w:val="18"/>
                <w:szCs w:val="18"/>
                <w:lang w:eastAsia="ru-RU"/>
              </w:rPr>
            </w:pPr>
            <w:r w:rsidRPr="00D41731">
              <w:rPr>
                <w:rFonts w:ascii="Times New Roman" w:eastAsia="Times New Roman" w:hAnsi="Times New Roman" w:cs="Times New Roman"/>
                <w:sz w:val="18"/>
                <w:szCs w:val="18"/>
                <w:lang w:eastAsia="ru-RU"/>
              </w:rPr>
              <w:t>Государственные ценные бумаги Российской Федерации, всего:</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817 041,9</w:t>
            </w:r>
          </w:p>
        </w:tc>
        <w:tc>
          <w:tcPr>
            <w:tcW w:w="1275"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ind w:firstLine="108"/>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661 770,8</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507 535,9</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0</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ind w:firstLine="108"/>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507 535,9</w:t>
            </w:r>
          </w:p>
        </w:tc>
        <w:tc>
          <w:tcPr>
            <w:tcW w:w="1275" w:type="dxa"/>
            <w:tcBorders>
              <w:top w:val="nil"/>
              <w:left w:val="nil"/>
              <w:bottom w:val="single" w:sz="4" w:space="0" w:color="auto"/>
              <w:right w:val="single" w:sz="4" w:space="0" w:color="auto"/>
            </w:tcBorders>
            <w:shd w:val="clear" w:color="auto" w:fill="FFFFFF" w:themeFill="background1"/>
            <w:vAlign w:val="center"/>
          </w:tcPr>
          <w:p w:rsidR="00AF1B9D" w:rsidRPr="00D41731" w:rsidRDefault="00AF1B9D" w:rsidP="00A0532B">
            <w:pPr>
              <w:widowControl w:val="0"/>
              <w:overflowPunct w:val="0"/>
              <w:autoSpaceDE w:val="0"/>
              <w:autoSpaceDN w:val="0"/>
              <w:adjustRightInd w:val="0"/>
              <w:spacing w:after="0" w:line="240" w:lineRule="auto"/>
              <w:ind w:firstLine="108"/>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154 234,9</w:t>
            </w:r>
          </w:p>
        </w:tc>
        <w:tc>
          <w:tcPr>
            <w:tcW w:w="709"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ind w:firstLine="108"/>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23,3 </w:t>
            </w:r>
          </w:p>
        </w:tc>
      </w:tr>
      <w:tr w:rsidR="00AF1B9D" w:rsidRPr="00D41731" w:rsidTr="00A0532B">
        <w:trPr>
          <w:cantSplit/>
          <w:trHeight w:val="53"/>
        </w:trPr>
        <w:tc>
          <w:tcPr>
            <w:tcW w:w="1702" w:type="dxa"/>
            <w:tcBorders>
              <w:top w:val="nil"/>
              <w:left w:val="single" w:sz="4" w:space="0" w:color="auto"/>
              <w:bottom w:val="single" w:sz="4" w:space="0" w:color="auto"/>
              <w:right w:val="single" w:sz="4" w:space="0" w:color="auto"/>
            </w:tcBorders>
            <w:noWrap/>
            <w:vAlign w:val="center"/>
          </w:tcPr>
          <w:p w:rsidR="00AF1B9D" w:rsidRPr="00D41731" w:rsidRDefault="00AF1B9D" w:rsidP="00A0532B">
            <w:pPr>
              <w:widowControl w:val="0"/>
              <w:spacing w:after="0" w:line="240" w:lineRule="auto"/>
              <w:ind w:left="34" w:right="34"/>
              <w:jc w:val="both"/>
              <w:rPr>
                <w:rFonts w:ascii="Times New Roman" w:eastAsia="Times New Roman" w:hAnsi="Times New Roman" w:cs="Times New Roman"/>
                <w:sz w:val="18"/>
                <w:szCs w:val="18"/>
                <w:lang w:eastAsia="ru-RU"/>
              </w:rPr>
            </w:pPr>
            <w:r w:rsidRPr="00D41731">
              <w:rPr>
                <w:rFonts w:ascii="Times New Roman" w:eastAsia="Times New Roman" w:hAnsi="Times New Roman" w:cs="Times New Roman"/>
                <w:sz w:val="18"/>
                <w:szCs w:val="18"/>
                <w:lang w:eastAsia="ru-RU"/>
              </w:rPr>
              <w:t>в том числе:</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spacing w:after="0" w:line="240" w:lineRule="auto"/>
              <w:jc w:val="center"/>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 </w:t>
            </w:r>
          </w:p>
        </w:tc>
        <w:tc>
          <w:tcPr>
            <w:tcW w:w="1275" w:type="dxa"/>
            <w:tcBorders>
              <w:top w:val="nil"/>
              <w:left w:val="nil"/>
              <w:bottom w:val="single" w:sz="4" w:space="0" w:color="auto"/>
              <w:right w:val="single" w:sz="4" w:space="0" w:color="auto"/>
            </w:tcBorders>
            <w:vAlign w:val="center"/>
          </w:tcPr>
          <w:p w:rsidR="00AF1B9D" w:rsidRPr="00D41731" w:rsidRDefault="00AF1B9D" w:rsidP="00A0532B">
            <w:pPr>
              <w:widowControl w:val="0"/>
              <w:spacing w:after="0" w:line="240" w:lineRule="auto"/>
              <w:jc w:val="center"/>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 </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 </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spacing w:after="0" w:line="240" w:lineRule="auto"/>
              <w:jc w:val="center"/>
              <w:rPr>
                <w:rFonts w:ascii="Times New Roman" w:eastAsia="Times New Roman" w:hAnsi="Times New Roman" w:cs="Times New Roman"/>
                <w:bCs/>
                <w:sz w:val="18"/>
                <w:szCs w:val="18"/>
                <w:lang w:eastAsia="ru-RU"/>
              </w:rPr>
            </w:pPr>
            <w:r w:rsidRPr="00D41731">
              <w:rPr>
                <w:rFonts w:ascii="Times New Roman" w:hAnsi="Times New Roman" w:cs="Times New Roman"/>
                <w:sz w:val="18"/>
                <w:szCs w:val="18"/>
              </w:rPr>
              <w:t> </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ind w:firstLine="108"/>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 </w:t>
            </w:r>
          </w:p>
        </w:tc>
        <w:tc>
          <w:tcPr>
            <w:tcW w:w="1275" w:type="dxa"/>
            <w:tcBorders>
              <w:top w:val="nil"/>
              <w:left w:val="nil"/>
              <w:bottom w:val="single" w:sz="4" w:space="0" w:color="auto"/>
              <w:right w:val="single" w:sz="4" w:space="0" w:color="auto"/>
            </w:tcBorders>
            <w:shd w:val="clear" w:color="auto" w:fill="FFFFFF" w:themeFill="background1"/>
            <w:vAlign w:val="center"/>
          </w:tcPr>
          <w:p w:rsidR="00AF1B9D" w:rsidRPr="00D41731" w:rsidRDefault="00AF1B9D" w:rsidP="00A0532B">
            <w:pPr>
              <w:widowControl w:val="0"/>
              <w:overflowPunct w:val="0"/>
              <w:autoSpaceDE w:val="0"/>
              <w:autoSpaceDN w:val="0"/>
              <w:adjustRightInd w:val="0"/>
              <w:spacing w:after="0" w:line="240" w:lineRule="auto"/>
              <w:ind w:firstLine="108"/>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 </w:t>
            </w:r>
          </w:p>
        </w:tc>
        <w:tc>
          <w:tcPr>
            <w:tcW w:w="709"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ind w:firstLine="108"/>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 </w:t>
            </w:r>
          </w:p>
        </w:tc>
      </w:tr>
      <w:tr w:rsidR="00AF1B9D" w:rsidRPr="00D41731" w:rsidTr="00A0532B">
        <w:trPr>
          <w:cantSplit/>
          <w:trHeight w:val="53"/>
        </w:trPr>
        <w:tc>
          <w:tcPr>
            <w:tcW w:w="1702" w:type="dxa"/>
            <w:tcBorders>
              <w:top w:val="nil"/>
              <w:left w:val="single" w:sz="4" w:space="0" w:color="auto"/>
              <w:bottom w:val="single" w:sz="4" w:space="0" w:color="auto"/>
              <w:right w:val="single" w:sz="4" w:space="0" w:color="auto"/>
            </w:tcBorders>
            <w:noWrap/>
            <w:vAlign w:val="center"/>
          </w:tcPr>
          <w:p w:rsidR="00AF1B9D" w:rsidRPr="00D41731" w:rsidRDefault="00AF1B9D" w:rsidP="00A0532B">
            <w:pPr>
              <w:widowControl w:val="0"/>
              <w:spacing w:after="0" w:line="240" w:lineRule="auto"/>
              <w:ind w:left="34" w:right="34"/>
              <w:jc w:val="center"/>
              <w:rPr>
                <w:rFonts w:ascii="Times New Roman" w:eastAsia="Times New Roman" w:hAnsi="Times New Roman" w:cs="Times New Roman"/>
                <w:sz w:val="18"/>
                <w:szCs w:val="18"/>
                <w:lang w:eastAsia="ru-RU"/>
              </w:rPr>
            </w:pPr>
            <w:r w:rsidRPr="00D41731">
              <w:rPr>
                <w:rFonts w:ascii="Times New Roman" w:eastAsia="Times New Roman" w:hAnsi="Times New Roman" w:cs="Times New Roman"/>
                <w:sz w:val="18"/>
                <w:szCs w:val="18"/>
                <w:lang w:eastAsia="ru-RU"/>
              </w:rPr>
              <w:t>Размещение</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1 448 132,6</w:t>
            </w:r>
          </w:p>
        </w:tc>
        <w:tc>
          <w:tcPr>
            <w:tcW w:w="1275"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ind w:firstLine="108"/>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1 192 861,6</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 xml:space="preserve">1 036 575,0   </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spacing w:after="0" w:line="240" w:lineRule="auto"/>
              <w:jc w:val="center"/>
              <w:rPr>
                <w:rFonts w:ascii="Times New Roman" w:eastAsia="Times New Roman" w:hAnsi="Times New Roman" w:cs="Times New Roman"/>
                <w:bCs/>
                <w:sz w:val="18"/>
                <w:szCs w:val="18"/>
                <w:lang w:eastAsia="ru-RU"/>
              </w:rPr>
            </w:pPr>
            <w:r w:rsidRPr="00D41731">
              <w:rPr>
                <w:rFonts w:ascii="Times New Roman" w:hAnsi="Times New Roman" w:cs="Times New Roman"/>
                <w:sz w:val="18"/>
                <w:szCs w:val="18"/>
              </w:rPr>
              <w:t>0</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ind w:firstLine="108"/>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1 036 575,0</w:t>
            </w:r>
          </w:p>
        </w:tc>
        <w:tc>
          <w:tcPr>
            <w:tcW w:w="1275" w:type="dxa"/>
            <w:tcBorders>
              <w:top w:val="nil"/>
              <w:left w:val="nil"/>
              <w:bottom w:val="single" w:sz="4" w:space="0" w:color="auto"/>
              <w:right w:val="single" w:sz="4" w:space="0" w:color="auto"/>
            </w:tcBorders>
            <w:shd w:val="clear" w:color="auto" w:fill="FFFFFF" w:themeFill="background1"/>
            <w:vAlign w:val="center"/>
          </w:tcPr>
          <w:p w:rsidR="00AF1B9D" w:rsidRPr="00D41731" w:rsidRDefault="00AF1B9D" w:rsidP="00A0532B">
            <w:pPr>
              <w:widowControl w:val="0"/>
              <w:overflowPunct w:val="0"/>
              <w:autoSpaceDE w:val="0"/>
              <w:autoSpaceDN w:val="0"/>
              <w:adjustRightInd w:val="0"/>
              <w:spacing w:after="0" w:line="240" w:lineRule="auto"/>
              <w:ind w:firstLine="108"/>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156 286,6</w:t>
            </w:r>
          </w:p>
        </w:tc>
        <w:tc>
          <w:tcPr>
            <w:tcW w:w="709"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ind w:firstLine="108"/>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13,1</w:t>
            </w:r>
          </w:p>
        </w:tc>
      </w:tr>
      <w:tr w:rsidR="00AF1B9D" w:rsidRPr="00D41731" w:rsidTr="00A0532B">
        <w:trPr>
          <w:cantSplit/>
          <w:trHeight w:val="53"/>
        </w:trPr>
        <w:tc>
          <w:tcPr>
            <w:tcW w:w="1702" w:type="dxa"/>
            <w:tcBorders>
              <w:top w:val="nil"/>
              <w:left w:val="single" w:sz="4" w:space="0" w:color="auto"/>
              <w:bottom w:val="single" w:sz="4" w:space="0" w:color="auto"/>
              <w:right w:val="single" w:sz="4" w:space="0" w:color="auto"/>
            </w:tcBorders>
            <w:noWrap/>
            <w:vAlign w:val="center"/>
          </w:tcPr>
          <w:p w:rsidR="00AF1B9D" w:rsidRPr="00D41731" w:rsidRDefault="00AF1B9D" w:rsidP="00A0532B">
            <w:pPr>
              <w:widowControl w:val="0"/>
              <w:spacing w:after="0" w:line="240" w:lineRule="auto"/>
              <w:ind w:left="34" w:right="34"/>
              <w:jc w:val="center"/>
              <w:rPr>
                <w:rFonts w:ascii="Times New Roman" w:eastAsia="Times New Roman" w:hAnsi="Times New Roman" w:cs="Times New Roman"/>
                <w:sz w:val="18"/>
                <w:szCs w:val="18"/>
                <w:lang w:eastAsia="ru-RU"/>
              </w:rPr>
            </w:pPr>
            <w:r w:rsidRPr="00D41731">
              <w:rPr>
                <w:rFonts w:ascii="Times New Roman" w:eastAsia="Times New Roman" w:hAnsi="Times New Roman" w:cs="Times New Roman"/>
                <w:sz w:val="18"/>
                <w:szCs w:val="18"/>
                <w:lang w:eastAsia="ru-RU"/>
              </w:rPr>
              <w:t>Погашение</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-631 090,8</w:t>
            </w:r>
          </w:p>
        </w:tc>
        <w:tc>
          <w:tcPr>
            <w:tcW w:w="1275"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ind w:firstLine="108"/>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-531 090,8</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 xml:space="preserve">-529 039,1 </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0</w:t>
            </w:r>
          </w:p>
        </w:tc>
        <w:tc>
          <w:tcPr>
            <w:tcW w:w="1276" w:type="dxa"/>
            <w:tcBorders>
              <w:top w:val="nil"/>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ind w:firstLine="108"/>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-529 039,1</w:t>
            </w:r>
          </w:p>
        </w:tc>
        <w:tc>
          <w:tcPr>
            <w:tcW w:w="1275" w:type="dxa"/>
            <w:tcBorders>
              <w:top w:val="nil"/>
              <w:left w:val="nil"/>
              <w:bottom w:val="single" w:sz="4" w:space="0" w:color="auto"/>
              <w:right w:val="single" w:sz="4" w:space="0" w:color="auto"/>
            </w:tcBorders>
            <w:shd w:val="clear" w:color="auto" w:fill="FFFFFF" w:themeFill="background1"/>
            <w:vAlign w:val="center"/>
          </w:tcPr>
          <w:p w:rsidR="00AF1B9D" w:rsidRPr="00D41731" w:rsidRDefault="00AF1B9D" w:rsidP="00A0532B">
            <w:pPr>
              <w:widowControl w:val="0"/>
              <w:overflowPunct w:val="0"/>
              <w:autoSpaceDE w:val="0"/>
              <w:autoSpaceDN w:val="0"/>
              <w:adjustRightInd w:val="0"/>
              <w:spacing w:after="0" w:line="240" w:lineRule="auto"/>
              <w:ind w:firstLine="108"/>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-2 051,7</w:t>
            </w:r>
          </w:p>
        </w:tc>
        <w:tc>
          <w:tcPr>
            <w:tcW w:w="709" w:type="dxa"/>
            <w:tcBorders>
              <w:top w:val="single" w:sz="4" w:space="0" w:color="auto"/>
              <w:left w:val="nil"/>
              <w:bottom w:val="single" w:sz="4" w:space="0" w:color="auto"/>
              <w:right w:val="single" w:sz="4" w:space="0" w:color="auto"/>
            </w:tcBorders>
            <w:vAlign w:val="center"/>
          </w:tcPr>
          <w:p w:rsidR="00AF1B9D" w:rsidRPr="00D41731" w:rsidRDefault="00AF1B9D" w:rsidP="00A0532B">
            <w:pPr>
              <w:widowControl w:val="0"/>
              <w:overflowPunct w:val="0"/>
              <w:autoSpaceDE w:val="0"/>
              <w:autoSpaceDN w:val="0"/>
              <w:adjustRightInd w:val="0"/>
              <w:spacing w:after="0" w:line="240" w:lineRule="auto"/>
              <w:ind w:firstLine="108"/>
              <w:jc w:val="center"/>
              <w:textAlignment w:val="baseline"/>
              <w:rPr>
                <w:rFonts w:ascii="Times New Roman" w:eastAsia="Times New Roman" w:hAnsi="Times New Roman" w:cs="Times New Roman"/>
                <w:sz w:val="18"/>
                <w:szCs w:val="18"/>
                <w:lang w:eastAsia="ru-RU"/>
              </w:rPr>
            </w:pPr>
            <w:r w:rsidRPr="00D41731">
              <w:rPr>
                <w:rFonts w:ascii="Times New Roman" w:hAnsi="Times New Roman" w:cs="Times New Roman"/>
                <w:sz w:val="18"/>
                <w:szCs w:val="18"/>
              </w:rPr>
              <w:t>0,4</w:t>
            </w:r>
          </w:p>
        </w:tc>
      </w:tr>
    </w:tbl>
    <w:p w:rsidR="00A13061" w:rsidRPr="00D41731" w:rsidRDefault="00A13061" w:rsidP="00A13061">
      <w:pPr>
        <w:spacing w:after="120" w:line="240" w:lineRule="auto"/>
        <w:jc w:val="right"/>
        <w:rPr>
          <w:rFonts w:ascii="Times New Roman" w:eastAsia="Times New Roman" w:hAnsi="Times New Roman" w:cs="Times New Roman"/>
          <w:snapToGrid w:val="0"/>
          <w:sz w:val="24"/>
          <w:szCs w:val="24"/>
          <w:lang w:eastAsia="ru-RU"/>
        </w:rPr>
      </w:pPr>
    </w:p>
    <w:p w:rsidR="00691A30" w:rsidRDefault="00691A30" w:rsidP="00691A30">
      <w:pPr>
        <w:spacing w:after="12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Диаграмма № 2</w:t>
      </w:r>
    </w:p>
    <w:p w:rsidR="00691A30" w:rsidRPr="00691A30" w:rsidRDefault="00691A30" w:rsidP="00691A30">
      <w:pPr>
        <w:widowControl w:val="0"/>
        <w:spacing w:after="0" w:line="240" w:lineRule="auto"/>
        <w:jc w:val="both"/>
        <w:rPr>
          <w:rFonts w:ascii="Times New Roman" w:eastAsia="Times New Roman" w:hAnsi="Times New Roman" w:cs="Times New Roman"/>
          <w:color w:val="000000" w:themeColor="text1"/>
          <w:sz w:val="10"/>
          <w:szCs w:val="10"/>
          <w:lang w:eastAsia="ru-RU"/>
        </w:rPr>
      </w:pPr>
    </w:p>
    <w:p w:rsidR="007F3C51" w:rsidRDefault="007F3C51"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691A30">
        <w:rPr>
          <w:rFonts w:ascii="Times New Roman" w:eastAsia="Times New Roman" w:hAnsi="Times New Roman" w:cs="Times New Roman"/>
          <w:color w:val="000000" w:themeColor="text1"/>
          <w:sz w:val="24"/>
          <w:szCs w:val="24"/>
          <w:lang w:eastAsia="ru-RU"/>
        </w:rPr>
        <w:t>Данные по динамике объемов привлечения государственных ценных бумаг в валюте Р</w:t>
      </w:r>
      <w:r w:rsidR="00A901A1" w:rsidRPr="00691A30">
        <w:rPr>
          <w:rFonts w:ascii="Times New Roman" w:eastAsia="Times New Roman" w:hAnsi="Times New Roman" w:cs="Times New Roman"/>
          <w:color w:val="000000" w:themeColor="text1"/>
          <w:sz w:val="24"/>
          <w:szCs w:val="24"/>
          <w:lang w:eastAsia="ru-RU"/>
        </w:rPr>
        <w:t>оссийской Федерации</w:t>
      </w:r>
      <w:r w:rsidRPr="00691A30">
        <w:rPr>
          <w:rFonts w:ascii="Times New Roman" w:eastAsia="Times New Roman" w:hAnsi="Times New Roman" w:cs="Times New Roman"/>
          <w:color w:val="000000" w:themeColor="text1"/>
          <w:sz w:val="24"/>
          <w:szCs w:val="24"/>
          <w:lang w:eastAsia="ru-RU"/>
        </w:rPr>
        <w:t xml:space="preserve"> с учетом положений статьи 113 Бюджетного кодекса </w:t>
      </w:r>
      <w:r w:rsidR="00A901A1" w:rsidRPr="00691A30">
        <w:rPr>
          <w:rFonts w:ascii="Times New Roman" w:eastAsia="Times New Roman" w:hAnsi="Times New Roman" w:cs="Times New Roman"/>
          <w:color w:val="000000" w:themeColor="text1"/>
          <w:sz w:val="24"/>
          <w:szCs w:val="24"/>
          <w:lang w:eastAsia="ru-RU"/>
        </w:rPr>
        <w:t>Российской Федерации</w:t>
      </w:r>
      <w:r w:rsidRPr="00691A30">
        <w:rPr>
          <w:rFonts w:ascii="Times New Roman" w:eastAsia="Times New Roman" w:hAnsi="Times New Roman" w:cs="Times New Roman"/>
          <w:color w:val="000000" w:themeColor="text1"/>
          <w:sz w:val="24"/>
          <w:szCs w:val="24"/>
          <w:lang w:eastAsia="ru-RU"/>
        </w:rPr>
        <w:t xml:space="preserve">, а также сальдо размещения и погашения основного долга по ним </w:t>
      </w:r>
      <w:r w:rsidR="00691A30">
        <w:rPr>
          <w:rFonts w:ascii="Times New Roman" w:eastAsia="Times New Roman" w:hAnsi="Times New Roman" w:cs="Times New Roman"/>
          <w:color w:val="000000" w:themeColor="text1"/>
          <w:sz w:val="24"/>
          <w:szCs w:val="24"/>
          <w:lang w:eastAsia="ru-RU"/>
        </w:rPr>
        <w:br/>
      </w:r>
      <w:r w:rsidRPr="00691A30">
        <w:rPr>
          <w:rFonts w:ascii="Times New Roman" w:eastAsia="Times New Roman" w:hAnsi="Times New Roman" w:cs="Times New Roman"/>
          <w:color w:val="000000" w:themeColor="text1"/>
          <w:sz w:val="24"/>
          <w:szCs w:val="24"/>
          <w:lang w:eastAsia="ru-RU"/>
        </w:rPr>
        <w:t>в 201</w:t>
      </w:r>
      <w:r w:rsidR="00915410">
        <w:rPr>
          <w:rFonts w:ascii="Times New Roman" w:eastAsia="Times New Roman" w:hAnsi="Times New Roman" w:cs="Times New Roman"/>
          <w:color w:val="000000" w:themeColor="text1"/>
          <w:sz w:val="24"/>
          <w:szCs w:val="24"/>
          <w:lang w:eastAsia="ru-RU"/>
        </w:rPr>
        <w:t>5</w:t>
      </w:r>
      <w:r w:rsidR="00BE2A8B" w:rsidRPr="00691A30">
        <w:rPr>
          <w:rFonts w:ascii="Times New Roman" w:eastAsia="Times New Roman" w:hAnsi="Times New Roman" w:cs="Times New Roman"/>
          <w:color w:val="000000" w:themeColor="text1"/>
          <w:sz w:val="24"/>
          <w:szCs w:val="24"/>
          <w:lang w:eastAsia="ru-RU"/>
        </w:rPr>
        <w:t xml:space="preserve"> </w:t>
      </w:r>
      <w:r w:rsidRPr="00691A30">
        <w:rPr>
          <w:rFonts w:ascii="Times New Roman" w:eastAsia="Times New Roman" w:hAnsi="Times New Roman" w:cs="Times New Roman"/>
          <w:color w:val="000000" w:themeColor="text1"/>
          <w:sz w:val="24"/>
          <w:szCs w:val="24"/>
          <w:lang w:eastAsia="ru-RU"/>
        </w:rPr>
        <w:t>-</w:t>
      </w:r>
      <w:r w:rsidR="00BE2A8B" w:rsidRPr="00691A30">
        <w:rPr>
          <w:rFonts w:ascii="Times New Roman" w:eastAsia="Times New Roman" w:hAnsi="Times New Roman" w:cs="Times New Roman"/>
          <w:color w:val="000000" w:themeColor="text1"/>
          <w:sz w:val="24"/>
          <w:szCs w:val="24"/>
          <w:lang w:eastAsia="ru-RU"/>
        </w:rPr>
        <w:t xml:space="preserve"> </w:t>
      </w:r>
      <w:r w:rsidRPr="00691A30">
        <w:rPr>
          <w:rFonts w:ascii="Times New Roman" w:eastAsia="Times New Roman" w:hAnsi="Times New Roman" w:cs="Times New Roman"/>
          <w:color w:val="000000" w:themeColor="text1"/>
          <w:sz w:val="24"/>
          <w:szCs w:val="24"/>
          <w:lang w:eastAsia="ru-RU"/>
        </w:rPr>
        <w:t>2018 годах</w:t>
      </w:r>
    </w:p>
    <w:p w:rsidR="00915410" w:rsidRDefault="00915410"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r>
        <w:rPr>
          <w:noProof/>
          <w:lang w:eastAsia="ru-RU"/>
        </w:rPr>
        <w:drawing>
          <wp:inline distT="0" distB="0" distL="0" distR="0" wp14:anchorId="0AFD45B4" wp14:editId="3DD2338B">
            <wp:extent cx="6639339" cy="256032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91A30" w:rsidRDefault="00691A30" w:rsidP="00691A30">
      <w:pPr>
        <w:spacing w:after="12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Таблица № 4</w:t>
      </w:r>
    </w:p>
    <w:p w:rsidR="00691A30" w:rsidRPr="00691A30" w:rsidRDefault="00691A30" w:rsidP="00691A30">
      <w:pPr>
        <w:widowControl w:val="0"/>
        <w:spacing w:after="0" w:line="240" w:lineRule="auto"/>
        <w:jc w:val="both"/>
        <w:rPr>
          <w:rFonts w:ascii="Times New Roman" w:eastAsia="Times New Roman" w:hAnsi="Times New Roman" w:cs="Times New Roman"/>
          <w:color w:val="000000" w:themeColor="text1"/>
          <w:sz w:val="10"/>
          <w:szCs w:val="10"/>
          <w:lang w:eastAsia="ru-RU"/>
        </w:rPr>
      </w:pPr>
    </w:p>
    <w:p w:rsidR="00295448" w:rsidRPr="00691A30" w:rsidRDefault="00295448" w:rsidP="00691A30">
      <w:pPr>
        <w:widowControl w:val="0"/>
        <w:spacing w:after="0" w:line="240" w:lineRule="auto"/>
        <w:jc w:val="both"/>
        <w:rPr>
          <w:rFonts w:ascii="Times New Roman" w:eastAsia="Times New Roman" w:hAnsi="Times New Roman" w:cs="Times New Roman"/>
          <w:color w:val="000000" w:themeColor="text1"/>
          <w:sz w:val="24"/>
          <w:szCs w:val="24"/>
          <w:lang w:eastAsia="ru-RU"/>
        </w:rPr>
      </w:pPr>
      <w:r w:rsidRPr="00691A30">
        <w:rPr>
          <w:rFonts w:ascii="Times New Roman" w:eastAsia="Times New Roman" w:hAnsi="Times New Roman" w:cs="Times New Roman"/>
          <w:color w:val="000000" w:themeColor="text1"/>
          <w:sz w:val="24"/>
          <w:szCs w:val="24"/>
          <w:lang w:eastAsia="ru-RU"/>
        </w:rPr>
        <w:t>Информация о проведении Минфином России в 2018 году аукционов по</w:t>
      </w:r>
      <w:r w:rsidR="00D6489D" w:rsidRPr="00691A30">
        <w:rPr>
          <w:rFonts w:ascii="Times New Roman" w:eastAsia="Times New Roman" w:hAnsi="Times New Roman" w:cs="Times New Roman"/>
          <w:color w:val="000000" w:themeColor="text1"/>
          <w:sz w:val="24"/>
          <w:szCs w:val="24"/>
          <w:lang w:eastAsia="ru-RU"/>
        </w:rPr>
        <w:t> </w:t>
      </w:r>
      <w:r w:rsidRPr="00691A30">
        <w:rPr>
          <w:rFonts w:ascii="Times New Roman" w:eastAsia="Times New Roman" w:hAnsi="Times New Roman" w:cs="Times New Roman"/>
          <w:color w:val="000000" w:themeColor="text1"/>
          <w:sz w:val="24"/>
          <w:szCs w:val="24"/>
          <w:lang w:eastAsia="ru-RU"/>
        </w:rPr>
        <w:t>размещению выпусков ОФЗ</w:t>
      </w:r>
      <w:r w:rsidR="00D6489D" w:rsidRPr="00691A30">
        <w:rPr>
          <w:rFonts w:ascii="Times New Roman" w:eastAsia="Times New Roman" w:hAnsi="Times New Roman" w:cs="Times New Roman"/>
          <w:color w:val="000000" w:themeColor="text1"/>
          <w:sz w:val="24"/>
          <w:szCs w:val="24"/>
          <w:lang w:eastAsia="ru-RU"/>
        </w:rPr>
        <w:t xml:space="preserve"> </w:t>
      </w:r>
    </w:p>
    <w:p w:rsidR="00295448" w:rsidRPr="00D41731" w:rsidRDefault="00295448" w:rsidP="00295448">
      <w:pPr>
        <w:spacing w:after="0" w:line="240" w:lineRule="auto"/>
        <w:ind w:firstLine="709"/>
        <w:jc w:val="center"/>
        <w:rPr>
          <w:rFonts w:ascii="Times New Roman" w:hAnsi="Times New Roman" w:cs="Times New Roman"/>
          <w:color w:val="000000" w:themeColor="text1"/>
          <w:sz w:val="24"/>
          <w:szCs w:val="24"/>
        </w:rPr>
      </w:pP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4"/>
        <w:gridCol w:w="1121"/>
        <w:gridCol w:w="834"/>
        <w:gridCol w:w="1075"/>
        <w:gridCol w:w="995"/>
        <w:gridCol w:w="1562"/>
        <w:gridCol w:w="1247"/>
        <w:gridCol w:w="1346"/>
      </w:tblGrid>
      <w:tr w:rsidR="004A36B2" w:rsidRPr="00D41731" w:rsidTr="009D10C6">
        <w:trPr>
          <w:trHeight w:val="374"/>
          <w:tblHeader/>
        </w:trPr>
        <w:tc>
          <w:tcPr>
            <w:tcW w:w="1474" w:type="dxa"/>
            <w:tcBorders>
              <w:top w:val="single" w:sz="4" w:space="0" w:color="auto"/>
              <w:left w:val="single" w:sz="4" w:space="0" w:color="auto"/>
              <w:bottom w:val="single" w:sz="4" w:space="0" w:color="auto"/>
              <w:right w:val="single" w:sz="4" w:space="0" w:color="auto"/>
            </w:tcBorders>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Количество аукционов по размещению гос. ценных бумаг в 2018 году</w:t>
            </w:r>
          </w:p>
        </w:tc>
        <w:tc>
          <w:tcPr>
            <w:tcW w:w="1121" w:type="dxa"/>
            <w:tcBorders>
              <w:top w:val="single" w:sz="4" w:space="0" w:color="auto"/>
              <w:left w:val="single" w:sz="4" w:space="0" w:color="auto"/>
              <w:bottom w:val="single" w:sz="4" w:space="0" w:color="auto"/>
              <w:right w:val="single" w:sz="4" w:space="0" w:color="auto"/>
            </w:tcBorders>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Код  выпуска бумаги</w:t>
            </w:r>
          </w:p>
        </w:tc>
        <w:tc>
          <w:tcPr>
            <w:tcW w:w="834" w:type="dxa"/>
            <w:tcBorders>
              <w:top w:val="single" w:sz="4" w:space="0" w:color="auto"/>
              <w:left w:val="single" w:sz="4" w:space="0" w:color="auto"/>
              <w:bottom w:val="single" w:sz="4" w:space="0" w:color="auto"/>
              <w:right w:val="single" w:sz="4" w:space="0" w:color="auto"/>
            </w:tcBorders>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Тип бумаги</w:t>
            </w:r>
          </w:p>
        </w:tc>
        <w:tc>
          <w:tcPr>
            <w:tcW w:w="1075" w:type="dxa"/>
            <w:tcBorders>
              <w:top w:val="single" w:sz="4" w:space="0" w:color="auto"/>
              <w:left w:val="single" w:sz="4" w:space="0" w:color="auto"/>
              <w:bottom w:val="single" w:sz="4" w:space="0" w:color="auto"/>
              <w:right w:val="single" w:sz="4" w:space="0" w:color="auto"/>
            </w:tcBorders>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Дата погашения</w:t>
            </w:r>
          </w:p>
        </w:tc>
        <w:tc>
          <w:tcPr>
            <w:tcW w:w="995" w:type="dxa"/>
            <w:tcBorders>
              <w:top w:val="single" w:sz="4" w:space="0" w:color="auto"/>
              <w:left w:val="single" w:sz="4" w:space="0" w:color="auto"/>
              <w:bottom w:val="single" w:sz="4" w:space="0" w:color="auto"/>
              <w:right w:val="single" w:sz="4" w:space="0" w:color="auto"/>
            </w:tcBorders>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 xml:space="preserve">Объем </w:t>
            </w:r>
            <w:proofErr w:type="spellStart"/>
            <w:proofErr w:type="gramStart"/>
            <w:r w:rsidRPr="00D41731">
              <w:rPr>
                <w:rFonts w:ascii="Times New Roman" w:eastAsia="Times New Roman" w:hAnsi="Times New Roman" w:cs="Times New Roman"/>
                <w:b/>
                <w:bCs/>
                <w:color w:val="000000" w:themeColor="text1"/>
                <w:sz w:val="16"/>
                <w:szCs w:val="16"/>
              </w:rPr>
              <w:t>предложе-ния</w:t>
            </w:r>
            <w:proofErr w:type="spellEnd"/>
            <w:proofErr w:type="gramEnd"/>
            <w:r w:rsidRPr="00D41731">
              <w:rPr>
                <w:rFonts w:ascii="Times New Roman" w:eastAsia="Times New Roman" w:hAnsi="Times New Roman" w:cs="Times New Roman"/>
                <w:b/>
                <w:bCs/>
                <w:color w:val="000000" w:themeColor="text1"/>
                <w:sz w:val="16"/>
                <w:szCs w:val="16"/>
              </w:rPr>
              <w:t>, млрд. рублей</w:t>
            </w:r>
          </w:p>
        </w:tc>
        <w:tc>
          <w:tcPr>
            <w:tcW w:w="1562" w:type="dxa"/>
            <w:tcBorders>
              <w:top w:val="single" w:sz="4" w:space="0" w:color="auto"/>
              <w:left w:val="single" w:sz="4" w:space="0" w:color="auto"/>
              <w:bottom w:val="single" w:sz="4" w:space="0" w:color="auto"/>
              <w:right w:val="single" w:sz="4" w:space="0" w:color="auto"/>
            </w:tcBorders>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 xml:space="preserve">Доходность по средневзвешенной цене, % </w:t>
            </w:r>
            <w:proofErr w:type="gramStart"/>
            <w:r w:rsidRPr="00D41731">
              <w:rPr>
                <w:rFonts w:ascii="Times New Roman" w:eastAsia="Times New Roman" w:hAnsi="Times New Roman" w:cs="Times New Roman"/>
                <w:b/>
                <w:bCs/>
                <w:color w:val="000000" w:themeColor="text1"/>
                <w:sz w:val="16"/>
                <w:szCs w:val="16"/>
              </w:rPr>
              <w:t>годовых</w:t>
            </w:r>
            <w:proofErr w:type="gramEnd"/>
          </w:p>
        </w:tc>
        <w:tc>
          <w:tcPr>
            <w:tcW w:w="1247" w:type="dxa"/>
            <w:tcBorders>
              <w:top w:val="single" w:sz="4" w:space="0" w:color="auto"/>
              <w:left w:val="single" w:sz="4" w:space="0" w:color="auto"/>
              <w:bottom w:val="single" w:sz="4" w:space="0" w:color="auto"/>
              <w:right w:val="single" w:sz="4" w:space="0" w:color="auto"/>
            </w:tcBorders>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Объем размещения по номиналу, млрд. рублей</w:t>
            </w:r>
          </w:p>
        </w:tc>
        <w:tc>
          <w:tcPr>
            <w:tcW w:w="1346" w:type="dxa"/>
            <w:tcBorders>
              <w:top w:val="single" w:sz="4" w:space="0" w:color="auto"/>
              <w:left w:val="single" w:sz="4" w:space="0" w:color="auto"/>
              <w:bottom w:val="single" w:sz="4" w:space="0" w:color="auto"/>
              <w:right w:val="single" w:sz="4" w:space="0" w:color="auto"/>
            </w:tcBorders>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Объем выручки, млрд. рублей</w:t>
            </w:r>
          </w:p>
        </w:tc>
      </w:tr>
      <w:tr w:rsidR="004A36B2" w:rsidRPr="00D41731" w:rsidTr="009D10C6">
        <w:trPr>
          <w:trHeight w:val="227"/>
          <w:tblHead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22</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25083RMFS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ОФЗ-ПД</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15.12.2021</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308 471,9</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от 6,55 до 8,43</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274 227,3</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279 302,9</w:t>
            </w:r>
          </w:p>
        </w:tc>
      </w:tr>
      <w:tr w:rsidR="004A36B2" w:rsidRPr="00D41731" w:rsidTr="009D10C6">
        <w:trPr>
          <w:trHeight w:val="227"/>
          <w:tblHead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4</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26212RMFS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ОФЗ-ПД</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19.01.2028</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80 913,6</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от 7,07 до 7,45</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78 927,6</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79 782,1</w:t>
            </w:r>
          </w:p>
        </w:tc>
      </w:tr>
      <w:tr w:rsidR="004A36B2" w:rsidRPr="00D41731" w:rsidTr="009D10C6">
        <w:trPr>
          <w:trHeight w:val="227"/>
          <w:tblHead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26214RMFS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ОФЗ-ПД</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27.05.2020</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15 000,0</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от 7,99 до 8,01</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6 144,8</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6 027,3</w:t>
            </w:r>
          </w:p>
        </w:tc>
      </w:tr>
      <w:tr w:rsidR="004A36B2" w:rsidRPr="00D41731" w:rsidTr="009D10C6">
        <w:trPr>
          <w:trHeight w:val="227"/>
          <w:tblHead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3</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26221RMFS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ОФЗ-ПД</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23.03.2033</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54 259,2</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от 7,40 до 7,72</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54 259,2</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57 101,1</w:t>
            </w:r>
          </w:p>
        </w:tc>
      </w:tr>
      <w:tr w:rsidR="004A36B2" w:rsidRPr="00D41731" w:rsidTr="009D10C6">
        <w:trPr>
          <w:trHeight w:val="227"/>
          <w:tblHead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3</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26222RMFS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ОФЗ-ПД</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16.10.2024</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60 000,0</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от 6,97 до 7,21</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60 000,0</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61 481,9</w:t>
            </w:r>
          </w:p>
        </w:tc>
      </w:tr>
      <w:tr w:rsidR="004A36B2" w:rsidRPr="00D41731" w:rsidTr="009D10C6">
        <w:trPr>
          <w:trHeight w:val="227"/>
          <w:tblHead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19</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26223RMFS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ОФЗ-ПД</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28.02.2024</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265 000,0</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от 6,77 до 8,70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223 251,8</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217 627,7</w:t>
            </w:r>
          </w:p>
        </w:tc>
      </w:tr>
      <w:tr w:rsidR="004A36B2" w:rsidRPr="00D41731" w:rsidTr="009D10C6">
        <w:trPr>
          <w:trHeight w:val="227"/>
          <w:tblHead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9</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26224RMFS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ОФЗ-ПД</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23.05.2029</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135 000,0</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от 7,12 до 8,84</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119 214,1</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114 150,3</w:t>
            </w:r>
          </w:p>
        </w:tc>
      </w:tr>
      <w:tr w:rsidR="004A36B2" w:rsidRPr="00D41731" w:rsidTr="009D10C6">
        <w:trPr>
          <w:trHeight w:val="227"/>
          <w:tblHead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8</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26225RMFS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ОФЗ-ПД</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10.05.2034</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125 000,0</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от 7,37 до 8,68</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119 186,3</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117 249,9</w:t>
            </w:r>
          </w:p>
        </w:tc>
      </w:tr>
      <w:tr w:rsidR="004A36B2" w:rsidRPr="00D41731" w:rsidTr="009D10C6">
        <w:trPr>
          <w:trHeight w:val="227"/>
          <w:tblHead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5</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29012RMFS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ОФЗ-ПК</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16.11.2022</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40 000,0</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от 7,32 до 8,30</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22 191,8</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22 785,9</w:t>
            </w:r>
          </w:p>
        </w:tc>
      </w:tr>
      <w:tr w:rsidR="004A36B2" w:rsidRPr="00D41731" w:rsidTr="009D10C6">
        <w:trPr>
          <w:trHeight w:val="227"/>
          <w:tblHead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6</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52002RMFS</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ОФЗ-ИН</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02.02.2028</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80 588,8</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от 2,89 до 3,42</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77 734,3</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color w:val="000000" w:themeColor="text1"/>
                <w:sz w:val="16"/>
                <w:szCs w:val="16"/>
              </w:rPr>
            </w:pPr>
            <w:r w:rsidRPr="00D41731">
              <w:rPr>
                <w:rFonts w:ascii="Times New Roman" w:eastAsia="Times New Roman" w:hAnsi="Times New Roman" w:cs="Times New Roman"/>
                <w:color w:val="000000" w:themeColor="text1"/>
                <w:sz w:val="16"/>
                <w:szCs w:val="16"/>
              </w:rPr>
              <w:t>75 202,4</w:t>
            </w:r>
          </w:p>
        </w:tc>
      </w:tr>
      <w:tr w:rsidR="004A36B2" w:rsidRPr="00D41731" w:rsidTr="009D10C6">
        <w:trPr>
          <w:trHeight w:val="227"/>
          <w:tblHeader/>
        </w:trPr>
        <w:tc>
          <w:tcPr>
            <w:tcW w:w="14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81</w:t>
            </w:r>
          </w:p>
        </w:tc>
        <w:tc>
          <w:tcPr>
            <w:tcW w:w="11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 </w:t>
            </w:r>
          </w:p>
        </w:tc>
        <w:tc>
          <w:tcPr>
            <w:tcW w:w="8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 </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Всего</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1 164 233,4</w:t>
            </w:r>
          </w:p>
        </w:tc>
        <w:tc>
          <w:tcPr>
            <w:tcW w:w="1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 </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1 035 137,1</w:t>
            </w:r>
          </w:p>
        </w:tc>
        <w:tc>
          <w:tcPr>
            <w:tcW w:w="13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5448" w:rsidRPr="00D41731" w:rsidRDefault="00295448" w:rsidP="00C4345F">
            <w:pPr>
              <w:spacing w:after="0" w:line="240" w:lineRule="auto"/>
              <w:jc w:val="center"/>
              <w:rPr>
                <w:rFonts w:ascii="Times New Roman" w:eastAsia="Times New Roman" w:hAnsi="Times New Roman" w:cs="Times New Roman"/>
                <w:b/>
                <w:bCs/>
                <w:color w:val="000000" w:themeColor="text1"/>
                <w:sz w:val="16"/>
                <w:szCs w:val="16"/>
              </w:rPr>
            </w:pPr>
            <w:r w:rsidRPr="00D41731">
              <w:rPr>
                <w:rFonts w:ascii="Times New Roman" w:eastAsia="Times New Roman" w:hAnsi="Times New Roman" w:cs="Times New Roman"/>
                <w:b/>
                <w:bCs/>
                <w:color w:val="000000" w:themeColor="text1"/>
                <w:sz w:val="16"/>
                <w:szCs w:val="16"/>
              </w:rPr>
              <w:t>1 030 711,3</w:t>
            </w:r>
          </w:p>
        </w:tc>
      </w:tr>
    </w:tbl>
    <w:p w:rsidR="00295448" w:rsidRDefault="00295448" w:rsidP="00F73C41">
      <w:pPr>
        <w:widowControl w:val="0"/>
        <w:spacing w:after="120" w:line="240" w:lineRule="auto"/>
        <w:jc w:val="right"/>
        <w:rPr>
          <w:rFonts w:ascii="Times New Roman" w:hAnsi="Times New Roman" w:cs="Times New Roman"/>
          <w:color w:val="000000" w:themeColor="text1"/>
          <w:sz w:val="24"/>
          <w:szCs w:val="24"/>
        </w:rPr>
      </w:pPr>
    </w:p>
    <w:p w:rsidR="00691A30" w:rsidRDefault="00691A30" w:rsidP="00691A30">
      <w:pPr>
        <w:spacing w:after="12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Таблица № 5</w:t>
      </w:r>
    </w:p>
    <w:p w:rsidR="00691A30" w:rsidRPr="00691A30" w:rsidRDefault="00691A30" w:rsidP="00691A30">
      <w:pPr>
        <w:widowControl w:val="0"/>
        <w:spacing w:after="0" w:line="240" w:lineRule="auto"/>
        <w:jc w:val="both"/>
        <w:rPr>
          <w:rFonts w:ascii="Times New Roman" w:eastAsia="Times New Roman" w:hAnsi="Times New Roman" w:cs="Times New Roman"/>
          <w:color w:val="000000" w:themeColor="text1"/>
          <w:sz w:val="10"/>
          <w:szCs w:val="10"/>
          <w:lang w:eastAsia="ru-RU"/>
        </w:rPr>
      </w:pPr>
    </w:p>
    <w:p w:rsidR="00F73C41" w:rsidRPr="00691A30" w:rsidRDefault="00F73C41"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691A30">
        <w:rPr>
          <w:rFonts w:ascii="Times New Roman" w:eastAsia="Times New Roman" w:hAnsi="Times New Roman" w:cs="Times New Roman"/>
          <w:color w:val="000000" w:themeColor="text1"/>
          <w:sz w:val="24"/>
          <w:szCs w:val="24"/>
          <w:lang w:eastAsia="ru-RU"/>
        </w:rPr>
        <w:t>Сведения о количестве проведенных аукционов и доходности обл</w:t>
      </w:r>
      <w:r w:rsidR="00915410">
        <w:rPr>
          <w:rFonts w:ascii="Times New Roman" w:eastAsia="Times New Roman" w:hAnsi="Times New Roman" w:cs="Times New Roman"/>
          <w:color w:val="000000" w:themeColor="text1"/>
          <w:sz w:val="24"/>
          <w:szCs w:val="24"/>
          <w:lang w:eastAsia="ru-RU"/>
        </w:rPr>
        <w:t>игаций федерального займа в 2015</w:t>
      </w:r>
      <w:r w:rsidRPr="00691A30">
        <w:rPr>
          <w:rFonts w:ascii="Times New Roman" w:eastAsia="Times New Roman" w:hAnsi="Times New Roman" w:cs="Times New Roman"/>
          <w:color w:val="000000" w:themeColor="text1"/>
          <w:sz w:val="24"/>
          <w:szCs w:val="24"/>
          <w:lang w:eastAsia="ru-RU"/>
        </w:rPr>
        <w:t xml:space="preserve"> – 2018 годах</w:t>
      </w:r>
    </w:p>
    <w:p w:rsidR="00D874D6" w:rsidRPr="00D41731" w:rsidRDefault="00D874D6" w:rsidP="00BB1C34">
      <w:pPr>
        <w:widowControl w:val="0"/>
        <w:spacing w:after="0" w:line="240" w:lineRule="auto"/>
        <w:jc w:val="center"/>
        <w:rPr>
          <w:rFonts w:ascii="Times New Roman" w:hAnsi="Times New Roman" w:cs="Times New Roman"/>
          <w:color w:val="000000" w:themeColor="text1"/>
          <w:sz w:val="24"/>
          <w:szCs w:val="24"/>
        </w:rPr>
      </w:pPr>
    </w:p>
    <w:tbl>
      <w:tblPr>
        <w:tblStyle w:val="a3"/>
        <w:tblW w:w="9983" w:type="dxa"/>
        <w:tblInd w:w="108" w:type="dxa"/>
        <w:tblLook w:val="04A0" w:firstRow="1" w:lastRow="0" w:firstColumn="1" w:lastColumn="0" w:noHBand="0" w:noVBand="1"/>
      </w:tblPr>
      <w:tblGrid>
        <w:gridCol w:w="2663"/>
        <w:gridCol w:w="1873"/>
        <w:gridCol w:w="1873"/>
        <w:gridCol w:w="1873"/>
        <w:gridCol w:w="1701"/>
      </w:tblGrid>
      <w:tr w:rsidR="00915410" w:rsidRPr="00D41731" w:rsidTr="00915410">
        <w:trPr>
          <w:tblHeader/>
        </w:trPr>
        <w:tc>
          <w:tcPr>
            <w:tcW w:w="2663" w:type="dxa"/>
          </w:tcPr>
          <w:p w:rsidR="00915410" w:rsidRPr="00D41731" w:rsidRDefault="00915410" w:rsidP="00C4345F">
            <w:pPr>
              <w:widowControl w:val="0"/>
              <w:rPr>
                <w:rFonts w:ascii="Times New Roman" w:hAnsi="Times New Roman" w:cs="Times New Roman"/>
                <w:color w:val="000000" w:themeColor="text1"/>
                <w:sz w:val="20"/>
                <w:szCs w:val="20"/>
              </w:rPr>
            </w:pPr>
          </w:p>
        </w:tc>
        <w:tc>
          <w:tcPr>
            <w:tcW w:w="1873" w:type="dxa"/>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2015 год</w:t>
            </w:r>
          </w:p>
        </w:tc>
        <w:tc>
          <w:tcPr>
            <w:tcW w:w="1873" w:type="dxa"/>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2016 год</w:t>
            </w:r>
          </w:p>
        </w:tc>
        <w:tc>
          <w:tcPr>
            <w:tcW w:w="1873" w:type="dxa"/>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2017 год</w:t>
            </w:r>
          </w:p>
        </w:tc>
        <w:tc>
          <w:tcPr>
            <w:tcW w:w="1701" w:type="dxa"/>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2018 год</w:t>
            </w:r>
          </w:p>
        </w:tc>
      </w:tr>
      <w:tr w:rsidR="00915410" w:rsidRPr="00D41731" w:rsidTr="00915410">
        <w:tc>
          <w:tcPr>
            <w:tcW w:w="2663" w:type="dxa"/>
            <w:shd w:val="clear" w:color="auto" w:fill="FDE9D9" w:themeFill="accent6" w:themeFillTint="33"/>
          </w:tcPr>
          <w:p w:rsidR="00915410" w:rsidRPr="00D41731" w:rsidRDefault="00915410" w:rsidP="00C4345F">
            <w:pPr>
              <w:widowControl w:val="0"/>
              <w:rPr>
                <w:rFonts w:ascii="Times New Roman" w:hAnsi="Times New Roman" w:cs="Times New Roman"/>
                <w:color w:val="000000" w:themeColor="text1"/>
                <w:sz w:val="20"/>
                <w:szCs w:val="20"/>
              </w:rPr>
            </w:pPr>
            <w:r w:rsidRPr="00D41731">
              <w:rPr>
                <w:rFonts w:ascii="Times New Roman" w:hAnsi="Times New Roman" w:cs="Times New Roman"/>
                <w:b/>
                <w:color w:val="000000" w:themeColor="text1"/>
                <w:sz w:val="20"/>
                <w:szCs w:val="20"/>
              </w:rPr>
              <w:t>ОФЗ-ПД</w:t>
            </w:r>
          </w:p>
        </w:tc>
        <w:tc>
          <w:tcPr>
            <w:tcW w:w="1873" w:type="dxa"/>
            <w:shd w:val="clear" w:color="auto" w:fill="FDE9D9" w:themeFill="accent6" w:themeFillTint="33"/>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p>
        </w:tc>
        <w:tc>
          <w:tcPr>
            <w:tcW w:w="1873" w:type="dxa"/>
            <w:shd w:val="clear" w:color="auto" w:fill="FDE9D9" w:themeFill="accent6" w:themeFillTint="33"/>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p>
        </w:tc>
        <w:tc>
          <w:tcPr>
            <w:tcW w:w="1873" w:type="dxa"/>
            <w:shd w:val="clear" w:color="auto" w:fill="FDE9D9" w:themeFill="accent6" w:themeFillTint="33"/>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p>
        </w:tc>
        <w:tc>
          <w:tcPr>
            <w:tcW w:w="1701" w:type="dxa"/>
            <w:shd w:val="clear" w:color="auto" w:fill="FDE9D9" w:themeFill="accent6" w:themeFillTint="33"/>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p>
        </w:tc>
      </w:tr>
      <w:tr w:rsidR="00915410" w:rsidRPr="00D41731" w:rsidTr="00915410">
        <w:tc>
          <w:tcPr>
            <w:tcW w:w="2663" w:type="dxa"/>
          </w:tcPr>
          <w:p w:rsidR="00915410" w:rsidRPr="00D41731" w:rsidRDefault="00915410" w:rsidP="00C4345F">
            <w:pPr>
              <w:widowControl w:val="0"/>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количество аукционов, единиц</w:t>
            </w:r>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33</w:t>
            </w:r>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49</w:t>
            </w:r>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82</w:t>
            </w:r>
          </w:p>
        </w:tc>
        <w:tc>
          <w:tcPr>
            <w:tcW w:w="1701"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70**</w:t>
            </w:r>
          </w:p>
        </w:tc>
      </w:tr>
      <w:tr w:rsidR="00915410" w:rsidRPr="00D41731" w:rsidTr="00915410">
        <w:tc>
          <w:tcPr>
            <w:tcW w:w="2663" w:type="dxa"/>
          </w:tcPr>
          <w:p w:rsidR="00915410" w:rsidRPr="00D41731" w:rsidRDefault="00915410" w:rsidP="00C4345F">
            <w:pPr>
              <w:widowControl w:val="0"/>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xml:space="preserve">доходность по средневзвешенной цене, % </w:t>
            </w:r>
            <w:proofErr w:type="gramStart"/>
            <w:r w:rsidRPr="00D41731">
              <w:rPr>
                <w:rFonts w:ascii="Times New Roman" w:hAnsi="Times New Roman" w:cs="Times New Roman"/>
                <w:color w:val="000000" w:themeColor="text1"/>
                <w:sz w:val="20"/>
                <w:szCs w:val="20"/>
              </w:rPr>
              <w:t>годовых</w:t>
            </w:r>
            <w:proofErr w:type="gramEnd"/>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от 9,45 до 15,27</w:t>
            </w:r>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от 8,05 до 10,74</w:t>
            </w:r>
          </w:p>
        </w:tc>
        <w:tc>
          <w:tcPr>
            <w:tcW w:w="1873" w:type="dxa"/>
            <w:vAlign w:val="center"/>
          </w:tcPr>
          <w:p w:rsidR="00915410" w:rsidRPr="00D41731" w:rsidRDefault="00915410" w:rsidP="00C4345F">
            <w:pPr>
              <w:widowControl w:val="0"/>
              <w:ind w:left="33" w:hanging="33"/>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от 6,90 до 8,59</w:t>
            </w:r>
          </w:p>
        </w:tc>
        <w:tc>
          <w:tcPr>
            <w:tcW w:w="1701"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от 6,55 до 8,84</w:t>
            </w:r>
          </w:p>
        </w:tc>
      </w:tr>
      <w:tr w:rsidR="00915410" w:rsidRPr="00D41731" w:rsidTr="00915410">
        <w:tc>
          <w:tcPr>
            <w:tcW w:w="2663" w:type="dxa"/>
            <w:shd w:val="clear" w:color="auto" w:fill="FDE9D9" w:themeFill="accent6" w:themeFillTint="33"/>
          </w:tcPr>
          <w:p w:rsidR="00915410" w:rsidRPr="00D41731" w:rsidRDefault="00915410" w:rsidP="00C4345F">
            <w:pPr>
              <w:widowControl w:val="0"/>
              <w:rPr>
                <w:rFonts w:ascii="Times New Roman" w:hAnsi="Times New Roman" w:cs="Times New Roman"/>
                <w:color w:val="000000" w:themeColor="text1"/>
                <w:sz w:val="20"/>
                <w:szCs w:val="20"/>
              </w:rPr>
            </w:pPr>
            <w:r w:rsidRPr="00D41731">
              <w:rPr>
                <w:rFonts w:ascii="Times New Roman" w:hAnsi="Times New Roman" w:cs="Times New Roman"/>
                <w:b/>
                <w:color w:val="000000" w:themeColor="text1"/>
                <w:sz w:val="20"/>
                <w:szCs w:val="20"/>
              </w:rPr>
              <w:t>ОФЗ-ПК</w:t>
            </w:r>
          </w:p>
        </w:tc>
        <w:tc>
          <w:tcPr>
            <w:tcW w:w="1873" w:type="dxa"/>
            <w:shd w:val="clear" w:color="auto" w:fill="FDE9D9" w:themeFill="accent6" w:themeFillTint="33"/>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p>
        </w:tc>
        <w:tc>
          <w:tcPr>
            <w:tcW w:w="1873" w:type="dxa"/>
            <w:shd w:val="clear" w:color="auto" w:fill="FDE9D9" w:themeFill="accent6" w:themeFillTint="33"/>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p>
        </w:tc>
        <w:tc>
          <w:tcPr>
            <w:tcW w:w="1873" w:type="dxa"/>
            <w:shd w:val="clear" w:color="auto" w:fill="FDE9D9" w:themeFill="accent6" w:themeFillTint="33"/>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p>
        </w:tc>
        <w:tc>
          <w:tcPr>
            <w:tcW w:w="1701" w:type="dxa"/>
            <w:shd w:val="clear" w:color="auto" w:fill="FDE9D9" w:themeFill="accent6" w:themeFillTint="33"/>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p>
        </w:tc>
      </w:tr>
      <w:tr w:rsidR="00915410" w:rsidRPr="00D41731" w:rsidTr="00915410">
        <w:tc>
          <w:tcPr>
            <w:tcW w:w="2663" w:type="dxa"/>
          </w:tcPr>
          <w:p w:rsidR="00915410" w:rsidRPr="00D41731" w:rsidRDefault="00915410" w:rsidP="00C4345F">
            <w:pPr>
              <w:widowControl w:val="0"/>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количество аукционов, единиц</w:t>
            </w:r>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42</w:t>
            </w:r>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36</w:t>
            </w:r>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16</w:t>
            </w:r>
          </w:p>
        </w:tc>
        <w:tc>
          <w:tcPr>
            <w:tcW w:w="1701"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5</w:t>
            </w:r>
          </w:p>
        </w:tc>
      </w:tr>
      <w:tr w:rsidR="00915410" w:rsidRPr="00D41731" w:rsidTr="00915410">
        <w:tc>
          <w:tcPr>
            <w:tcW w:w="2663" w:type="dxa"/>
          </w:tcPr>
          <w:p w:rsidR="00915410" w:rsidRPr="00D41731" w:rsidRDefault="00915410" w:rsidP="00C4345F">
            <w:pPr>
              <w:widowControl w:val="0"/>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xml:space="preserve">доходность по средневзвешенной цене, % </w:t>
            </w:r>
            <w:proofErr w:type="gramStart"/>
            <w:r w:rsidRPr="00D41731">
              <w:rPr>
                <w:rFonts w:ascii="Times New Roman" w:hAnsi="Times New Roman" w:cs="Times New Roman"/>
                <w:color w:val="000000" w:themeColor="text1"/>
                <w:sz w:val="20"/>
                <w:szCs w:val="20"/>
              </w:rPr>
              <w:t>годовых</w:t>
            </w:r>
            <w:proofErr w:type="gramEnd"/>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от 11,24 до 16,28</w:t>
            </w:r>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от 10,02 до 14,44</w:t>
            </w:r>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от 9,41 до 10,48</w:t>
            </w:r>
          </w:p>
        </w:tc>
        <w:tc>
          <w:tcPr>
            <w:tcW w:w="1701"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от 7,32 до 8,30</w:t>
            </w:r>
          </w:p>
        </w:tc>
      </w:tr>
      <w:tr w:rsidR="00915410" w:rsidRPr="00D41731" w:rsidTr="00915410">
        <w:tc>
          <w:tcPr>
            <w:tcW w:w="2663" w:type="dxa"/>
            <w:shd w:val="clear" w:color="auto" w:fill="FDE9D9" w:themeFill="accent6" w:themeFillTint="33"/>
          </w:tcPr>
          <w:p w:rsidR="00915410" w:rsidRPr="00D41731" w:rsidRDefault="00915410" w:rsidP="00C4345F">
            <w:pPr>
              <w:widowControl w:val="0"/>
              <w:rPr>
                <w:rFonts w:ascii="Times New Roman" w:hAnsi="Times New Roman" w:cs="Times New Roman"/>
                <w:b/>
                <w:color w:val="000000" w:themeColor="text1"/>
                <w:sz w:val="20"/>
                <w:szCs w:val="20"/>
              </w:rPr>
            </w:pPr>
            <w:r w:rsidRPr="00D41731">
              <w:rPr>
                <w:rFonts w:ascii="Times New Roman" w:hAnsi="Times New Roman" w:cs="Times New Roman"/>
                <w:b/>
                <w:color w:val="000000" w:themeColor="text1"/>
                <w:sz w:val="20"/>
                <w:szCs w:val="20"/>
              </w:rPr>
              <w:t>ОФЗ-ИН</w:t>
            </w:r>
          </w:p>
        </w:tc>
        <w:tc>
          <w:tcPr>
            <w:tcW w:w="1873" w:type="dxa"/>
            <w:shd w:val="clear" w:color="auto" w:fill="FDE9D9" w:themeFill="accent6" w:themeFillTint="33"/>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p>
        </w:tc>
        <w:tc>
          <w:tcPr>
            <w:tcW w:w="1873" w:type="dxa"/>
            <w:shd w:val="clear" w:color="auto" w:fill="FDE9D9" w:themeFill="accent6" w:themeFillTint="33"/>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p>
        </w:tc>
        <w:tc>
          <w:tcPr>
            <w:tcW w:w="1873" w:type="dxa"/>
            <w:shd w:val="clear" w:color="auto" w:fill="FDE9D9" w:themeFill="accent6" w:themeFillTint="33"/>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p>
        </w:tc>
        <w:tc>
          <w:tcPr>
            <w:tcW w:w="1701" w:type="dxa"/>
            <w:shd w:val="clear" w:color="auto" w:fill="FDE9D9" w:themeFill="accent6" w:themeFillTint="33"/>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p>
        </w:tc>
      </w:tr>
      <w:tr w:rsidR="00915410" w:rsidRPr="00D41731" w:rsidTr="00915410">
        <w:tc>
          <w:tcPr>
            <w:tcW w:w="2663" w:type="dxa"/>
          </w:tcPr>
          <w:p w:rsidR="00915410" w:rsidRPr="00D41731" w:rsidRDefault="00915410" w:rsidP="00C4345F">
            <w:pPr>
              <w:widowControl w:val="0"/>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количество аукционов, единиц</w:t>
            </w:r>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3</w:t>
            </w:r>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w:t>
            </w:r>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не размещались</w:t>
            </w:r>
          </w:p>
        </w:tc>
        <w:tc>
          <w:tcPr>
            <w:tcW w:w="1701"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6</w:t>
            </w:r>
          </w:p>
        </w:tc>
      </w:tr>
      <w:tr w:rsidR="00915410" w:rsidRPr="00D41731" w:rsidTr="00915410">
        <w:tc>
          <w:tcPr>
            <w:tcW w:w="2663" w:type="dxa"/>
          </w:tcPr>
          <w:p w:rsidR="00915410" w:rsidRPr="00D41731" w:rsidRDefault="00915410" w:rsidP="00C4345F">
            <w:pPr>
              <w:widowControl w:val="0"/>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xml:space="preserve">доходность по средневзвешенной цене, % </w:t>
            </w:r>
            <w:proofErr w:type="gramStart"/>
            <w:r w:rsidRPr="00D41731">
              <w:rPr>
                <w:rFonts w:ascii="Times New Roman" w:hAnsi="Times New Roman" w:cs="Times New Roman"/>
                <w:color w:val="000000" w:themeColor="text1"/>
                <w:sz w:val="20"/>
                <w:szCs w:val="20"/>
              </w:rPr>
              <w:t>годовых</w:t>
            </w:r>
            <w:proofErr w:type="gramEnd"/>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от 2,68 до 3,27</w:t>
            </w:r>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от 2,47 до 2,64</w:t>
            </w:r>
          </w:p>
        </w:tc>
        <w:tc>
          <w:tcPr>
            <w:tcW w:w="1873"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w:t>
            </w:r>
          </w:p>
        </w:tc>
        <w:tc>
          <w:tcPr>
            <w:tcW w:w="1701" w:type="dxa"/>
            <w:vAlign w:val="center"/>
          </w:tcPr>
          <w:p w:rsidR="00915410" w:rsidRPr="00D41731" w:rsidRDefault="00915410" w:rsidP="00C4345F">
            <w:pPr>
              <w:widowControl w:val="0"/>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от 2,89 до 3,42</w:t>
            </w:r>
          </w:p>
        </w:tc>
      </w:tr>
    </w:tbl>
    <w:p w:rsidR="00BB1C34" w:rsidRPr="00D41731" w:rsidRDefault="00C10751" w:rsidP="00C10751">
      <w:pPr>
        <w:widowControl w:val="0"/>
        <w:spacing w:after="0" w:line="240" w:lineRule="auto"/>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xml:space="preserve">*- </w:t>
      </w:r>
      <w:r w:rsidR="00135089" w:rsidRPr="00D41731">
        <w:rPr>
          <w:rFonts w:ascii="Times New Roman" w:hAnsi="Times New Roman" w:cs="Times New Roman"/>
          <w:color w:val="000000" w:themeColor="text1"/>
          <w:sz w:val="20"/>
          <w:szCs w:val="20"/>
        </w:rPr>
        <w:t xml:space="preserve">4 аукциона </w:t>
      </w:r>
      <w:proofErr w:type="gramStart"/>
      <w:r w:rsidR="00135089" w:rsidRPr="00D41731">
        <w:rPr>
          <w:rFonts w:ascii="Times New Roman" w:hAnsi="Times New Roman" w:cs="Times New Roman"/>
          <w:color w:val="000000" w:themeColor="text1"/>
          <w:sz w:val="20"/>
          <w:szCs w:val="20"/>
        </w:rPr>
        <w:t>признаны</w:t>
      </w:r>
      <w:proofErr w:type="gramEnd"/>
      <w:r w:rsidR="00135089" w:rsidRPr="00D41731">
        <w:rPr>
          <w:rFonts w:ascii="Times New Roman" w:hAnsi="Times New Roman" w:cs="Times New Roman"/>
          <w:color w:val="000000" w:themeColor="text1"/>
          <w:sz w:val="20"/>
          <w:szCs w:val="20"/>
        </w:rPr>
        <w:t xml:space="preserve"> не состоявшимися</w:t>
      </w:r>
    </w:p>
    <w:p w:rsidR="009D10C6" w:rsidRDefault="00C10751" w:rsidP="009D10C6">
      <w:pPr>
        <w:widowControl w:val="0"/>
        <w:spacing w:after="0" w:line="240" w:lineRule="auto"/>
        <w:rPr>
          <w:rFonts w:ascii="Times New Roman" w:eastAsia="Times New Roman" w:hAnsi="Times New Roman" w:cs="Times New Roman"/>
          <w:color w:val="000000" w:themeColor="text1"/>
          <w:sz w:val="24"/>
          <w:szCs w:val="24"/>
          <w:lang w:eastAsia="ru-RU"/>
        </w:rPr>
      </w:pPr>
      <w:r w:rsidRPr="00D41731">
        <w:rPr>
          <w:rFonts w:ascii="Times New Roman" w:hAnsi="Times New Roman" w:cs="Times New Roman"/>
          <w:color w:val="000000" w:themeColor="text1"/>
          <w:sz w:val="20"/>
          <w:szCs w:val="20"/>
        </w:rPr>
        <w:t xml:space="preserve">**- </w:t>
      </w:r>
      <w:r w:rsidR="00135089" w:rsidRPr="00D41731">
        <w:rPr>
          <w:rFonts w:ascii="Times New Roman" w:hAnsi="Times New Roman" w:cs="Times New Roman"/>
          <w:color w:val="000000" w:themeColor="text1"/>
          <w:sz w:val="20"/>
          <w:szCs w:val="20"/>
        </w:rPr>
        <w:t xml:space="preserve">3 аукциона </w:t>
      </w:r>
      <w:proofErr w:type="gramStart"/>
      <w:r w:rsidR="00135089" w:rsidRPr="00D41731">
        <w:rPr>
          <w:rFonts w:ascii="Times New Roman" w:hAnsi="Times New Roman" w:cs="Times New Roman"/>
          <w:color w:val="000000" w:themeColor="text1"/>
          <w:sz w:val="20"/>
          <w:szCs w:val="20"/>
        </w:rPr>
        <w:t>признаны</w:t>
      </w:r>
      <w:proofErr w:type="gramEnd"/>
      <w:r w:rsidR="00135089" w:rsidRPr="00D41731">
        <w:rPr>
          <w:rFonts w:ascii="Times New Roman" w:hAnsi="Times New Roman" w:cs="Times New Roman"/>
          <w:color w:val="000000" w:themeColor="text1"/>
          <w:sz w:val="20"/>
          <w:szCs w:val="20"/>
        </w:rPr>
        <w:t xml:space="preserve"> не состоявшимися</w:t>
      </w:r>
    </w:p>
    <w:p w:rsidR="00AD5395" w:rsidRDefault="00AD5395" w:rsidP="00AD5395">
      <w:pPr>
        <w:pStyle w:val="a5"/>
        <w:widowControl w:val="0"/>
        <w:spacing w:after="0" w:line="240" w:lineRule="auto"/>
        <w:ind w:left="709"/>
        <w:jc w:val="both"/>
        <w:rPr>
          <w:rFonts w:ascii="Times New Roman" w:eastAsia="Times New Roman" w:hAnsi="Times New Roman" w:cs="Times New Roman"/>
          <w:color w:val="000000" w:themeColor="text1"/>
          <w:sz w:val="24"/>
          <w:szCs w:val="24"/>
          <w:lang w:eastAsia="ru-RU"/>
        </w:rPr>
      </w:pPr>
    </w:p>
    <w:p w:rsidR="00691A30" w:rsidRDefault="00691A30" w:rsidP="00691A30">
      <w:pPr>
        <w:spacing w:after="12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Таблица № 6</w:t>
      </w:r>
    </w:p>
    <w:p w:rsidR="00691A30" w:rsidRPr="00691A30" w:rsidRDefault="00691A30" w:rsidP="00691A30">
      <w:pPr>
        <w:widowControl w:val="0"/>
        <w:spacing w:after="0" w:line="240" w:lineRule="auto"/>
        <w:jc w:val="both"/>
        <w:rPr>
          <w:rFonts w:ascii="Times New Roman" w:eastAsia="Times New Roman" w:hAnsi="Times New Roman" w:cs="Times New Roman"/>
          <w:color w:val="000000" w:themeColor="text1"/>
          <w:sz w:val="10"/>
          <w:szCs w:val="10"/>
          <w:lang w:eastAsia="ru-RU"/>
        </w:rPr>
      </w:pPr>
    </w:p>
    <w:p w:rsidR="007D1A18" w:rsidRPr="00691A30" w:rsidRDefault="003758FB"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691A30">
        <w:rPr>
          <w:rFonts w:ascii="Times New Roman" w:eastAsia="Times New Roman" w:hAnsi="Times New Roman" w:cs="Times New Roman"/>
          <w:color w:val="000000" w:themeColor="text1"/>
          <w:sz w:val="24"/>
          <w:szCs w:val="24"/>
          <w:lang w:eastAsia="ru-RU"/>
        </w:rPr>
        <w:t xml:space="preserve">Структура государственного внутреннего долга Российской Федерации, выраженного </w:t>
      </w:r>
      <w:r w:rsidR="00691A30">
        <w:rPr>
          <w:rFonts w:ascii="Times New Roman" w:eastAsia="Times New Roman" w:hAnsi="Times New Roman" w:cs="Times New Roman"/>
          <w:color w:val="000000" w:themeColor="text1"/>
          <w:sz w:val="24"/>
          <w:szCs w:val="24"/>
          <w:lang w:eastAsia="ru-RU"/>
        </w:rPr>
        <w:br/>
      </w:r>
      <w:r w:rsidRPr="00691A30">
        <w:rPr>
          <w:rFonts w:ascii="Times New Roman" w:eastAsia="Times New Roman" w:hAnsi="Times New Roman" w:cs="Times New Roman"/>
          <w:color w:val="000000" w:themeColor="text1"/>
          <w:sz w:val="24"/>
          <w:szCs w:val="24"/>
          <w:lang w:eastAsia="ru-RU"/>
        </w:rPr>
        <w:t>в государственных ценных бумагах Российской Федерации, в разрезе сроков обращения, установленных при выпуске</w:t>
      </w:r>
    </w:p>
    <w:p w:rsidR="00632012" w:rsidRDefault="00632012" w:rsidP="00632012">
      <w:pPr>
        <w:widowControl w:val="0"/>
        <w:shd w:val="clear" w:color="auto" w:fill="FFFFFF" w:themeFill="background1"/>
        <w:overflowPunct w:val="0"/>
        <w:autoSpaceDE w:val="0"/>
        <w:autoSpaceDN w:val="0"/>
        <w:adjustRightInd w:val="0"/>
        <w:spacing w:after="0" w:line="360" w:lineRule="auto"/>
        <w:ind w:right="-2" w:firstLine="709"/>
        <w:jc w:val="right"/>
        <w:textAlignment w:val="baseline"/>
        <w:rPr>
          <w:rFonts w:ascii="Times New Roman" w:eastAsia="Times New Roman" w:hAnsi="Times New Roman" w:cs="Times New Roman"/>
          <w:sz w:val="20"/>
          <w:szCs w:val="20"/>
          <w:lang w:eastAsia="ru-RU"/>
        </w:rPr>
      </w:pPr>
      <w:r w:rsidRPr="00D41731">
        <w:rPr>
          <w:rFonts w:ascii="Times New Roman" w:eastAsia="Times New Roman" w:hAnsi="Times New Roman" w:cs="Times New Roman"/>
          <w:sz w:val="20"/>
          <w:szCs w:val="20"/>
          <w:lang w:eastAsia="ru-RU"/>
        </w:rPr>
        <w:t>(млн. рублей)</w:t>
      </w:r>
    </w:p>
    <w:tbl>
      <w:tblPr>
        <w:tblW w:w="10237" w:type="dxa"/>
        <w:jc w:val="center"/>
        <w:tblInd w:w="-695" w:type="dxa"/>
        <w:tblCellMar>
          <w:left w:w="0" w:type="dxa"/>
          <w:right w:w="0" w:type="dxa"/>
        </w:tblCellMar>
        <w:tblLook w:val="04A0" w:firstRow="1" w:lastRow="0" w:firstColumn="1" w:lastColumn="0" w:noHBand="0" w:noVBand="1"/>
      </w:tblPr>
      <w:tblGrid>
        <w:gridCol w:w="2251"/>
        <w:gridCol w:w="989"/>
        <w:gridCol w:w="1089"/>
        <w:gridCol w:w="987"/>
        <w:gridCol w:w="946"/>
        <w:gridCol w:w="988"/>
        <w:gridCol w:w="946"/>
        <w:gridCol w:w="1095"/>
        <w:gridCol w:w="946"/>
      </w:tblGrid>
      <w:tr w:rsidR="009B5D23" w:rsidRPr="00D41731" w:rsidTr="00AD5395">
        <w:trPr>
          <w:trHeight w:val="695"/>
          <w:tblHeader/>
          <w:jc w:val="center"/>
        </w:trPr>
        <w:tc>
          <w:tcPr>
            <w:tcW w:w="22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D41731">
              <w:rPr>
                <w:rFonts w:ascii="Times New Roman" w:hAnsi="Times New Roman" w:cs="Times New Roman"/>
                <w:b/>
                <w:bCs/>
                <w:sz w:val="16"/>
                <w:szCs w:val="16"/>
                <w:lang w:eastAsia="ru-RU"/>
              </w:rPr>
              <w:t>Сроки обращения ОФЗ/ГСО/ОВОЗ, установленные при выпуске</w:t>
            </w:r>
          </w:p>
        </w:tc>
        <w:tc>
          <w:tcPr>
            <w:tcW w:w="98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D41731">
              <w:rPr>
                <w:rFonts w:ascii="Times New Roman" w:hAnsi="Times New Roman" w:cs="Times New Roman"/>
                <w:b/>
                <w:bCs/>
                <w:sz w:val="16"/>
                <w:szCs w:val="16"/>
                <w:lang w:eastAsia="ru-RU"/>
              </w:rPr>
              <w:t>на 01.01.16</w:t>
            </w:r>
          </w:p>
        </w:tc>
        <w:tc>
          <w:tcPr>
            <w:tcW w:w="1089" w:type="dxa"/>
            <w:tcBorders>
              <w:top w:val="single" w:sz="8" w:space="0" w:color="auto"/>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D41731">
              <w:rPr>
                <w:rFonts w:ascii="Times New Roman" w:hAnsi="Times New Roman" w:cs="Times New Roman"/>
                <w:b/>
                <w:bCs/>
                <w:sz w:val="16"/>
                <w:szCs w:val="16"/>
                <w:lang w:eastAsia="ru-RU"/>
              </w:rPr>
              <w:t xml:space="preserve">Доля </w:t>
            </w:r>
            <w:proofErr w:type="spellStart"/>
            <w:r w:rsidRPr="00D41731">
              <w:rPr>
                <w:rFonts w:ascii="Times New Roman" w:hAnsi="Times New Roman" w:cs="Times New Roman"/>
                <w:b/>
                <w:bCs/>
                <w:sz w:val="16"/>
                <w:szCs w:val="16"/>
                <w:lang w:eastAsia="ru-RU"/>
              </w:rPr>
              <w:t>цен</w:t>
            </w:r>
            <w:proofErr w:type="gramStart"/>
            <w:r w:rsidRPr="00D41731">
              <w:rPr>
                <w:rFonts w:ascii="Times New Roman" w:hAnsi="Times New Roman" w:cs="Times New Roman"/>
                <w:b/>
                <w:bCs/>
                <w:sz w:val="16"/>
                <w:szCs w:val="16"/>
                <w:lang w:eastAsia="ru-RU"/>
              </w:rPr>
              <w:t>.б</w:t>
            </w:r>
            <w:proofErr w:type="gramEnd"/>
            <w:r w:rsidRPr="00D41731">
              <w:rPr>
                <w:rFonts w:ascii="Times New Roman" w:hAnsi="Times New Roman" w:cs="Times New Roman"/>
                <w:b/>
                <w:bCs/>
                <w:sz w:val="16"/>
                <w:szCs w:val="16"/>
                <w:lang w:eastAsia="ru-RU"/>
              </w:rPr>
              <w:t>ум</w:t>
            </w:r>
            <w:proofErr w:type="spellEnd"/>
            <w:r w:rsidRPr="00D41731">
              <w:rPr>
                <w:rFonts w:ascii="Times New Roman" w:hAnsi="Times New Roman" w:cs="Times New Roman"/>
                <w:b/>
                <w:bCs/>
                <w:sz w:val="16"/>
                <w:szCs w:val="16"/>
                <w:lang w:eastAsia="ru-RU"/>
              </w:rPr>
              <w:t xml:space="preserve">. в общем объеме </w:t>
            </w:r>
            <w:proofErr w:type="spellStart"/>
            <w:r w:rsidRPr="00D41731">
              <w:rPr>
                <w:rFonts w:ascii="Times New Roman" w:hAnsi="Times New Roman" w:cs="Times New Roman"/>
                <w:b/>
                <w:bCs/>
                <w:sz w:val="16"/>
                <w:szCs w:val="16"/>
                <w:lang w:eastAsia="ru-RU"/>
              </w:rPr>
              <w:t>гос.вн.долга</w:t>
            </w:r>
            <w:proofErr w:type="spellEnd"/>
            <w:r w:rsidRPr="00D41731">
              <w:rPr>
                <w:rFonts w:ascii="Times New Roman" w:hAnsi="Times New Roman" w:cs="Times New Roman"/>
                <w:b/>
                <w:bCs/>
                <w:sz w:val="16"/>
                <w:szCs w:val="16"/>
                <w:lang w:eastAsia="ru-RU"/>
              </w:rPr>
              <w:t>, %</w:t>
            </w:r>
          </w:p>
        </w:tc>
        <w:tc>
          <w:tcPr>
            <w:tcW w:w="98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D41731">
              <w:rPr>
                <w:rFonts w:ascii="Times New Roman" w:hAnsi="Times New Roman" w:cs="Times New Roman"/>
                <w:b/>
                <w:bCs/>
                <w:sz w:val="16"/>
                <w:szCs w:val="16"/>
                <w:lang w:eastAsia="ru-RU"/>
              </w:rPr>
              <w:t>на 01.01.17</w:t>
            </w:r>
          </w:p>
        </w:tc>
        <w:tc>
          <w:tcPr>
            <w:tcW w:w="946" w:type="dxa"/>
            <w:tcBorders>
              <w:top w:val="single" w:sz="8" w:space="0" w:color="auto"/>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D41731">
              <w:rPr>
                <w:rFonts w:ascii="Times New Roman" w:hAnsi="Times New Roman" w:cs="Times New Roman"/>
                <w:b/>
                <w:bCs/>
                <w:sz w:val="16"/>
                <w:szCs w:val="16"/>
                <w:lang w:eastAsia="ru-RU"/>
              </w:rPr>
              <w:t xml:space="preserve">Доля </w:t>
            </w:r>
            <w:proofErr w:type="spellStart"/>
            <w:r w:rsidRPr="00D41731">
              <w:rPr>
                <w:rFonts w:ascii="Times New Roman" w:hAnsi="Times New Roman" w:cs="Times New Roman"/>
                <w:b/>
                <w:bCs/>
                <w:sz w:val="16"/>
                <w:szCs w:val="16"/>
                <w:lang w:eastAsia="ru-RU"/>
              </w:rPr>
              <w:t>цен</w:t>
            </w:r>
            <w:proofErr w:type="gramStart"/>
            <w:r w:rsidRPr="00D41731">
              <w:rPr>
                <w:rFonts w:ascii="Times New Roman" w:hAnsi="Times New Roman" w:cs="Times New Roman"/>
                <w:b/>
                <w:bCs/>
                <w:sz w:val="16"/>
                <w:szCs w:val="16"/>
                <w:lang w:eastAsia="ru-RU"/>
              </w:rPr>
              <w:t>.б</w:t>
            </w:r>
            <w:proofErr w:type="gramEnd"/>
            <w:r w:rsidRPr="00D41731">
              <w:rPr>
                <w:rFonts w:ascii="Times New Roman" w:hAnsi="Times New Roman" w:cs="Times New Roman"/>
                <w:b/>
                <w:bCs/>
                <w:sz w:val="16"/>
                <w:szCs w:val="16"/>
                <w:lang w:eastAsia="ru-RU"/>
              </w:rPr>
              <w:t>ум</w:t>
            </w:r>
            <w:proofErr w:type="spellEnd"/>
            <w:r w:rsidRPr="00D41731">
              <w:rPr>
                <w:rFonts w:ascii="Times New Roman" w:hAnsi="Times New Roman" w:cs="Times New Roman"/>
                <w:b/>
                <w:bCs/>
                <w:sz w:val="16"/>
                <w:szCs w:val="16"/>
                <w:lang w:eastAsia="ru-RU"/>
              </w:rPr>
              <w:t xml:space="preserve">. в общем объеме </w:t>
            </w:r>
            <w:proofErr w:type="spellStart"/>
            <w:r w:rsidRPr="00D41731">
              <w:rPr>
                <w:rFonts w:ascii="Times New Roman" w:hAnsi="Times New Roman" w:cs="Times New Roman"/>
                <w:b/>
                <w:bCs/>
                <w:sz w:val="16"/>
                <w:szCs w:val="16"/>
                <w:lang w:eastAsia="ru-RU"/>
              </w:rPr>
              <w:t>гос.вн.долга</w:t>
            </w:r>
            <w:proofErr w:type="spellEnd"/>
            <w:r w:rsidRPr="00D41731">
              <w:rPr>
                <w:rFonts w:ascii="Times New Roman" w:hAnsi="Times New Roman" w:cs="Times New Roman"/>
                <w:b/>
                <w:bCs/>
                <w:sz w:val="16"/>
                <w:szCs w:val="16"/>
                <w:lang w:eastAsia="ru-RU"/>
              </w:rPr>
              <w:t>, %</w:t>
            </w:r>
          </w:p>
        </w:tc>
        <w:tc>
          <w:tcPr>
            <w:tcW w:w="98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D41731">
              <w:rPr>
                <w:rFonts w:ascii="Times New Roman" w:hAnsi="Times New Roman" w:cs="Times New Roman"/>
                <w:b/>
                <w:bCs/>
                <w:sz w:val="16"/>
                <w:szCs w:val="16"/>
                <w:lang w:eastAsia="ru-RU"/>
              </w:rPr>
              <w:t>на 01.01.18</w:t>
            </w:r>
          </w:p>
        </w:tc>
        <w:tc>
          <w:tcPr>
            <w:tcW w:w="946" w:type="dxa"/>
            <w:tcBorders>
              <w:top w:val="single" w:sz="8" w:space="0" w:color="auto"/>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D41731">
              <w:rPr>
                <w:rFonts w:ascii="Times New Roman" w:hAnsi="Times New Roman" w:cs="Times New Roman"/>
                <w:b/>
                <w:bCs/>
                <w:sz w:val="16"/>
                <w:szCs w:val="16"/>
                <w:lang w:eastAsia="ru-RU"/>
              </w:rPr>
              <w:t xml:space="preserve">Доля </w:t>
            </w:r>
            <w:proofErr w:type="spellStart"/>
            <w:r w:rsidRPr="00D41731">
              <w:rPr>
                <w:rFonts w:ascii="Times New Roman" w:hAnsi="Times New Roman" w:cs="Times New Roman"/>
                <w:b/>
                <w:bCs/>
                <w:sz w:val="16"/>
                <w:szCs w:val="16"/>
                <w:lang w:eastAsia="ru-RU"/>
              </w:rPr>
              <w:t>цен</w:t>
            </w:r>
            <w:proofErr w:type="gramStart"/>
            <w:r w:rsidRPr="00D41731">
              <w:rPr>
                <w:rFonts w:ascii="Times New Roman" w:hAnsi="Times New Roman" w:cs="Times New Roman"/>
                <w:b/>
                <w:bCs/>
                <w:sz w:val="16"/>
                <w:szCs w:val="16"/>
                <w:lang w:eastAsia="ru-RU"/>
              </w:rPr>
              <w:t>.б</w:t>
            </w:r>
            <w:proofErr w:type="gramEnd"/>
            <w:r w:rsidRPr="00D41731">
              <w:rPr>
                <w:rFonts w:ascii="Times New Roman" w:hAnsi="Times New Roman" w:cs="Times New Roman"/>
                <w:b/>
                <w:bCs/>
                <w:sz w:val="16"/>
                <w:szCs w:val="16"/>
                <w:lang w:eastAsia="ru-RU"/>
              </w:rPr>
              <w:t>ум</w:t>
            </w:r>
            <w:proofErr w:type="spellEnd"/>
            <w:r w:rsidRPr="00D41731">
              <w:rPr>
                <w:rFonts w:ascii="Times New Roman" w:hAnsi="Times New Roman" w:cs="Times New Roman"/>
                <w:b/>
                <w:bCs/>
                <w:sz w:val="16"/>
                <w:szCs w:val="16"/>
                <w:lang w:eastAsia="ru-RU"/>
              </w:rPr>
              <w:t xml:space="preserve">. в общем объеме </w:t>
            </w:r>
            <w:proofErr w:type="spellStart"/>
            <w:r w:rsidRPr="00D41731">
              <w:rPr>
                <w:rFonts w:ascii="Times New Roman" w:hAnsi="Times New Roman" w:cs="Times New Roman"/>
                <w:b/>
                <w:bCs/>
                <w:sz w:val="16"/>
                <w:szCs w:val="16"/>
                <w:lang w:eastAsia="ru-RU"/>
              </w:rPr>
              <w:t>гос.вн.долга</w:t>
            </w:r>
            <w:proofErr w:type="spellEnd"/>
            <w:r w:rsidRPr="00D41731">
              <w:rPr>
                <w:rFonts w:ascii="Times New Roman" w:hAnsi="Times New Roman" w:cs="Times New Roman"/>
                <w:b/>
                <w:bCs/>
                <w:sz w:val="16"/>
                <w:szCs w:val="16"/>
                <w:lang w:eastAsia="ru-RU"/>
              </w:rPr>
              <w:t>, %</w:t>
            </w:r>
          </w:p>
        </w:tc>
        <w:tc>
          <w:tcPr>
            <w:tcW w:w="1095" w:type="dxa"/>
            <w:tcBorders>
              <w:top w:val="single" w:sz="8" w:space="0" w:color="auto"/>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D41731">
              <w:rPr>
                <w:rFonts w:ascii="Times New Roman" w:hAnsi="Times New Roman" w:cs="Times New Roman"/>
                <w:b/>
                <w:bCs/>
                <w:sz w:val="16"/>
                <w:szCs w:val="16"/>
                <w:lang w:eastAsia="ru-RU"/>
              </w:rPr>
              <w:t>на 01.01.19</w:t>
            </w:r>
          </w:p>
        </w:tc>
        <w:tc>
          <w:tcPr>
            <w:tcW w:w="946" w:type="dxa"/>
            <w:tcBorders>
              <w:top w:val="single" w:sz="8" w:space="0" w:color="auto"/>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b/>
                <w:bCs/>
                <w:sz w:val="16"/>
                <w:szCs w:val="16"/>
                <w:lang w:eastAsia="ru-RU"/>
              </w:rPr>
            </w:pPr>
            <w:r w:rsidRPr="00D41731">
              <w:rPr>
                <w:rFonts w:ascii="Times New Roman" w:hAnsi="Times New Roman" w:cs="Times New Roman"/>
                <w:b/>
                <w:bCs/>
                <w:sz w:val="16"/>
                <w:szCs w:val="16"/>
                <w:lang w:eastAsia="ru-RU"/>
              </w:rPr>
              <w:t xml:space="preserve">Доля </w:t>
            </w:r>
            <w:proofErr w:type="spellStart"/>
            <w:r w:rsidRPr="00D41731">
              <w:rPr>
                <w:rFonts w:ascii="Times New Roman" w:hAnsi="Times New Roman" w:cs="Times New Roman"/>
                <w:b/>
                <w:bCs/>
                <w:sz w:val="16"/>
                <w:szCs w:val="16"/>
                <w:lang w:eastAsia="ru-RU"/>
              </w:rPr>
              <w:t>цен</w:t>
            </w:r>
            <w:proofErr w:type="gramStart"/>
            <w:r w:rsidRPr="00D41731">
              <w:rPr>
                <w:rFonts w:ascii="Times New Roman" w:hAnsi="Times New Roman" w:cs="Times New Roman"/>
                <w:b/>
                <w:bCs/>
                <w:sz w:val="16"/>
                <w:szCs w:val="16"/>
                <w:lang w:eastAsia="ru-RU"/>
              </w:rPr>
              <w:t>.б</w:t>
            </w:r>
            <w:proofErr w:type="gramEnd"/>
            <w:r w:rsidRPr="00D41731">
              <w:rPr>
                <w:rFonts w:ascii="Times New Roman" w:hAnsi="Times New Roman" w:cs="Times New Roman"/>
                <w:b/>
                <w:bCs/>
                <w:sz w:val="16"/>
                <w:szCs w:val="16"/>
                <w:lang w:eastAsia="ru-RU"/>
              </w:rPr>
              <w:t>ум</w:t>
            </w:r>
            <w:proofErr w:type="spellEnd"/>
            <w:r w:rsidRPr="00D41731">
              <w:rPr>
                <w:rFonts w:ascii="Times New Roman" w:hAnsi="Times New Roman" w:cs="Times New Roman"/>
                <w:b/>
                <w:bCs/>
                <w:sz w:val="16"/>
                <w:szCs w:val="16"/>
                <w:lang w:eastAsia="ru-RU"/>
              </w:rPr>
              <w:t xml:space="preserve">. в общем объеме </w:t>
            </w:r>
            <w:proofErr w:type="spellStart"/>
            <w:r w:rsidRPr="00D41731">
              <w:rPr>
                <w:rFonts w:ascii="Times New Roman" w:hAnsi="Times New Roman" w:cs="Times New Roman"/>
                <w:b/>
                <w:bCs/>
                <w:sz w:val="16"/>
                <w:szCs w:val="16"/>
                <w:lang w:eastAsia="ru-RU"/>
              </w:rPr>
              <w:t>гос.вн.долга</w:t>
            </w:r>
            <w:proofErr w:type="spellEnd"/>
            <w:r w:rsidRPr="00D41731">
              <w:rPr>
                <w:rFonts w:ascii="Times New Roman" w:hAnsi="Times New Roman" w:cs="Times New Roman"/>
                <w:b/>
                <w:bCs/>
                <w:sz w:val="16"/>
                <w:szCs w:val="16"/>
                <w:lang w:eastAsia="ru-RU"/>
              </w:rPr>
              <w:t>, %</w:t>
            </w:r>
          </w:p>
        </w:tc>
      </w:tr>
      <w:tr w:rsidR="009B5D23" w:rsidRPr="00D41731" w:rsidTr="00AD5395">
        <w:trPr>
          <w:trHeight w:val="359"/>
          <w:jc w:val="center"/>
        </w:trPr>
        <w:tc>
          <w:tcPr>
            <w:tcW w:w="22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i/>
                <w:iCs/>
                <w:sz w:val="16"/>
                <w:szCs w:val="16"/>
                <w:lang w:eastAsia="ru-RU"/>
              </w:rPr>
            </w:pPr>
            <w:r w:rsidRPr="00D41731">
              <w:rPr>
                <w:rFonts w:ascii="Times New Roman" w:hAnsi="Times New Roman" w:cs="Times New Roman"/>
                <w:sz w:val="16"/>
                <w:szCs w:val="16"/>
                <w:lang w:eastAsia="ru-RU"/>
              </w:rPr>
              <w:t>Государственный внутренний долг РФ, выраженный в государственных ценных бумагах РФ (ОФЗ/ГСО/ОВОЗ), всего</w:t>
            </w:r>
            <w:r w:rsidRPr="00D41731">
              <w:rPr>
                <w:rFonts w:ascii="Times New Roman" w:hAnsi="Times New Roman" w:cs="Times New Roman"/>
                <w:i/>
                <w:iCs/>
                <w:sz w:val="16"/>
                <w:szCs w:val="16"/>
                <w:lang w:eastAsia="ru-RU"/>
              </w:rPr>
              <w:t>:</w:t>
            </w:r>
          </w:p>
        </w:tc>
        <w:tc>
          <w:tcPr>
            <w:tcW w:w="9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5 573 094,5</w:t>
            </w:r>
          </w:p>
        </w:tc>
        <w:tc>
          <w:tcPr>
            <w:tcW w:w="1089" w:type="dxa"/>
            <w:tcBorders>
              <w:top w:val="nil"/>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100,0</w:t>
            </w:r>
          </w:p>
        </w:tc>
        <w:tc>
          <w:tcPr>
            <w:tcW w:w="9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6 100 340,6</w:t>
            </w:r>
          </w:p>
        </w:tc>
        <w:tc>
          <w:tcPr>
            <w:tcW w:w="946" w:type="dxa"/>
            <w:tcBorders>
              <w:top w:val="nil"/>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100,0</w:t>
            </w:r>
          </w:p>
        </w:tc>
        <w:tc>
          <w:tcPr>
            <w:tcW w:w="9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7 247 123,9</w:t>
            </w:r>
          </w:p>
        </w:tc>
        <w:tc>
          <w:tcPr>
            <w:tcW w:w="946" w:type="dxa"/>
            <w:tcBorders>
              <w:top w:val="nil"/>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100,0</w:t>
            </w:r>
          </w:p>
        </w:tc>
        <w:tc>
          <w:tcPr>
            <w:tcW w:w="1095"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7 749 474,1</w:t>
            </w:r>
          </w:p>
        </w:tc>
        <w:tc>
          <w:tcPr>
            <w:tcW w:w="946"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100,0</w:t>
            </w:r>
          </w:p>
        </w:tc>
      </w:tr>
      <w:tr w:rsidR="009B5D23" w:rsidRPr="00D41731" w:rsidTr="00AD5395">
        <w:trPr>
          <w:trHeight w:val="60"/>
          <w:jc w:val="center"/>
        </w:trPr>
        <w:tc>
          <w:tcPr>
            <w:tcW w:w="22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both"/>
              <w:textAlignment w:val="baseline"/>
              <w:rPr>
                <w:rFonts w:ascii="Times New Roman" w:hAnsi="Times New Roman" w:cs="Times New Roman"/>
                <w:i/>
                <w:iCs/>
                <w:sz w:val="16"/>
                <w:szCs w:val="16"/>
                <w:lang w:eastAsia="ru-RU"/>
              </w:rPr>
            </w:pPr>
            <w:r w:rsidRPr="00D41731">
              <w:rPr>
                <w:rFonts w:ascii="Times New Roman" w:hAnsi="Times New Roman" w:cs="Times New Roman"/>
                <w:i/>
                <w:iCs/>
                <w:sz w:val="16"/>
                <w:szCs w:val="16"/>
                <w:lang w:eastAsia="ru-RU"/>
              </w:rPr>
              <w:t>в том числе:</w:t>
            </w:r>
          </w:p>
        </w:tc>
        <w:tc>
          <w:tcPr>
            <w:tcW w:w="989" w:type="dxa"/>
            <w:tcBorders>
              <w:top w:val="nil"/>
              <w:left w:val="nil"/>
              <w:bottom w:val="single" w:sz="8" w:space="0" w:color="auto"/>
              <w:right w:val="single" w:sz="8" w:space="0" w:color="auto"/>
            </w:tcBorders>
            <w:tcMar>
              <w:top w:w="0" w:type="dxa"/>
              <w:left w:w="108" w:type="dxa"/>
              <w:bottom w:w="0" w:type="dxa"/>
              <w:right w:w="108" w:type="dxa"/>
            </w:tcMar>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p>
        </w:tc>
        <w:tc>
          <w:tcPr>
            <w:tcW w:w="1089"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p>
        </w:tc>
        <w:tc>
          <w:tcPr>
            <w:tcW w:w="987" w:type="dxa"/>
            <w:tcBorders>
              <w:top w:val="nil"/>
              <w:left w:val="nil"/>
              <w:bottom w:val="single" w:sz="8" w:space="0" w:color="auto"/>
              <w:right w:val="single" w:sz="8" w:space="0" w:color="auto"/>
            </w:tcBorders>
            <w:tcMar>
              <w:top w:w="0" w:type="dxa"/>
              <w:left w:w="108" w:type="dxa"/>
              <w:bottom w:w="0" w:type="dxa"/>
              <w:right w:w="108" w:type="dxa"/>
            </w:tcMar>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p>
        </w:tc>
        <w:tc>
          <w:tcPr>
            <w:tcW w:w="946"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p>
        </w:tc>
        <w:tc>
          <w:tcPr>
            <w:tcW w:w="988" w:type="dxa"/>
            <w:tcBorders>
              <w:top w:val="nil"/>
              <w:left w:val="nil"/>
              <w:bottom w:val="single" w:sz="8" w:space="0" w:color="auto"/>
              <w:right w:val="single" w:sz="8" w:space="0" w:color="auto"/>
            </w:tcBorders>
            <w:tcMar>
              <w:top w:w="0" w:type="dxa"/>
              <w:left w:w="108" w:type="dxa"/>
              <w:bottom w:w="0" w:type="dxa"/>
              <w:right w:w="108" w:type="dxa"/>
            </w:tcMar>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p>
        </w:tc>
        <w:tc>
          <w:tcPr>
            <w:tcW w:w="946"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p>
        </w:tc>
        <w:tc>
          <w:tcPr>
            <w:tcW w:w="1095"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 </w:t>
            </w:r>
          </w:p>
        </w:tc>
        <w:tc>
          <w:tcPr>
            <w:tcW w:w="946"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 </w:t>
            </w:r>
          </w:p>
        </w:tc>
      </w:tr>
      <w:tr w:rsidR="009B5D23" w:rsidRPr="00D41731" w:rsidTr="00AD5395">
        <w:trPr>
          <w:trHeight w:val="359"/>
          <w:jc w:val="center"/>
        </w:trPr>
        <w:tc>
          <w:tcPr>
            <w:tcW w:w="22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9B5D23">
            <w:pPr>
              <w:overflowPunct w:val="0"/>
              <w:autoSpaceDE w:val="0"/>
              <w:autoSpaceDN w:val="0"/>
              <w:spacing w:after="0" w:line="240" w:lineRule="auto"/>
              <w:jc w:val="both"/>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краткосрочные обязательства  (до 1 года)</w:t>
            </w:r>
          </w:p>
        </w:tc>
        <w:tc>
          <w:tcPr>
            <w:tcW w:w="9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0,0</w:t>
            </w:r>
          </w:p>
        </w:tc>
        <w:tc>
          <w:tcPr>
            <w:tcW w:w="1089" w:type="dxa"/>
            <w:tcBorders>
              <w:top w:val="nil"/>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0,0</w:t>
            </w:r>
          </w:p>
        </w:tc>
        <w:tc>
          <w:tcPr>
            <w:tcW w:w="9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0,0</w:t>
            </w:r>
          </w:p>
        </w:tc>
        <w:tc>
          <w:tcPr>
            <w:tcW w:w="946" w:type="dxa"/>
            <w:tcBorders>
              <w:top w:val="nil"/>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0,0</w:t>
            </w:r>
          </w:p>
        </w:tc>
        <w:tc>
          <w:tcPr>
            <w:tcW w:w="9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0,0</w:t>
            </w:r>
          </w:p>
        </w:tc>
        <w:tc>
          <w:tcPr>
            <w:tcW w:w="946" w:type="dxa"/>
            <w:tcBorders>
              <w:top w:val="nil"/>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0,0</w:t>
            </w:r>
          </w:p>
        </w:tc>
        <w:tc>
          <w:tcPr>
            <w:tcW w:w="1095"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0,0</w:t>
            </w:r>
          </w:p>
        </w:tc>
        <w:tc>
          <w:tcPr>
            <w:tcW w:w="946"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0,0</w:t>
            </w:r>
          </w:p>
        </w:tc>
      </w:tr>
      <w:tr w:rsidR="009B5D23" w:rsidRPr="00D41731" w:rsidTr="00AD5395">
        <w:trPr>
          <w:trHeight w:val="421"/>
          <w:jc w:val="center"/>
        </w:trPr>
        <w:tc>
          <w:tcPr>
            <w:tcW w:w="22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9B5D23">
            <w:pPr>
              <w:overflowPunct w:val="0"/>
              <w:autoSpaceDE w:val="0"/>
              <w:autoSpaceDN w:val="0"/>
              <w:spacing w:after="0" w:line="240" w:lineRule="auto"/>
              <w:jc w:val="both"/>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среднесрочные обязательства</w:t>
            </w:r>
          </w:p>
          <w:p w:rsidR="009B5D23" w:rsidRPr="00D41731" w:rsidRDefault="009B5D23" w:rsidP="009B5D23">
            <w:pPr>
              <w:overflowPunct w:val="0"/>
              <w:autoSpaceDE w:val="0"/>
              <w:autoSpaceDN w:val="0"/>
              <w:spacing w:after="0" w:line="240" w:lineRule="auto"/>
              <w:jc w:val="both"/>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(от 1 года до 5 лет)</w:t>
            </w:r>
          </w:p>
        </w:tc>
        <w:tc>
          <w:tcPr>
            <w:tcW w:w="9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739 343,3</w:t>
            </w:r>
          </w:p>
        </w:tc>
        <w:tc>
          <w:tcPr>
            <w:tcW w:w="1089" w:type="dxa"/>
            <w:tcBorders>
              <w:top w:val="nil"/>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13,3</w:t>
            </w:r>
          </w:p>
        </w:tc>
        <w:tc>
          <w:tcPr>
            <w:tcW w:w="9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545 000,0</w:t>
            </w:r>
          </w:p>
        </w:tc>
        <w:tc>
          <w:tcPr>
            <w:tcW w:w="946" w:type="dxa"/>
            <w:tcBorders>
              <w:top w:val="nil"/>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8,9</w:t>
            </w:r>
          </w:p>
        </w:tc>
        <w:tc>
          <w:tcPr>
            <w:tcW w:w="9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372 371,7</w:t>
            </w:r>
          </w:p>
        </w:tc>
        <w:tc>
          <w:tcPr>
            <w:tcW w:w="946" w:type="dxa"/>
            <w:tcBorders>
              <w:top w:val="nil"/>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5,1</w:t>
            </w:r>
          </w:p>
        </w:tc>
        <w:tc>
          <w:tcPr>
            <w:tcW w:w="1095"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513 857,2</w:t>
            </w:r>
          </w:p>
        </w:tc>
        <w:tc>
          <w:tcPr>
            <w:tcW w:w="946" w:type="dxa"/>
            <w:tcBorders>
              <w:top w:val="nil"/>
              <w:left w:val="nil"/>
              <w:bottom w:val="single" w:sz="8" w:space="0" w:color="auto"/>
              <w:right w:val="single" w:sz="8" w:space="0" w:color="auto"/>
            </w:tcBorders>
            <w:vAlign w:val="center"/>
          </w:tcPr>
          <w:p w:rsidR="009B5D23" w:rsidRPr="00D41731" w:rsidRDefault="009B5D23" w:rsidP="00AD5395">
            <w:pPr>
              <w:spacing w:after="0" w:line="240" w:lineRule="auto"/>
              <w:jc w:val="center"/>
              <w:rPr>
                <w:rFonts w:ascii="Times New Roman" w:hAnsi="Times New Roman" w:cs="Times New Roman"/>
                <w:sz w:val="16"/>
                <w:szCs w:val="16"/>
                <w:lang w:eastAsia="ru-RU"/>
              </w:rPr>
            </w:pPr>
            <w:r w:rsidRPr="00D41731">
              <w:rPr>
                <w:rFonts w:ascii="Times New Roman" w:hAnsi="Times New Roman" w:cs="Times New Roman"/>
                <w:sz w:val="16"/>
                <w:szCs w:val="16"/>
                <w:lang w:eastAsia="ru-RU"/>
              </w:rPr>
              <w:t>6,6</w:t>
            </w:r>
          </w:p>
        </w:tc>
      </w:tr>
      <w:tr w:rsidR="009B5D23" w:rsidRPr="00D41731" w:rsidTr="009B5D23">
        <w:trPr>
          <w:trHeight w:val="50"/>
          <w:jc w:val="center"/>
        </w:trPr>
        <w:tc>
          <w:tcPr>
            <w:tcW w:w="22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both"/>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Темпы прироста</w:t>
            </w:r>
          </w:p>
        </w:tc>
        <w:tc>
          <w:tcPr>
            <w:tcW w:w="9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- 24,2%</w:t>
            </w:r>
          </w:p>
        </w:tc>
        <w:tc>
          <w:tcPr>
            <w:tcW w:w="1089"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p>
        </w:tc>
        <w:tc>
          <w:tcPr>
            <w:tcW w:w="9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- 26,3%</w:t>
            </w:r>
          </w:p>
        </w:tc>
        <w:tc>
          <w:tcPr>
            <w:tcW w:w="946"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p>
        </w:tc>
        <w:tc>
          <w:tcPr>
            <w:tcW w:w="9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-31,7%</w:t>
            </w:r>
          </w:p>
        </w:tc>
        <w:tc>
          <w:tcPr>
            <w:tcW w:w="946"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p>
        </w:tc>
        <w:tc>
          <w:tcPr>
            <w:tcW w:w="1095"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38,0%</w:t>
            </w:r>
          </w:p>
        </w:tc>
        <w:tc>
          <w:tcPr>
            <w:tcW w:w="946"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 </w:t>
            </w:r>
          </w:p>
        </w:tc>
      </w:tr>
      <w:tr w:rsidR="009B5D23" w:rsidRPr="00D41731" w:rsidTr="00AD5395">
        <w:trPr>
          <w:trHeight w:val="413"/>
          <w:jc w:val="center"/>
        </w:trPr>
        <w:tc>
          <w:tcPr>
            <w:tcW w:w="22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9B5D23">
            <w:pPr>
              <w:overflowPunct w:val="0"/>
              <w:autoSpaceDE w:val="0"/>
              <w:autoSpaceDN w:val="0"/>
              <w:spacing w:after="0" w:line="240" w:lineRule="auto"/>
              <w:jc w:val="both"/>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долгосрочные обязательства (от 5 лет до 30  лет)</w:t>
            </w:r>
          </w:p>
        </w:tc>
        <w:tc>
          <w:tcPr>
            <w:tcW w:w="9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4 833 751,2</w:t>
            </w:r>
          </w:p>
        </w:tc>
        <w:tc>
          <w:tcPr>
            <w:tcW w:w="1089" w:type="dxa"/>
            <w:tcBorders>
              <w:top w:val="nil"/>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86,7</w:t>
            </w:r>
          </w:p>
        </w:tc>
        <w:tc>
          <w:tcPr>
            <w:tcW w:w="9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5 555 340,6</w:t>
            </w:r>
          </w:p>
        </w:tc>
        <w:tc>
          <w:tcPr>
            <w:tcW w:w="946" w:type="dxa"/>
            <w:tcBorders>
              <w:top w:val="nil"/>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91,1</w:t>
            </w:r>
          </w:p>
        </w:tc>
        <w:tc>
          <w:tcPr>
            <w:tcW w:w="9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6 874 752,2</w:t>
            </w:r>
          </w:p>
        </w:tc>
        <w:tc>
          <w:tcPr>
            <w:tcW w:w="946" w:type="dxa"/>
            <w:tcBorders>
              <w:top w:val="nil"/>
              <w:left w:val="nil"/>
              <w:bottom w:val="single" w:sz="8" w:space="0" w:color="auto"/>
              <w:right w:val="single" w:sz="8" w:space="0" w:color="auto"/>
            </w:tcBorders>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94,9</w:t>
            </w:r>
          </w:p>
        </w:tc>
        <w:tc>
          <w:tcPr>
            <w:tcW w:w="1095"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7 235 616,9</w:t>
            </w:r>
          </w:p>
        </w:tc>
        <w:tc>
          <w:tcPr>
            <w:tcW w:w="946"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93,4</w:t>
            </w:r>
          </w:p>
        </w:tc>
      </w:tr>
      <w:tr w:rsidR="009B5D23" w:rsidRPr="00D41731" w:rsidTr="009B5D23">
        <w:trPr>
          <w:trHeight w:val="50"/>
          <w:jc w:val="center"/>
        </w:trPr>
        <w:tc>
          <w:tcPr>
            <w:tcW w:w="22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both"/>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Темпы прироста</w:t>
            </w:r>
          </w:p>
        </w:tc>
        <w:tc>
          <w:tcPr>
            <w:tcW w:w="9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11,2%</w:t>
            </w:r>
          </w:p>
        </w:tc>
        <w:tc>
          <w:tcPr>
            <w:tcW w:w="1089"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p>
        </w:tc>
        <w:tc>
          <w:tcPr>
            <w:tcW w:w="98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14,9%</w:t>
            </w:r>
          </w:p>
        </w:tc>
        <w:tc>
          <w:tcPr>
            <w:tcW w:w="946"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p>
        </w:tc>
        <w:tc>
          <w:tcPr>
            <w:tcW w:w="98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r w:rsidRPr="00D41731">
              <w:rPr>
                <w:rFonts w:ascii="Times New Roman" w:hAnsi="Times New Roman" w:cs="Times New Roman"/>
                <w:sz w:val="16"/>
                <w:szCs w:val="16"/>
                <w:shd w:val="clear" w:color="auto" w:fill="FFFFFF"/>
                <w:lang w:eastAsia="ru-RU"/>
              </w:rPr>
              <w:t>23,8%</w:t>
            </w:r>
          </w:p>
        </w:tc>
        <w:tc>
          <w:tcPr>
            <w:tcW w:w="946"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shd w:val="clear" w:color="auto" w:fill="FFFFFF"/>
                <w:lang w:eastAsia="ru-RU"/>
              </w:rPr>
            </w:pPr>
          </w:p>
        </w:tc>
        <w:tc>
          <w:tcPr>
            <w:tcW w:w="1095"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5,2%</w:t>
            </w:r>
          </w:p>
        </w:tc>
        <w:tc>
          <w:tcPr>
            <w:tcW w:w="946" w:type="dxa"/>
            <w:tcBorders>
              <w:top w:val="nil"/>
              <w:left w:val="nil"/>
              <w:bottom w:val="single" w:sz="8" w:space="0" w:color="auto"/>
              <w:right w:val="single" w:sz="8" w:space="0" w:color="auto"/>
            </w:tcBorders>
            <w:vAlign w:val="center"/>
          </w:tcPr>
          <w:p w:rsidR="009B5D23" w:rsidRPr="00D41731" w:rsidRDefault="009B5D23" w:rsidP="00AD5395">
            <w:pPr>
              <w:overflowPunct w:val="0"/>
              <w:autoSpaceDE w:val="0"/>
              <w:autoSpaceDN w:val="0"/>
              <w:spacing w:after="0" w:line="240" w:lineRule="auto"/>
              <w:jc w:val="center"/>
              <w:textAlignment w:val="baseline"/>
              <w:rPr>
                <w:rFonts w:ascii="Times New Roman" w:hAnsi="Times New Roman" w:cs="Times New Roman"/>
                <w:sz w:val="16"/>
                <w:szCs w:val="16"/>
                <w:lang w:eastAsia="ru-RU"/>
              </w:rPr>
            </w:pPr>
            <w:r w:rsidRPr="00D41731">
              <w:rPr>
                <w:rFonts w:ascii="Times New Roman" w:hAnsi="Times New Roman" w:cs="Times New Roman"/>
                <w:sz w:val="16"/>
                <w:szCs w:val="16"/>
                <w:lang w:eastAsia="ru-RU"/>
              </w:rPr>
              <w:t> </w:t>
            </w:r>
          </w:p>
        </w:tc>
      </w:tr>
    </w:tbl>
    <w:p w:rsidR="009D10C6" w:rsidRDefault="009D10C6" w:rsidP="00632012">
      <w:pPr>
        <w:widowControl w:val="0"/>
        <w:shd w:val="clear" w:color="auto" w:fill="FFFFFF" w:themeFill="background1"/>
        <w:overflowPunct w:val="0"/>
        <w:autoSpaceDE w:val="0"/>
        <w:autoSpaceDN w:val="0"/>
        <w:adjustRightInd w:val="0"/>
        <w:spacing w:after="0" w:line="360" w:lineRule="auto"/>
        <w:ind w:right="-2" w:firstLine="709"/>
        <w:jc w:val="right"/>
        <w:textAlignment w:val="baseline"/>
        <w:rPr>
          <w:rFonts w:ascii="Times New Roman" w:eastAsia="Times New Roman" w:hAnsi="Times New Roman" w:cs="Times New Roman"/>
          <w:sz w:val="20"/>
          <w:szCs w:val="20"/>
          <w:lang w:eastAsia="ru-RU"/>
        </w:rPr>
      </w:pPr>
    </w:p>
    <w:p w:rsidR="009D10C6" w:rsidRDefault="009D10C6">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br w:type="page"/>
      </w:r>
    </w:p>
    <w:p w:rsidR="00691A30" w:rsidRDefault="00691A30" w:rsidP="00691A30">
      <w:pPr>
        <w:spacing w:after="12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Диаграмма № 3</w:t>
      </w:r>
    </w:p>
    <w:p w:rsidR="00691A30" w:rsidRPr="00691A30" w:rsidRDefault="00691A30" w:rsidP="00691A30">
      <w:pPr>
        <w:widowControl w:val="0"/>
        <w:spacing w:after="0" w:line="240" w:lineRule="auto"/>
        <w:jc w:val="both"/>
        <w:rPr>
          <w:rFonts w:ascii="Times New Roman" w:eastAsia="Times New Roman" w:hAnsi="Times New Roman" w:cs="Times New Roman"/>
          <w:color w:val="000000" w:themeColor="text1"/>
          <w:sz w:val="10"/>
          <w:szCs w:val="10"/>
          <w:lang w:eastAsia="ru-RU"/>
        </w:rPr>
      </w:pPr>
    </w:p>
    <w:p w:rsidR="007F3C51" w:rsidRPr="00457973" w:rsidRDefault="007F3C51" w:rsidP="00691A30">
      <w:pPr>
        <w:widowControl w:val="0"/>
        <w:spacing w:after="0" w:line="240" w:lineRule="auto"/>
        <w:jc w:val="center"/>
        <w:rPr>
          <w:rFonts w:ascii="Times New Roman" w:eastAsia="Times New Roman" w:hAnsi="Times New Roman" w:cs="Times New Roman"/>
          <w:color w:val="000000" w:themeColor="text1"/>
          <w:lang w:eastAsia="ru-RU"/>
        </w:rPr>
      </w:pPr>
      <w:r w:rsidRPr="00457973">
        <w:rPr>
          <w:rFonts w:ascii="Times New Roman" w:eastAsia="Times New Roman" w:hAnsi="Times New Roman" w:cs="Times New Roman"/>
          <w:color w:val="000000" w:themeColor="text1"/>
          <w:lang w:eastAsia="ru-RU"/>
        </w:rPr>
        <w:t>Данные об объемах спроса и предложения на аукционах Минфина России по</w:t>
      </w:r>
      <w:r w:rsidR="007A65A6" w:rsidRPr="00457973">
        <w:rPr>
          <w:rFonts w:ascii="Times New Roman" w:eastAsia="Times New Roman" w:hAnsi="Times New Roman" w:cs="Times New Roman"/>
          <w:color w:val="000000" w:themeColor="text1"/>
          <w:lang w:eastAsia="ru-RU"/>
        </w:rPr>
        <w:t> </w:t>
      </w:r>
      <w:r w:rsidRPr="00457973">
        <w:rPr>
          <w:rFonts w:ascii="Times New Roman" w:eastAsia="Times New Roman" w:hAnsi="Times New Roman" w:cs="Times New Roman"/>
          <w:color w:val="000000" w:themeColor="text1"/>
          <w:lang w:eastAsia="ru-RU"/>
        </w:rPr>
        <w:t>размещению облигаций федеральных займов в 201</w:t>
      </w:r>
      <w:r w:rsidR="00915410" w:rsidRPr="00457973">
        <w:rPr>
          <w:rFonts w:ascii="Times New Roman" w:eastAsia="Times New Roman" w:hAnsi="Times New Roman" w:cs="Times New Roman"/>
          <w:color w:val="000000" w:themeColor="text1"/>
          <w:lang w:eastAsia="ru-RU"/>
        </w:rPr>
        <w:t>5</w:t>
      </w:r>
      <w:r w:rsidR="00AD5395" w:rsidRPr="00457973">
        <w:rPr>
          <w:rFonts w:ascii="Times New Roman" w:eastAsia="Times New Roman" w:hAnsi="Times New Roman" w:cs="Times New Roman"/>
          <w:color w:val="000000" w:themeColor="text1"/>
          <w:lang w:eastAsia="ru-RU"/>
        </w:rPr>
        <w:t xml:space="preserve"> – 2018 годах представлены</w:t>
      </w:r>
    </w:p>
    <w:p w:rsidR="00915410" w:rsidRPr="00691A30" w:rsidRDefault="00915410"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r>
        <w:rPr>
          <w:noProof/>
          <w:lang w:eastAsia="ru-RU"/>
        </w:rPr>
        <w:drawing>
          <wp:inline distT="0" distB="0" distL="0" distR="0" wp14:anchorId="626622ED" wp14:editId="35870E10">
            <wp:extent cx="6066845" cy="1598212"/>
            <wp:effectExtent l="0" t="0" r="0" b="254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87124" w:rsidRDefault="00387124" w:rsidP="004D0097">
      <w:pPr>
        <w:spacing w:after="120" w:line="240" w:lineRule="auto"/>
        <w:jc w:val="right"/>
        <w:rPr>
          <w:rFonts w:ascii="Times New Roman" w:eastAsia="Times New Roman" w:hAnsi="Times New Roman" w:cs="Times New Roman"/>
          <w:snapToGrid w:val="0"/>
          <w:sz w:val="24"/>
          <w:szCs w:val="24"/>
          <w:lang w:eastAsia="ru-RU"/>
        </w:rPr>
      </w:pPr>
    </w:p>
    <w:p w:rsidR="00691A30" w:rsidRDefault="00691A30" w:rsidP="00691A30">
      <w:pPr>
        <w:spacing w:after="12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Диаграмма № 4</w:t>
      </w:r>
    </w:p>
    <w:p w:rsidR="004B79A7" w:rsidRPr="00457973" w:rsidRDefault="005968ED" w:rsidP="00691A30">
      <w:pPr>
        <w:widowControl w:val="0"/>
        <w:spacing w:after="0" w:line="240" w:lineRule="auto"/>
        <w:jc w:val="center"/>
        <w:rPr>
          <w:rFonts w:ascii="Times New Roman" w:eastAsia="Times New Roman" w:hAnsi="Times New Roman" w:cs="Times New Roman"/>
          <w:color w:val="000000" w:themeColor="text1"/>
          <w:lang w:eastAsia="ru-RU"/>
        </w:rPr>
      </w:pPr>
      <w:r w:rsidRPr="00457973">
        <w:rPr>
          <w:rFonts w:ascii="Times New Roman" w:eastAsia="Times New Roman" w:hAnsi="Times New Roman" w:cs="Times New Roman"/>
          <w:color w:val="000000" w:themeColor="text1"/>
          <w:lang w:eastAsia="ru-RU"/>
        </w:rPr>
        <w:t>Динамика доли нерезидентов на рынке облигаций федеральных займов и объемов их вложений в ОФЗ в 2018 году</w:t>
      </w:r>
    </w:p>
    <w:p w:rsidR="004B79A7" w:rsidRDefault="005968ED" w:rsidP="00691A30">
      <w:pPr>
        <w:spacing w:after="0" w:line="336" w:lineRule="auto"/>
        <w:ind w:right="-1"/>
        <w:jc w:val="right"/>
        <w:rPr>
          <w:rFonts w:ascii="Times New Roman" w:eastAsia="Times New Roman" w:hAnsi="Times New Roman" w:cs="Times New Roman"/>
          <w:snapToGrid w:val="0"/>
          <w:sz w:val="24"/>
          <w:szCs w:val="24"/>
          <w:lang w:eastAsia="ru-RU"/>
        </w:rPr>
      </w:pPr>
      <w:r w:rsidRPr="00D41731">
        <w:rPr>
          <w:noProof/>
          <w:color w:val="000000" w:themeColor="text1"/>
          <w:lang w:eastAsia="ru-RU"/>
        </w:rPr>
        <w:drawing>
          <wp:inline distT="0" distB="0" distL="0" distR="0" wp14:anchorId="2996646D" wp14:editId="0997653F">
            <wp:extent cx="6019137" cy="1757239"/>
            <wp:effectExtent l="0" t="0" r="127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91A30" w:rsidRPr="00691A30" w:rsidRDefault="00691A30" w:rsidP="00691A30">
      <w:pPr>
        <w:spacing w:after="0" w:line="336" w:lineRule="auto"/>
        <w:ind w:right="-1"/>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Диаграмма</w:t>
      </w:r>
      <w:r w:rsidRPr="00691A30">
        <w:rPr>
          <w:rFonts w:ascii="Times New Roman" w:eastAsia="Times New Roman" w:hAnsi="Times New Roman" w:cs="Times New Roman"/>
          <w:snapToGrid w:val="0"/>
          <w:sz w:val="24"/>
          <w:szCs w:val="24"/>
          <w:lang w:eastAsia="ru-RU"/>
        </w:rPr>
        <w:t xml:space="preserve"> № </w:t>
      </w:r>
      <w:r>
        <w:rPr>
          <w:rFonts w:ascii="Times New Roman" w:eastAsia="Times New Roman" w:hAnsi="Times New Roman" w:cs="Times New Roman"/>
          <w:snapToGrid w:val="0"/>
          <w:sz w:val="24"/>
          <w:szCs w:val="24"/>
          <w:lang w:eastAsia="ru-RU"/>
        </w:rPr>
        <w:t>5</w:t>
      </w:r>
    </w:p>
    <w:p w:rsidR="00691A30" w:rsidRPr="00691A30" w:rsidRDefault="00691A30" w:rsidP="00691A30">
      <w:pPr>
        <w:pStyle w:val="a5"/>
        <w:widowControl w:val="0"/>
        <w:spacing w:after="0" w:line="240" w:lineRule="auto"/>
        <w:jc w:val="both"/>
        <w:rPr>
          <w:rFonts w:ascii="Times New Roman" w:eastAsia="Times New Roman" w:hAnsi="Times New Roman" w:cs="Times New Roman"/>
          <w:color w:val="000000" w:themeColor="text1"/>
          <w:sz w:val="10"/>
          <w:szCs w:val="10"/>
          <w:lang w:eastAsia="ru-RU"/>
        </w:rPr>
      </w:pPr>
    </w:p>
    <w:p w:rsidR="004B79A7" w:rsidRPr="00457973" w:rsidRDefault="005968ED" w:rsidP="00691A30">
      <w:pPr>
        <w:widowControl w:val="0"/>
        <w:spacing w:after="0" w:line="240" w:lineRule="auto"/>
        <w:jc w:val="center"/>
        <w:rPr>
          <w:rFonts w:ascii="Times New Roman" w:eastAsia="Times New Roman" w:hAnsi="Times New Roman" w:cs="Times New Roman"/>
          <w:color w:val="000000" w:themeColor="text1"/>
          <w:lang w:eastAsia="ru-RU"/>
        </w:rPr>
      </w:pPr>
      <w:r w:rsidRPr="00457973">
        <w:rPr>
          <w:rFonts w:ascii="Times New Roman" w:eastAsia="Times New Roman" w:hAnsi="Times New Roman" w:cs="Times New Roman"/>
          <w:color w:val="000000" w:themeColor="text1"/>
          <w:lang w:eastAsia="ru-RU"/>
        </w:rPr>
        <w:t>Динамика доли нерезидентов на рынке облигаций федеральных займов и</w:t>
      </w:r>
      <w:r w:rsidR="00AD5395" w:rsidRPr="00457973">
        <w:rPr>
          <w:rFonts w:ascii="Times New Roman" w:eastAsia="Times New Roman" w:hAnsi="Times New Roman" w:cs="Times New Roman"/>
          <w:color w:val="000000" w:themeColor="text1"/>
          <w:lang w:eastAsia="ru-RU"/>
        </w:rPr>
        <w:t> </w:t>
      </w:r>
      <w:r w:rsidRPr="00457973">
        <w:rPr>
          <w:rFonts w:ascii="Times New Roman" w:eastAsia="Times New Roman" w:hAnsi="Times New Roman" w:cs="Times New Roman"/>
          <w:color w:val="000000" w:themeColor="text1"/>
          <w:lang w:eastAsia="ru-RU"/>
        </w:rPr>
        <w:t>объемов их вложений в ОФЗ в 201</w:t>
      </w:r>
      <w:r w:rsidR="004B79A7" w:rsidRPr="00457973">
        <w:rPr>
          <w:rFonts w:ascii="Times New Roman" w:eastAsia="Times New Roman" w:hAnsi="Times New Roman" w:cs="Times New Roman"/>
          <w:color w:val="000000" w:themeColor="text1"/>
          <w:lang w:eastAsia="ru-RU"/>
        </w:rPr>
        <w:t>5</w:t>
      </w:r>
      <w:r w:rsidRPr="00457973">
        <w:rPr>
          <w:rFonts w:ascii="Times New Roman" w:eastAsia="Times New Roman" w:hAnsi="Times New Roman" w:cs="Times New Roman"/>
          <w:color w:val="000000" w:themeColor="text1"/>
          <w:lang w:eastAsia="ru-RU"/>
        </w:rPr>
        <w:t xml:space="preserve"> – 2018 годах</w:t>
      </w:r>
    </w:p>
    <w:p w:rsidR="004B79A7" w:rsidRDefault="004B79A7"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r>
        <w:rPr>
          <w:noProof/>
          <w:lang w:eastAsia="ru-RU"/>
        </w:rPr>
        <w:drawing>
          <wp:inline distT="0" distB="0" distL="0" distR="0" wp14:anchorId="20C9CBD4" wp14:editId="1AF7A289">
            <wp:extent cx="6114553" cy="1470992"/>
            <wp:effectExtent l="0" t="0" r="635"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691A30" w:rsidRDefault="00691A30" w:rsidP="00691A30">
      <w:pPr>
        <w:widowControl w:val="0"/>
        <w:numPr>
          <w:ilvl w:val="12"/>
          <w:numId w:val="0"/>
        </w:numPr>
        <w:tabs>
          <w:tab w:val="left" w:pos="1134"/>
        </w:tabs>
        <w:spacing w:after="0" w:line="336"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Диаграмма № 6</w:t>
      </w:r>
    </w:p>
    <w:p w:rsidR="004B79A7" w:rsidRDefault="000A3AE5" w:rsidP="00691A30">
      <w:pPr>
        <w:widowControl w:val="0"/>
        <w:spacing w:after="0" w:line="240" w:lineRule="auto"/>
        <w:jc w:val="center"/>
        <w:rPr>
          <w:rFonts w:ascii="Times New Roman" w:eastAsia="Times New Roman" w:hAnsi="Times New Roman" w:cs="Times New Roman"/>
          <w:color w:val="000000" w:themeColor="text1"/>
          <w:lang w:eastAsia="ru-RU"/>
        </w:rPr>
      </w:pPr>
      <w:r w:rsidRPr="00457973">
        <w:rPr>
          <w:rFonts w:ascii="Times New Roman" w:eastAsia="Times New Roman" w:hAnsi="Times New Roman" w:cs="Times New Roman"/>
          <w:color w:val="000000" w:themeColor="text1"/>
          <w:lang w:eastAsia="ru-RU"/>
        </w:rPr>
        <w:t>Динамика объемов остатков средств федерального бюджета и объемов остатков средств федерального бюджета без учета средств Резервного фонда и ФНБ за</w:t>
      </w:r>
      <w:r w:rsidR="00AD5395" w:rsidRPr="00457973">
        <w:rPr>
          <w:rFonts w:ascii="Times New Roman" w:eastAsia="Times New Roman" w:hAnsi="Times New Roman" w:cs="Times New Roman"/>
          <w:color w:val="000000" w:themeColor="text1"/>
          <w:lang w:eastAsia="ru-RU"/>
        </w:rPr>
        <w:t> </w:t>
      </w:r>
      <w:r w:rsidRPr="00457973">
        <w:rPr>
          <w:rFonts w:ascii="Times New Roman" w:eastAsia="Times New Roman" w:hAnsi="Times New Roman" w:cs="Times New Roman"/>
          <w:color w:val="000000" w:themeColor="text1"/>
          <w:lang w:eastAsia="ru-RU"/>
        </w:rPr>
        <w:t>201</w:t>
      </w:r>
      <w:r w:rsidR="004B79A7" w:rsidRPr="00457973">
        <w:rPr>
          <w:rFonts w:ascii="Times New Roman" w:eastAsia="Times New Roman" w:hAnsi="Times New Roman" w:cs="Times New Roman"/>
          <w:color w:val="000000" w:themeColor="text1"/>
          <w:lang w:eastAsia="ru-RU"/>
        </w:rPr>
        <w:t>5</w:t>
      </w:r>
      <w:r w:rsidR="00AD5395" w:rsidRPr="00457973">
        <w:rPr>
          <w:rFonts w:ascii="Times New Roman" w:eastAsia="Times New Roman" w:hAnsi="Times New Roman" w:cs="Times New Roman"/>
          <w:color w:val="000000" w:themeColor="text1"/>
          <w:lang w:eastAsia="ru-RU"/>
        </w:rPr>
        <w:t> </w:t>
      </w:r>
      <w:r w:rsidRPr="00457973">
        <w:rPr>
          <w:rFonts w:ascii="Times New Roman" w:eastAsia="Times New Roman" w:hAnsi="Times New Roman" w:cs="Times New Roman"/>
          <w:color w:val="000000" w:themeColor="text1"/>
          <w:lang w:eastAsia="ru-RU"/>
        </w:rPr>
        <w:t>– 2018 годы</w:t>
      </w:r>
      <w:r w:rsidR="00457973">
        <w:rPr>
          <w:rFonts w:ascii="Times New Roman" w:eastAsia="Times New Roman" w:hAnsi="Times New Roman" w:cs="Times New Roman"/>
          <w:color w:val="000000" w:themeColor="text1"/>
          <w:lang w:eastAsia="ru-RU"/>
        </w:rPr>
        <w:t xml:space="preserve"> </w:t>
      </w:r>
    </w:p>
    <w:p w:rsidR="00216846" w:rsidRPr="00216846" w:rsidRDefault="00216846" w:rsidP="00216846">
      <w:pPr>
        <w:widowControl w:val="0"/>
        <w:spacing w:after="0" w:line="240" w:lineRule="auto"/>
        <w:jc w:val="right"/>
        <w:rPr>
          <w:rFonts w:ascii="Times New Roman" w:eastAsia="Times New Roman" w:hAnsi="Times New Roman" w:cs="Times New Roman"/>
          <w:color w:val="000000" w:themeColor="text1"/>
          <w:sz w:val="16"/>
          <w:szCs w:val="16"/>
          <w:lang w:eastAsia="ru-RU"/>
        </w:rPr>
      </w:pPr>
      <w:r w:rsidRPr="00216846">
        <w:rPr>
          <w:rFonts w:ascii="Times New Roman" w:eastAsia="Times New Roman" w:hAnsi="Times New Roman" w:cs="Times New Roman"/>
          <w:color w:val="000000" w:themeColor="text1"/>
          <w:sz w:val="16"/>
          <w:szCs w:val="16"/>
          <w:lang w:eastAsia="ru-RU"/>
        </w:rPr>
        <w:t>(млрд. рублей)</w:t>
      </w:r>
    </w:p>
    <w:p w:rsidR="009D10C6" w:rsidRDefault="00332134" w:rsidP="009D10C6">
      <w:pPr>
        <w:spacing w:after="0"/>
        <w:jc w:val="center"/>
        <w:rPr>
          <w:rFonts w:ascii="Times New Roman" w:eastAsia="Times New Roman" w:hAnsi="Times New Roman" w:cs="Times New Roman"/>
          <w:sz w:val="24"/>
          <w:szCs w:val="24"/>
          <w:lang w:eastAsia="ru-RU"/>
        </w:rPr>
      </w:pPr>
      <w:r w:rsidRPr="00D41731">
        <w:rPr>
          <w:b/>
          <w:noProof/>
          <w:lang w:eastAsia="ru-RU"/>
        </w:rPr>
        <w:drawing>
          <wp:inline distT="0" distB="0" distL="0" distR="0" wp14:anchorId="44466622" wp14:editId="5BC90C7A">
            <wp:extent cx="6464410" cy="1852654"/>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57973" w:rsidRDefault="00457973" w:rsidP="00691A30">
      <w:pPr>
        <w:spacing w:after="120" w:line="240" w:lineRule="auto"/>
        <w:jc w:val="right"/>
        <w:rPr>
          <w:rFonts w:ascii="Times New Roman" w:eastAsia="Times New Roman" w:hAnsi="Times New Roman" w:cs="Times New Roman"/>
          <w:snapToGrid w:val="0"/>
          <w:sz w:val="24"/>
          <w:szCs w:val="24"/>
          <w:lang w:eastAsia="ru-RU"/>
        </w:rPr>
      </w:pPr>
    </w:p>
    <w:p w:rsidR="00691A30" w:rsidRDefault="00691A30" w:rsidP="00691A30">
      <w:pPr>
        <w:spacing w:after="12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Таблица № 7</w:t>
      </w:r>
    </w:p>
    <w:p w:rsidR="00691A30" w:rsidRPr="00691A30" w:rsidRDefault="00691A30" w:rsidP="00691A30">
      <w:pPr>
        <w:widowControl w:val="0"/>
        <w:spacing w:after="0" w:line="240" w:lineRule="auto"/>
        <w:jc w:val="both"/>
        <w:rPr>
          <w:rFonts w:ascii="Times New Roman" w:eastAsia="Times New Roman" w:hAnsi="Times New Roman" w:cs="Times New Roman"/>
          <w:color w:val="000000" w:themeColor="text1"/>
          <w:sz w:val="10"/>
          <w:szCs w:val="10"/>
          <w:lang w:eastAsia="ru-RU"/>
        </w:rPr>
      </w:pPr>
    </w:p>
    <w:p w:rsidR="00530CA2" w:rsidRPr="00691A30" w:rsidRDefault="00530CA2"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691A30">
        <w:rPr>
          <w:rFonts w:ascii="Times New Roman" w:eastAsia="Times New Roman" w:hAnsi="Times New Roman" w:cs="Times New Roman"/>
          <w:color w:val="000000" w:themeColor="text1"/>
          <w:sz w:val="24"/>
          <w:szCs w:val="24"/>
          <w:lang w:eastAsia="ru-RU"/>
        </w:rPr>
        <w:t>Анализ</w:t>
      </w:r>
      <w:r w:rsidR="00EA15FC" w:rsidRPr="00691A30">
        <w:rPr>
          <w:rFonts w:ascii="Times New Roman" w:eastAsia="Times New Roman" w:hAnsi="Times New Roman" w:cs="Times New Roman"/>
          <w:color w:val="000000" w:themeColor="text1"/>
          <w:sz w:val="24"/>
          <w:szCs w:val="24"/>
          <w:lang w:eastAsia="ru-RU"/>
        </w:rPr>
        <w:t xml:space="preserve"> </w:t>
      </w:r>
      <w:proofErr w:type="gramStart"/>
      <w:r w:rsidR="00EA15FC" w:rsidRPr="00691A30">
        <w:rPr>
          <w:rFonts w:ascii="Times New Roman" w:eastAsia="Times New Roman" w:hAnsi="Times New Roman" w:cs="Times New Roman"/>
          <w:color w:val="000000" w:themeColor="text1"/>
          <w:sz w:val="24"/>
          <w:szCs w:val="24"/>
          <w:lang w:eastAsia="ru-RU"/>
        </w:rPr>
        <w:t>изменения</w:t>
      </w:r>
      <w:r w:rsidRPr="00691A30">
        <w:rPr>
          <w:rFonts w:ascii="Times New Roman" w:eastAsia="Times New Roman" w:hAnsi="Times New Roman" w:cs="Times New Roman"/>
          <w:color w:val="000000" w:themeColor="text1"/>
          <w:sz w:val="24"/>
          <w:szCs w:val="24"/>
          <w:lang w:eastAsia="ru-RU"/>
        </w:rPr>
        <w:t xml:space="preserve"> объемов остатков средств федерального бюджета</w:t>
      </w:r>
      <w:proofErr w:type="gramEnd"/>
      <w:r w:rsidR="00EA15FC" w:rsidRPr="00691A30">
        <w:rPr>
          <w:rFonts w:ascii="Times New Roman" w:eastAsia="Times New Roman" w:hAnsi="Times New Roman" w:cs="Times New Roman"/>
          <w:color w:val="000000" w:themeColor="text1"/>
          <w:sz w:val="24"/>
          <w:szCs w:val="24"/>
          <w:lang w:eastAsia="ru-RU"/>
        </w:rPr>
        <w:t xml:space="preserve"> в</w:t>
      </w:r>
      <w:r w:rsidR="007A65A6" w:rsidRPr="00691A30">
        <w:rPr>
          <w:rFonts w:ascii="Times New Roman" w:eastAsia="Times New Roman" w:hAnsi="Times New Roman" w:cs="Times New Roman"/>
          <w:color w:val="000000" w:themeColor="text1"/>
          <w:sz w:val="24"/>
          <w:szCs w:val="24"/>
          <w:lang w:eastAsia="ru-RU"/>
        </w:rPr>
        <w:t> </w:t>
      </w:r>
      <w:r w:rsidR="00EA15FC" w:rsidRPr="00691A30">
        <w:rPr>
          <w:rFonts w:ascii="Times New Roman" w:eastAsia="Times New Roman" w:hAnsi="Times New Roman" w:cs="Times New Roman"/>
          <w:color w:val="000000" w:themeColor="text1"/>
          <w:sz w:val="24"/>
          <w:szCs w:val="24"/>
          <w:lang w:eastAsia="ru-RU"/>
        </w:rPr>
        <w:t>2017</w:t>
      </w:r>
      <w:r w:rsidR="007A65A6" w:rsidRPr="00691A30">
        <w:rPr>
          <w:rFonts w:ascii="Times New Roman" w:eastAsia="Times New Roman" w:hAnsi="Times New Roman" w:cs="Times New Roman"/>
          <w:color w:val="000000" w:themeColor="text1"/>
          <w:sz w:val="24"/>
          <w:szCs w:val="24"/>
          <w:lang w:eastAsia="ru-RU"/>
        </w:rPr>
        <w:t> </w:t>
      </w:r>
      <w:r w:rsidR="00EA15FC" w:rsidRPr="00691A30">
        <w:rPr>
          <w:rFonts w:ascii="Times New Roman" w:eastAsia="Times New Roman" w:hAnsi="Times New Roman" w:cs="Times New Roman"/>
          <w:color w:val="000000" w:themeColor="text1"/>
          <w:sz w:val="24"/>
          <w:szCs w:val="24"/>
          <w:lang w:eastAsia="ru-RU"/>
        </w:rPr>
        <w:t>–</w:t>
      </w:r>
      <w:r w:rsidR="007A65A6" w:rsidRPr="00691A30">
        <w:rPr>
          <w:rFonts w:ascii="Times New Roman" w:eastAsia="Times New Roman" w:hAnsi="Times New Roman" w:cs="Times New Roman"/>
          <w:color w:val="000000" w:themeColor="text1"/>
          <w:sz w:val="24"/>
          <w:szCs w:val="24"/>
          <w:lang w:eastAsia="ru-RU"/>
        </w:rPr>
        <w:t> </w:t>
      </w:r>
      <w:r w:rsidR="00EA15FC" w:rsidRPr="00691A30">
        <w:rPr>
          <w:rFonts w:ascii="Times New Roman" w:eastAsia="Times New Roman" w:hAnsi="Times New Roman" w:cs="Times New Roman"/>
          <w:color w:val="000000" w:themeColor="text1"/>
          <w:sz w:val="24"/>
          <w:szCs w:val="24"/>
          <w:lang w:eastAsia="ru-RU"/>
        </w:rPr>
        <w:t>2018 годах</w:t>
      </w:r>
    </w:p>
    <w:p w:rsidR="00530CA2" w:rsidRPr="00D41731" w:rsidRDefault="00530CA2" w:rsidP="00530CA2">
      <w:pPr>
        <w:widowControl w:val="0"/>
        <w:spacing w:after="0" w:line="240" w:lineRule="auto"/>
        <w:jc w:val="both"/>
        <w:rPr>
          <w:rFonts w:ascii="Times New Roman" w:hAnsi="Times New Roman" w:cs="Times New Roman"/>
          <w:bCs/>
          <w:color w:val="000000" w:themeColor="text1"/>
          <w:sz w:val="16"/>
          <w:szCs w:val="16"/>
        </w:rPr>
      </w:pPr>
    </w:p>
    <w:tbl>
      <w:tblPr>
        <w:tblW w:w="10916" w:type="dxa"/>
        <w:tblInd w:w="-641" w:type="dxa"/>
        <w:tblLayout w:type="fixed"/>
        <w:tblLook w:val="04A0" w:firstRow="1" w:lastRow="0" w:firstColumn="1" w:lastColumn="0" w:noHBand="0" w:noVBand="1"/>
      </w:tblPr>
      <w:tblGrid>
        <w:gridCol w:w="3261"/>
        <w:gridCol w:w="1027"/>
        <w:gridCol w:w="1099"/>
        <w:gridCol w:w="1027"/>
        <w:gridCol w:w="1241"/>
        <w:gridCol w:w="1135"/>
        <w:gridCol w:w="1092"/>
        <w:gridCol w:w="1034"/>
      </w:tblGrid>
      <w:tr w:rsidR="00D95138" w:rsidRPr="00D41731" w:rsidTr="003E6A1D">
        <w:trPr>
          <w:trHeight w:val="255"/>
          <w:tblHeader/>
        </w:trPr>
        <w:tc>
          <w:tcPr>
            <w:tcW w:w="32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bookmarkStart w:id="0" w:name="RANGE!A1:R31"/>
            <w:r w:rsidRPr="00D41731">
              <w:rPr>
                <w:rFonts w:ascii="Times New Roman" w:hAnsi="Times New Roman" w:cs="Times New Roman"/>
                <w:b/>
                <w:bCs/>
                <w:color w:val="000000" w:themeColor="text1"/>
                <w:sz w:val="20"/>
                <w:szCs w:val="20"/>
              </w:rPr>
              <w:t>Наименование</w:t>
            </w:r>
            <w:bookmarkEnd w:id="0"/>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18"/>
                <w:szCs w:val="18"/>
              </w:rPr>
            </w:pPr>
            <w:r w:rsidRPr="00D41731">
              <w:rPr>
                <w:rFonts w:ascii="Times New Roman" w:hAnsi="Times New Roman" w:cs="Times New Roman"/>
                <w:b/>
                <w:bCs/>
                <w:color w:val="000000" w:themeColor="text1"/>
                <w:sz w:val="18"/>
                <w:szCs w:val="18"/>
              </w:rPr>
              <w:t>на 01.01.2017</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18"/>
                <w:szCs w:val="18"/>
              </w:rPr>
            </w:pPr>
            <w:r w:rsidRPr="00D41731">
              <w:rPr>
                <w:rFonts w:ascii="Times New Roman" w:hAnsi="Times New Roman" w:cs="Times New Roman"/>
                <w:b/>
                <w:bCs/>
                <w:color w:val="000000" w:themeColor="text1"/>
                <w:sz w:val="18"/>
                <w:szCs w:val="18"/>
              </w:rPr>
              <w:t>на 01.01.2018</w:t>
            </w:r>
          </w:p>
        </w:tc>
        <w:tc>
          <w:tcPr>
            <w:tcW w:w="2227" w:type="dxa"/>
            <w:gridSpan w:val="2"/>
            <w:tcBorders>
              <w:top w:val="single" w:sz="4" w:space="0" w:color="auto"/>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18"/>
                <w:szCs w:val="18"/>
              </w:rPr>
            </w:pPr>
            <w:r w:rsidRPr="00D41731">
              <w:rPr>
                <w:rFonts w:ascii="Times New Roman" w:hAnsi="Times New Roman" w:cs="Times New Roman"/>
                <w:b/>
                <w:bCs/>
                <w:color w:val="000000" w:themeColor="text1"/>
                <w:sz w:val="18"/>
                <w:szCs w:val="18"/>
              </w:rPr>
              <w:t>на 01.01.2019</w:t>
            </w:r>
          </w:p>
        </w:tc>
        <w:tc>
          <w:tcPr>
            <w:tcW w:w="10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proofErr w:type="gramStart"/>
            <w:r w:rsidRPr="00D41731">
              <w:rPr>
                <w:rFonts w:ascii="Times New Roman" w:hAnsi="Times New Roman" w:cs="Times New Roman"/>
                <w:b/>
                <w:bCs/>
                <w:color w:val="000000" w:themeColor="text1"/>
                <w:sz w:val="20"/>
                <w:szCs w:val="20"/>
              </w:rPr>
              <w:t>Измене-</w:t>
            </w:r>
            <w:proofErr w:type="spellStart"/>
            <w:r w:rsidRPr="00D41731">
              <w:rPr>
                <w:rFonts w:ascii="Times New Roman" w:hAnsi="Times New Roman" w:cs="Times New Roman"/>
                <w:b/>
                <w:bCs/>
                <w:color w:val="000000" w:themeColor="text1"/>
                <w:sz w:val="20"/>
                <w:szCs w:val="20"/>
              </w:rPr>
              <w:t>ние</w:t>
            </w:r>
            <w:proofErr w:type="spellEnd"/>
            <w:proofErr w:type="gramEnd"/>
          </w:p>
        </w:tc>
      </w:tr>
      <w:tr w:rsidR="00D95138" w:rsidRPr="00D41731" w:rsidTr="003E6A1D">
        <w:trPr>
          <w:trHeight w:val="480"/>
          <w:tblHeader/>
        </w:trPr>
        <w:tc>
          <w:tcPr>
            <w:tcW w:w="326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both"/>
              <w:rPr>
                <w:rFonts w:ascii="Times New Roman" w:hAnsi="Times New Roman" w:cs="Times New Roman"/>
                <w:b/>
                <w:bCs/>
                <w:color w:val="000000" w:themeColor="text1"/>
                <w:sz w:val="20"/>
                <w:szCs w:val="20"/>
              </w:rPr>
            </w:pP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18"/>
                <w:szCs w:val="18"/>
              </w:rPr>
            </w:pPr>
            <w:r w:rsidRPr="00D41731">
              <w:rPr>
                <w:rFonts w:ascii="Times New Roman" w:hAnsi="Times New Roman" w:cs="Times New Roman"/>
                <w:b/>
                <w:bCs/>
                <w:color w:val="000000" w:themeColor="text1"/>
                <w:sz w:val="18"/>
                <w:szCs w:val="18"/>
              </w:rPr>
              <w:t>объем, млрд. рублей</w:t>
            </w:r>
          </w:p>
        </w:tc>
        <w:tc>
          <w:tcPr>
            <w:tcW w:w="1099" w:type="dxa"/>
            <w:tcBorders>
              <w:top w:val="nil"/>
              <w:left w:val="nil"/>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18"/>
                <w:szCs w:val="18"/>
              </w:rPr>
            </w:pPr>
            <w:r w:rsidRPr="00D41731">
              <w:rPr>
                <w:rFonts w:ascii="Times New Roman" w:hAnsi="Times New Roman" w:cs="Times New Roman"/>
                <w:b/>
                <w:bCs/>
                <w:color w:val="000000" w:themeColor="text1"/>
                <w:sz w:val="18"/>
                <w:szCs w:val="18"/>
              </w:rPr>
              <w:t>структура, %</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18"/>
                <w:szCs w:val="18"/>
              </w:rPr>
            </w:pPr>
            <w:r w:rsidRPr="00D41731">
              <w:rPr>
                <w:rFonts w:ascii="Times New Roman" w:hAnsi="Times New Roman" w:cs="Times New Roman"/>
                <w:b/>
                <w:bCs/>
                <w:color w:val="000000" w:themeColor="text1"/>
                <w:sz w:val="18"/>
                <w:szCs w:val="18"/>
              </w:rPr>
              <w:t>объем, млрд. рублей</w:t>
            </w:r>
          </w:p>
        </w:tc>
        <w:tc>
          <w:tcPr>
            <w:tcW w:w="1241" w:type="dxa"/>
            <w:tcBorders>
              <w:top w:val="nil"/>
              <w:left w:val="nil"/>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18"/>
                <w:szCs w:val="18"/>
              </w:rPr>
            </w:pPr>
            <w:r w:rsidRPr="00D41731">
              <w:rPr>
                <w:rFonts w:ascii="Times New Roman" w:hAnsi="Times New Roman" w:cs="Times New Roman"/>
                <w:b/>
                <w:bCs/>
                <w:color w:val="000000" w:themeColor="text1"/>
                <w:sz w:val="18"/>
                <w:szCs w:val="18"/>
              </w:rPr>
              <w:t>структура, %</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18"/>
                <w:szCs w:val="18"/>
              </w:rPr>
            </w:pPr>
            <w:r w:rsidRPr="00D41731">
              <w:rPr>
                <w:rFonts w:ascii="Times New Roman" w:hAnsi="Times New Roman" w:cs="Times New Roman"/>
                <w:b/>
                <w:bCs/>
                <w:color w:val="000000" w:themeColor="text1"/>
                <w:sz w:val="18"/>
                <w:szCs w:val="18"/>
              </w:rPr>
              <w:t>объем, млрд. рублей</w:t>
            </w:r>
          </w:p>
        </w:tc>
        <w:tc>
          <w:tcPr>
            <w:tcW w:w="1092" w:type="dxa"/>
            <w:tcBorders>
              <w:top w:val="nil"/>
              <w:left w:val="nil"/>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18"/>
                <w:szCs w:val="18"/>
              </w:rPr>
            </w:pPr>
            <w:r w:rsidRPr="00D41731">
              <w:rPr>
                <w:rFonts w:ascii="Times New Roman" w:hAnsi="Times New Roman" w:cs="Times New Roman"/>
                <w:b/>
                <w:bCs/>
                <w:color w:val="000000" w:themeColor="text1"/>
                <w:sz w:val="18"/>
                <w:szCs w:val="18"/>
              </w:rPr>
              <w:t>структура, %</w:t>
            </w:r>
          </w:p>
        </w:tc>
        <w:tc>
          <w:tcPr>
            <w:tcW w:w="10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rPr>
                <w:rFonts w:ascii="Times New Roman" w:hAnsi="Times New Roman" w:cs="Times New Roman"/>
                <w:b/>
                <w:bCs/>
                <w:color w:val="000000" w:themeColor="text1"/>
                <w:sz w:val="20"/>
                <w:szCs w:val="20"/>
              </w:rPr>
            </w:pPr>
          </w:p>
        </w:tc>
      </w:tr>
      <w:tr w:rsidR="00D95138" w:rsidRPr="00D41731" w:rsidTr="003E6A1D">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both"/>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Всего</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1 048,9</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100,0</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D361C4">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3 239,</w:t>
            </w:r>
            <w:r w:rsidR="00D361C4" w:rsidRPr="00D41731">
              <w:rPr>
                <w:rFonts w:ascii="Times New Roman" w:hAnsi="Times New Roman" w:cs="Times New Roman"/>
                <w:b/>
                <w:bCs/>
                <w:color w:val="000000" w:themeColor="text1"/>
                <w:sz w:val="20"/>
                <w:szCs w:val="20"/>
              </w:rPr>
              <w:t>4</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100,0</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3741FC"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7 091,9</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100,0</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D95138"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3 852,5</w:t>
            </w:r>
          </w:p>
        </w:tc>
      </w:tr>
      <w:tr w:rsidR="00D95138" w:rsidRPr="00D41731" w:rsidTr="003E6A1D">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в том числе:</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r>
      <w:tr w:rsidR="00D95138" w:rsidRPr="00D41731" w:rsidTr="003E6A1D">
        <w:trPr>
          <w:trHeight w:val="7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both"/>
              <w:rPr>
                <w:rFonts w:ascii="Times New Roman" w:hAnsi="Times New Roman" w:cs="Times New Roman"/>
                <w:b/>
                <w:bCs/>
                <w:color w:val="000000" w:themeColor="text1"/>
                <w:sz w:val="18"/>
                <w:szCs w:val="18"/>
              </w:rPr>
            </w:pPr>
            <w:r w:rsidRPr="00D41731">
              <w:rPr>
                <w:rFonts w:ascii="Times New Roman" w:hAnsi="Times New Roman" w:cs="Times New Roman"/>
                <w:b/>
                <w:bCs/>
                <w:color w:val="000000" w:themeColor="text1"/>
                <w:sz w:val="18"/>
                <w:szCs w:val="18"/>
              </w:rPr>
              <w:t>дополнительные нефтегазовые доходы, подлежащие зачислению в резервный фонд (Фонд национального благосостояния) в очередном финансовом году</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 </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 </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841,8</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25,9</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4 454,3</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E00B35">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62,</w:t>
            </w:r>
            <w:r w:rsidR="00E00B35" w:rsidRPr="00D41731">
              <w:rPr>
                <w:rFonts w:ascii="Times New Roman" w:hAnsi="Times New Roman" w:cs="Times New Roman"/>
                <w:b/>
                <w:bCs/>
                <w:color w:val="000000" w:themeColor="text1"/>
                <w:sz w:val="20"/>
                <w:szCs w:val="20"/>
              </w:rPr>
              <w:t>8</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3 612,5</w:t>
            </w:r>
          </w:p>
        </w:tc>
      </w:tr>
      <w:tr w:rsidR="00D95138" w:rsidRPr="00D41731" w:rsidTr="003E6A1D">
        <w:trPr>
          <w:trHeight w:val="7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both"/>
              <w:rPr>
                <w:rFonts w:ascii="Times New Roman" w:hAnsi="Times New Roman" w:cs="Times New Roman"/>
                <w:b/>
                <w:bCs/>
                <w:color w:val="000000" w:themeColor="text1"/>
                <w:sz w:val="18"/>
                <w:szCs w:val="18"/>
              </w:rPr>
            </w:pPr>
            <w:r w:rsidRPr="00D41731">
              <w:rPr>
                <w:rFonts w:ascii="Times New Roman" w:hAnsi="Times New Roman" w:cs="Times New Roman"/>
                <w:b/>
                <w:bCs/>
                <w:color w:val="000000" w:themeColor="text1"/>
                <w:sz w:val="18"/>
                <w:szCs w:val="18"/>
              </w:rPr>
              <w:t xml:space="preserve">остатки бюджетных ассигнований федерального бюджета, подлежащие использованию в очередном финансовом году </w:t>
            </w:r>
            <w:proofErr w:type="gramStart"/>
            <w:r w:rsidRPr="00D41731">
              <w:rPr>
                <w:rFonts w:ascii="Times New Roman" w:hAnsi="Times New Roman" w:cs="Times New Roman"/>
                <w:b/>
                <w:bCs/>
                <w:color w:val="000000" w:themeColor="text1"/>
                <w:sz w:val="18"/>
                <w:szCs w:val="18"/>
              </w:rPr>
              <w:t>на те</w:t>
            </w:r>
            <w:proofErr w:type="gramEnd"/>
            <w:r w:rsidRPr="00D41731">
              <w:rPr>
                <w:rFonts w:ascii="Times New Roman" w:hAnsi="Times New Roman" w:cs="Times New Roman"/>
                <w:b/>
                <w:bCs/>
                <w:color w:val="000000" w:themeColor="text1"/>
                <w:sz w:val="18"/>
                <w:szCs w:val="18"/>
              </w:rPr>
              <w:t xml:space="preserve"> же цели </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124,5</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11,9</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390,4</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12,1</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3741FC"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559,4</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E00B35"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7,9</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D95138"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169,0</w:t>
            </w:r>
          </w:p>
        </w:tc>
      </w:tr>
      <w:tr w:rsidR="00D95138" w:rsidRPr="00D41731" w:rsidTr="003E6A1D">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в том числе:</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r>
      <w:tr w:rsidR="00D95138" w:rsidRPr="00D41731" w:rsidTr="003E6A1D">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left="318"/>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Инвестиционный фонд Российской Федерации</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1,0</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0,1</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0,0</w:t>
            </w:r>
          </w:p>
        </w:tc>
      </w:tr>
      <w:tr w:rsidR="00D95138" w:rsidRPr="00D41731" w:rsidTr="003E6A1D">
        <w:trPr>
          <w:trHeight w:val="31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firstLine="284"/>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Федеральный дорожный фонд</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16,6</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1,6</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19,4</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0,6</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24,9</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0,4</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5,5</w:t>
            </w:r>
          </w:p>
        </w:tc>
      </w:tr>
      <w:tr w:rsidR="00D95138" w:rsidRPr="00D41731" w:rsidTr="003E6A1D">
        <w:trPr>
          <w:trHeight w:val="96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firstLine="284"/>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обязательства на оплату заключенных государственных контрактов на поставку товаров, выполнение работ, оказание услуг, подлежащих в соответствии с условиями этих контрактов оплате в отчетном финансовом году</w:t>
            </w:r>
            <w:r w:rsidR="00D22DC9" w:rsidRPr="00D41731">
              <w:rPr>
                <w:rFonts w:ascii="Times New Roman" w:hAnsi="Times New Roman" w:cs="Times New Roman"/>
                <w:color w:val="000000" w:themeColor="text1"/>
                <w:sz w:val="18"/>
                <w:szCs w:val="18"/>
              </w:rPr>
              <w:t>, в том числе с применением казначейского обеспечения обязательств</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425D9A"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72,8</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425D9A">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6,</w:t>
            </w:r>
            <w:r w:rsidR="00425D9A" w:rsidRPr="00D41731">
              <w:rPr>
                <w:rFonts w:ascii="Times New Roman" w:hAnsi="Times New Roman" w:cs="Times New Roman"/>
                <w:color w:val="000000" w:themeColor="text1"/>
                <w:sz w:val="20"/>
                <w:szCs w:val="20"/>
              </w:rPr>
              <w:t>9</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425D9A"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275,2</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425D9A">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8,</w:t>
            </w:r>
            <w:r w:rsidR="00425D9A" w:rsidRPr="00D41731">
              <w:rPr>
                <w:rFonts w:ascii="Times New Roman" w:hAnsi="Times New Roman" w:cs="Times New Roman"/>
                <w:color w:val="000000" w:themeColor="text1"/>
                <w:sz w:val="20"/>
                <w:szCs w:val="20"/>
              </w:rPr>
              <w:t>5</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3741FC"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357,1</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E00B35"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5,0</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D95138"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81,9</w:t>
            </w:r>
          </w:p>
        </w:tc>
      </w:tr>
      <w:tr w:rsidR="00D95138" w:rsidRPr="00D41731" w:rsidTr="003E6A1D">
        <w:trPr>
          <w:trHeight w:val="144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firstLine="284"/>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бюджетные ассигнования на реализацию решений Президента Российской Федерации и Правительства Российской Федерации по обеспечению отдельных мероприятий в сфере национальной обороны, национальной безопасности, исследования и использования космического пространства и правоохранительной деятельности</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24,8</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2,4</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77,2</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2,4</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130,6</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E00B35">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w:t>
            </w:r>
            <w:r w:rsidR="00E00B35" w:rsidRPr="00D41731">
              <w:rPr>
                <w:rFonts w:ascii="Times New Roman" w:hAnsi="Times New Roman" w:cs="Times New Roman"/>
                <w:color w:val="000000" w:themeColor="text1"/>
                <w:sz w:val="20"/>
                <w:szCs w:val="20"/>
              </w:rPr>
              <w:t>8</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53,4</w:t>
            </w:r>
          </w:p>
        </w:tc>
      </w:tr>
      <w:tr w:rsidR="00D95138" w:rsidRPr="00D41731" w:rsidTr="003E6A1D">
        <w:trPr>
          <w:trHeight w:val="7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firstLine="284"/>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 xml:space="preserve"> субсидии юридическим лицам, предоставление которых осуществлялось в пределах суммы, необходимой для оплаты денежных обязательств получателей субсидий</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7,6</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0,7</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15,9</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0,5</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3741FC"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26,7</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0,4</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D95138"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10,8</w:t>
            </w:r>
          </w:p>
        </w:tc>
      </w:tr>
      <w:tr w:rsidR="00D95138" w:rsidRPr="00D41731" w:rsidTr="003E6A1D">
        <w:trPr>
          <w:trHeight w:val="96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firstLine="284"/>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субсидии и иные межбюджетные трансферты бюджетам  субъектов Российской Федерации «под потребность» (с учетом остатков бюджетных ассигнований по заключенным государственным контрактам)</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3741FC"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15,4</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E00B35">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w:t>
            </w:r>
            <w:r w:rsidR="00E00B35" w:rsidRPr="00D41731">
              <w:rPr>
                <w:rFonts w:ascii="Times New Roman" w:hAnsi="Times New Roman" w:cs="Times New Roman"/>
                <w:color w:val="000000" w:themeColor="text1"/>
                <w:sz w:val="20"/>
                <w:szCs w:val="20"/>
              </w:rPr>
              <w:t>2</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D95138"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15,4</w:t>
            </w:r>
          </w:p>
        </w:tc>
      </w:tr>
      <w:tr w:rsidR="00D95138" w:rsidRPr="00D41731" w:rsidTr="003E6A1D">
        <w:trPr>
          <w:trHeight w:val="164"/>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firstLine="284"/>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создание единой государственной информационной системы в сфере здравоохранения за счет межбюджетных трансфертов, предоставленных из бюджета ФОМС</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1,5</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0,1</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0,8</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4F29B8" w:rsidP="004F29B8">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0,00</w:t>
            </w:r>
            <w:r w:rsidR="003741FC" w:rsidRPr="00D41731">
              <w:rPr>
                <w:rFonts w:ascii="Times New Roman" w:hAnsi="Times New Roman" w:cs="Times New Roman"/>
                <w:color w:val="000000" w:themeColor="text1"/>
                <w:sz w:val="20"/>
                <w:szCs w:val="20"/>
              </w:rPr>
              <w:t>2</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-0,8</w:t>
            </w:r>
          </w:p>
        </w:tc>
      </w:tr>
      <w:tr w:rsidR="00D95138" w:rsidRPr="00D41731" w:rsidTr="003E6A1D">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firstLine="284"/>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резервный фонд Президента Российской Федерации</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0,2</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1,9</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0,1</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4,7</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0,1</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2,8</w:t>
            </w:r>
          </w:p>
        </w:tc>
      </w:tr>
      <w:tr w:rsidR="00D95138" w:rsidRPr="00D41731" w:rsidTr="003E6A1D">
        <w:trPr>
          <w:trHeight w:val="48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both"/>
              <w:rPr>
                <w:rFonts w:ascii="Times New Roman" w:hAnsi="Times New Roman" w:cs="Times New Roman"/>
                <w:b/>
                <w:bCs/>
                <w:color w:val="000000" w:themeColor="text1"/>
                <w:sz w:val="18"/>
                <w:szCs w:val="18"/>
              </w:rPr>
            </w:pPr>
            <w:r w:rsidRPr="00D41731">
              <w:rPr>
                <w:rFonts w:ascii="Times New Roman" w:hAnsi="Times New Roman" w:cs="Times New Roman"/>
                <w:b/>
                <w:bCs/>
                <w:color w:val="000000" w:themeColor="text1"/>
                <w:sz w:val="18"/>
                <w:szCs w:val="18"/>
              </w:rPr>
              <w:t>иные остатки, подлежащие направлению в резервный фонд Правительства Российской Федерации</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148,1</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14,1</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280,3</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8,7</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253CDC"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282,6</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4F4833"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4,0</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D95138"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2,3</w:t>
            </w:r>
          </w:p>
        </w:tc>
      </w:tr>
      <w:tr w:rsidR="00D95138" w:rsidRPr="00D41731" w:rsidTr="003E6A1D">
        <w:trPr>
          <w:trHeight w:val="131"/>
        </w:trPr>
        <w:tc>
          <w:tcPr>
            <w:tcW w:w="3261" w:type="dxa"/>
            <w:tcBorders>
              <w:top w:val="nil"/>
              <w:left w:val="single" w:sz="4" w:space="0" w:color="auto"/>
              <w:bottom w:val="single" w:sz="4" w:space="0" w:color="auto"/>
              <w:right w:val="single" w:sz="4" w:space="0" w:color="auto"/>
            </w:tcBorders>
            <w:shd w:val="clear" w:color="auto" w:fill="auto"/>
            <w:vAlign w:val="center"/>
          </w:tcPr>
          <w:p w:rsidR="00530CA2" w:rsidRPr="00D41731" w:rsidRDefault="00530CA2" w:rsidP="00530CA2">
            <w:pPr>
              <w:spacing w:after="0" w:line="240" w:lineRule="auto"/>
              <w:jc w:val="both"/>
              <w:rPr>
                <w:rFonts w:ascii="Times New Roman" w:hAnsi="Times New Roman" w:cs="Times New Roman"/>
                <w:bCs/>
                <w:color w:val="000000" w:themeColor="text1"/>
                <w:sz w:val="18"/>
                <w:szCs w:val="18"/>
              </w:rPr>
            </w:pPr>
            <w:r w:rsidRPr="00D41731">
              <w:rPr>
                <w:rFonts w:ascii="Times New Roman" w:hAnsi="Times New Roman" w:cs="Times New Roman"/>
                <w:bCs/>
                <w:color w:val="000000" w:themeColor="text1"/>
                <w:sz w:val="18"/>
                <w:szCs w:val="18"/>
              </w:rPr>
              <w:t>из них:</w:t>
            </w:r>
          </w:p>
        </w:tc>
        <w:tc>
          <w:tcPr>
            <w:tcW w:w="1027" w:type="dxa"/>
            <w:tcBorders>
              <w:top w:val="nil"/>
              <w:left w:val="nil"/>
              <w:bottom w:val="single" w:sz="4" w:space="0" w:color="auto"/>
              <w:right w:val="single" w:sz="4" w:space="0" w:color="auto"/>
            </w:tcBorders>
            <w:shd w:val="clear" w:color="auto" w:fill="auto"/>
            <w:noWrap/>
            <w:vAlign w:val="center"/>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p>
        </w:tc>
        <w:tc>
          <w:tcPr>
            <w:tcW w:w="1099" w:type="dxa"/>
            <w:tcBorders>
              <w:top w:val="nil"/>
              <w:left w:val="nil"/>
              <w:bottom w:val="single" w:sz="4" w:space="0" w:color="auto"/>
              <w:right w:val="single" w:sz="4" w:space="0" w:color="auto"/>
            </w:tcBorders>
            <w:shd w:val="clear" w:color="auto" w:fill="auto"/>
            <w:noWrap/>
            <w:vAlign w:val="center"/>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p>
        </w:tc>
        <w:tc>
          <w:tcPr>
            <w:tcW w:w="1027" w:type="dxa"/>
            <w:tcBorders>
              <w:top w:val="nil"/>
              <w:left w:val="nil"/>
              <w:bottom w:val="single" w:sz="4" w:space="0" w:color="auto"/>
              <w:right w:val="single" w:sz="4" w:space="0" w:color="auto"/>
            </w:tcBorders>
            <w:shd w:val="clear" w:color="auto" w:fill="auto"/>
            <w:noWrap/>
            <w:vAlign w:val="center"/>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p>
        </w:tc>
        <w:tc>
          <w:tcPr>
            <w:tcW w:w="1241" w:type="dxa"/>
            <w:tcBorders>
              <w:top w:val="nil"/>
              <w:left w:val="nil"/>
              <w:bottom w:val="single" w:sz="4" w:space="0" w:color="auto"/>
              <w:right w:val="single" w:sz="4" w:space="0" w:color="auto"/>
            </w:tcBorders>
            <w:shd w:val="clear" w:color="auto" w:fill="auto"/>
            <w:noWrap/>
            <w:vAlign w:val="center"/>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p>
        </w:tc>
        <w:tc>
          <w:tcPr>
            <w:tcW w:w="1135" w:type="dxa"/>
            <w:tcBorders>
              <w:top w:val="nil"/>
              <w:left w:val="nil"/>
              <w:bottom w:val="single" w:sz="4" w:space="0" w:color="auto"/>
              <w:right w:val="single" w:sz="4" w:space="0" w:color="auto"/>
            </w:tcBorders>
            <w:shd w:val="clear" w:color="auto" w:fill="auto"/>
            <w:noWrap/>
            <w:vAlign w:val="center"/>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p>
        </w:tc>
        <w:tc>
          <w:tcPr>
            <w:tcW w:w="1092" w:type="dxa"/>
            <w:tcBorders>
              <w:top w:val="nil"/>
              <w:left w:val="nil"/>
              <w:bottom w:val="single" w:sz="4" w:space="0" w:color="auto"/>
              <w:right w:val="single" w:sz="4" w:space="0" w:color="auto"/>
            </w:tcBorders>
            <w:shd w:val="clear" w:color="auto" w:fill="auto"/>
            <w:noWrap/>
            <w:vAlign w:val="center"/>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p>
        </w:tc>
        <w:tc>
          <w:tcPr>
            <w:tcW w:w="1034" w:type="dxa"/>
            <w:tcBorders>
              <w:top w:val="nil"/>
              <w:left w:val="nil"/>
              <w:bottom w:val="single" w:sz="4" w:space="0" w:color="auto"/>
              <w:right w:val="single" w:sz="4" w:space="0" w:color="auto"/>
            </w:tcBorders>
            <w:shd w:val="clear" w:color="auto" w:fill="auto"/>
            <w:noWrap/>
            <w:vAlign w:val="center"/>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p>
        </w:tc>
      </w:tr>
      <w:tr w:rsidR="00D95138" w:rsidRPr="00D41731" w:rsidTr="003E6A1D">
        <w:trPr>
          <w:trHeight w:val="120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firstLineChars="100" w:firstLine="180"/>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 xml:space="preserve">остатки иных межбюджетных трансфертов </w:t>
            </w:r>
            <w:proofErr w:type="gramStart"/>
            <w:r w:rsidRPr="00D41731">
              <w:rPr>
                <w:rFonts w:ascii="Times New Roman" w:hAnsi="Times New Roman" w:cs="Times New Roman"/>
                <w:color w:val="000000" w:themeColor="text1"/>
                <w:sz w:val="18"/>
                <w:szCs w:val="18"/>
              </w:rPr>
              <w:t>на финансовое обеспечение реализации мероприятий по созданию в субъектах Российской Федерации дополнительных мест для детей в возрасте</w:t>
            </w:r>
            <w:proofErr w:type="gramEnd"/>
            <w:r w:rsidRPr="00D41731">
              <w:rPr>
                <w:rFonts w:ascii="Times New Roman" w:hAnsi="Times New Roman" w:cs="Times New Roman"/>
                <w:color w:val="000000" w:themeColor="text1"/>
                <w:sz w:val="18"/>
                <w:szCs w:val="18"/>
              </w:rPr>
              <w:t xml:space="preserve"> от 2 месяцев до 3 лет </w:t>
            </w:r>
            <w:r w:rsidRPr="00D41731">
              <w:rPr>
                <w:rFonts w:ascii="Times New Roman" w:hAnsi="Times New Roman" w:cs="Times New Roman"/>
                <w:color w:val="000000" w:themeColor="text1"/>
                <w:sz w:val="18"/>
                <w:szCs w:val="18"/>
              </w:rPr>
              <w:lastRenderedPageBreak/>
              <w:t>в организациях, реализующих программы дошкольного образования</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lastRenderedPageBreak/>
              <w:t> </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E00B35"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4,3</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0,1</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D95138" w:rsidP="00D95138">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4,3</w:t>
            </w:r>
          </w:p>
        </w:tc>
      </w:tr>
      <w:tr w:rsidR="00D95138" w:rsidRPr="00D41731" w:rsidTr="003E6A1D">
        <w:trPr>
          <w:trHeight w:val="96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both"/>
              <w:rPr>
                <w:rFonts w:ascii="Times New Roman" w:hAnsi="Times New Roman" w:cs="Times New Roman"/>
                <w:b/>
                <w:bCs/>
                <w:color w:val="000000" w:themeColor="text1"/>
                <w:sz w:val="18"/>
                <w:szCs w:val="18"/>
              </w:rPr>
            </w:pPr>
            <w:proofErr w:type="gramStart"/>
            <w:r w:rsidRPr="00D41731">
              <w:rPr>
                <w:rFonts w:ascii="Times New Roman" w:hAnsi="Times New Roman" w:cs="Times New Roman"/>
                <w:b/>
                <w:bCs/>
                <w:color w:val="000000" w:themeColor="text1"/>
                <w:sz w:val="18"/>
                <w:szCs w:val="18"/>
              </w:rPr>
              <w:lastRenderedPageBreak/>
              <w:t>остатки</w:t>
            </w:r>
            <w:proofErr w:type="gramEnd"/>
            <w:r w:rsidRPr="00D41731">
              <w:rPr>
                <w:rFonts w:ascii="Times New Roman" w:hAnsi="Times New Roman" w:cs="Times New Roman"/>
                <w:b/>
                <w:bCs/>
                <w:color w:val="000000" w:themeColor="text1"/>
                <w:sz w:val="18"/>
                <w:szCs w:val="18"/>
              </w:rPr>
              <w:t xml:space="preserve"> не использованные получателями бюджетных средств, находящиеся на едином счете бюджета, предоставленные в 2017 году на подготовку и проведение выборов Президента Российской федерации</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 </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 </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17,6</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0,5</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D22DC9" w:rsidP="00530CA2">
            <w:pPr>
              <w:spacing w:after="0" w:line="240" w:lineRule="auto"/>
              <w:jc w:val="center"/>
              <w:rPr>
                <w:rFonts w:ascii="Times New Roman" w:hAnsi="Times New Roman" w:cs="Times New Roman"/>
                <w:bCs/>
                <w:color w:val="000000" w:themeColor="text1"/>
                <w:sz w:val="20"/>
                <w:szCs w:val="20"/>
              </w:rPr>
            </w:pPr>
            <w:r w:rsidRPr="00D41731">
              <w:rPr>
                <w:rFonts w:ascii="Times New Roman" w:hAnsi="Times New Roman" w:cs="Times New Roman"/>
                <w:bCs/>
                <w:color w:val="000000" w:themeColor="text1"/>
                <w:sz w:val="20"/>
                <w:szCs w:val="20"/>
              </w:rPr>
              <w:t>14,2</w:t>
            </w:r>
            <w:r w:rsidR="00530CA2" w:rsidRPr="00D41731">
              <w:rPr>
                <w:rFonts w:ascii="Times New Roman" w:hAnsi="Times New Roman" w:cs="Times New Roman"/>
                <w:bCs/>
                <w:color w:val="000000" w:themeColor="text1"/>
                <w:sz w:val="20"/>
                <w:szCs w:val="20"/>
              </w:rPr>
              <w:t> </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4F4833"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0,2</w:t>
            </w:r>
            <w:r w:rsidR="00530CA2" w:rsidRPr="00D41731">
              <w:rPr>
                <w:rFonts w:ascii="Times New Roman" w:hAnsi="Times New Roman" w:cs="Times New Roman"/>
                <w:b/>
                <w:bCs/>
                <w:color w:val="000000" w:themeColor="text1"/>
                <w:sz w:val="20"/>
                <w:szCs w:val="20"/>
              </w:rPr>
              <w:t> </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D95138"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-3,4</w:t>
            </w:r>
          </w:p>
        </w:tc>
      </w:tr>
      <w:tr w:rsidR="00D95138" w:rsidRPr="00D41731" w:rsidTr="003E6A1D">
        <w:trPr>
          <w:trHeight w:val="72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both"/>
              <w:rPr>
                <w:rFonts w:ascii="Times New Roman" w:hAnsi="Times New Roman" w:cs="Times New Roman"/>
                <w:b/>
                <w:bCs/>
                <w:color w:val="000000" w:themeColor="text1"/>
                <w:sz w:val="18"/>
                <w:szCs w:val="18"/>
              </w:rPr>
            </w:pPr>
            <w:r w:rsidRPr="00D41731">
              <w:rPr>
                <w:rFonts w:ascii="Times New Roman" w:hAnsi="Times New Roman" w:cs="Times New Roman"/>
                <w:b/>
                <w:bCs/>
                <w:color w:val="000000" w:themeColor="text1"/>
                <w:sz w:val="18"/>
                <w:szCs w:val="18"/>
              </w:rPr>
              <w:t xml:space="preserve">изменение иных остатков средств федерального бюджета, предусмотренное соответствующим приложением </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 </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 </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DF4EDE"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218,0</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DF4EDE"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6,7</w:t>
            </w:r>
          </w:p>
        </w:tc>
        <w:tc>
          <w:tcPr>
            <w:tcW w:w="1135" w:type="dxa"/>
            <w:tcBorders>
              <w:top w:val="nil"/>
              <w:left w:val="nil"/>
              <w:bottom w:val="single" w:sz="4" w:space="0" w:color="auto"/>
              <w:right w:val="single" w:sz="4" w:space="0" w:color="auto"/>
            </w:tcBorders>
            <w:shd w:val="clear" w:color="auto" w:fill="auto"/>
            <w:noWrap/>
            <w:vAlign w:val="center"/>
          </w:tcPr>
          <w:p w:rsidR="00530CA2" w:rsidRPr="00D41731" w:rsidRDefault="00D22DC9"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0,0</w:t>
            </w:r>
          </w:p>
        </w:tc>
        <w:tc>
          <w:tcPr>
            <w:tcW w:w="1092" w:type="dxa"/>
            <w:tcBorders>
              <w:top w:val="nil"/>
              <w:left w:val="nil"/>
              <w:bottom w:val="single" w:sz="4" w:space="0" w:color="auto"/>
              <w:right w:val="single" w:sz="4" w:space="0" w:color="auto"/>
            </w:tcBorders>
            <w:shd w:val="clear" w:color="auto" w:fill="auto"/>
            <w:noWrap/>
            <w:vAlign w:val="center"/>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DF4EDE">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w:t>
            </w:r>
            <w:r w:rsidR="00DF4EDE" w:rsidRPr="00D41731">
              <w:rPr>
                <w:rFonts w:ascii="Times New Roman" w:hAnsi="Times New Roman" w:cs="Times New Roman"/>
                <w:b/>
                <w:bCs/>
                <w:color w:val="000000" w:themeColor="text1"/>
                <w:sz w:val="20"/>
                <w:szCs w:val="20"/>
              </w:rPr>
              <w:t>218,0</w:t>
            </w:r>
          </w:p>
        </w:tc>
      </w:tr>
      <w:tr w:rsidR="00D95138" w:rsidRPr="00D41731" w:rsidTr="003E6A1D">
        <w:trPr>
          <w:trHeight w:val="144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jc w:val="both"/>
              <w:rPr>
                <w:rFonts w:ascii="Times New Roman" w:hAnsi="Times New Roman" w:cs="Times New Roman"/>
                <w:b/>
                <w:bCs/>
                <w:color w:val="000000" w:themeColor="text1"/>
                <w:sz w:val="18"/>
                <w:szCs w:val="18"/>
              </w:rPr>
            </w:pPr>
            <w:r w:rsidRPr="00D41731">
              <w:rPr>
                <w:rFonts w:ascii="Times New Roman" w:hAnsi="Times New Roman" w:cs="Times New Roman"/>
                <w:b/>
                <w:bCs/>
                <w:color w:val="000000" w:themeColor="text1"/>
                <w:sz w:val="18"/>
                <w:szCs w:val="18"/>
              </w:rPr>
              <w:t xml:space="preserve">остатки средств федерального бюджета на счетах  без учета дополнительных нефтегазовых доходов, подлежащих зачислению в Фонд национального благосостояния в очередном финансовом году, и остатков бюджетных ассигнований федерального бюджета, подлежащих использованию в очередном финансовом году </w:t>
            </w:r>
            <w:proofErr w:type="gramStart"/>
            <w:r w:rsidRPr="00D41731">
              <w:rPr>
                <w:rFonts w:ascii="Times New Roman" w:hAnsi="Times New Roman" w:cs="Times New Roman"/>
                <w:b/>
                <w:bCs/>
                <w:color w:val="000000" w:themeColor="text1"/>
                <w:sz w:val="18"/>
                <w:szCs w:val="18"/>
              </w:rPr>
              <w:t>на те</w:t>
            </w:r>
            <w:proofErr w:type="gramEnd"/>
            <w:r w:rsidRPr="00D41731">
              <w:rPr>
                <w:rFonts w:ascii="Times New Roman" w:hAnsi="Times New Roman" w:cs="Times New Roman"/>
                <w:b/>
                <w:bCs/>
                <w:color w:val="000000" w:themeColor="text1"/>
                <w:sz w:val="18"/>
                <w:szCs w:val="18"/>
              </w:rPr>
              <w:t xml:space="preserve"> же цели и на увеличение резервного фонда Правительства Российской Федерации</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776,3</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74,0</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DF4EDE" w:rsidP="00D361C4">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1 491,3</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DF4EDE"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46,0</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1 762,4</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4F4833"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24,9</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DF4EDE" w:rsidP="00530CA2">
            <w:pPr>
              <w:spacing w:after="0" w:line="240" w:lineRule="auto"/>
              <w:jc w:val="center"/>
              <w:rPr>
                <w:rFonts w:ascii="Times New Roman" w:hAnsi="Times New Roman" w:cs="Times New Roman"/>
                <w:b/>
                <w:bCs/>
                <w:color w:val="000000" w:themeColor="text1"/>
                <w:sz w:val="20"/>
                <w:szCs w:val="20"/>
              </w:rPr>
            </w:pPr>
            <w:r w:rsidRPr="00D41731">
              <w:rPr>
                <w:rFonts w:ascii="Times New Roman" w:hAnsi="Times New Roman" w:cs="Times New Roman"/>
                <w:b/>
                <w:bCs/>
                <w:color w:val="000000" w:themeColor="text1"/>
                <w:sz w:val="20"/>
                <w:szCs w:val="20"/>
              </w:rPr>
              <w:t>271,1</w:t>
            </w:r>
          </w:p>
        </w:tc>
      </w:tr>
      <w:tr w:rsidR="00D95138" w:rsidRPr="00D41731" w:rsidTr="003E6A1D">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firstLineChars="100" w:firstLine="180"/>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в том числе:</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r>
      <w:tr w:rsidR="00D95138" w:rsidRPr="00D41731" w:rsidTr="003E6A1D">
        <w:trPr>
          <w:trHeight w:val="46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firstLineChars="100" w:firstLine="180"/>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 xml:space="preserve">остатки средств на валютных счетах Федерального казначейства </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51,8</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4,9</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94,3</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2,9</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309,9</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4,4</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215,6</w:t>
            </w:r>
          </w:p>
        </w:tc>
      </w:tr>
      <w:tr w:rsidR="00D95138" w:rsidRPr="00D41731" w:rsidTr="003E6A1D">
        <w:trPr>
          <w:trHeight w:val="48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firstLineChars="100" w:firstLine="180"/>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остатки на счетах бюджетополучателей в кредитных организациях (с учетом сре</w:t>
            </w:r>
            <w:proofErr w:type="gramStart"/>
            <w:r w:rsidRPr="00D41731">
              <w:rPr>
                <w:rFonts w:ascii="Times New Roman" w:hAnsi="Times New Roman" w:cs="Times New Roman"/>
                <w:color w:val="000000" w:themeColor="text1"/>
                <w:sz w:val="18"/>
                <w:szCs w:val="18"/>
              </w:rPr>
              <w:t>дств в п</w:t>
            </w:r>
            <w:proofErr w:type="gramEnd"/>
            <w:r w:rsidRPr="00D41731">
              <w:rPr>
                <w:rFonts w:ascii="Times New Roman" w:hAnsi="Times New Roman" w:cs="Times New Roman"/>
                <w:color w:val="000000" w:themeColor="text1"/>
                <w:sz w:val="18"/>
                <w:szCs w:val="18"/>
              </w:rPr>
              <w:t>ути)</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3,2</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0,3</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D361C4"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21,7</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0,8</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 </w:t>
            </w:r>
          </w:p>
        </w:tc>
        <w:tc>
          <w:tcPr>
            <w:tcW w:w="1092" w:type="dxa"/>
            <w:tcBorders>
              <w:top w:val="nil"/>
              <w:left w:val="nil"/>
              <w:bottom w:val="single" w:sz="4" w:space="0" w:color="auto"/>
              <w:right w:val="single" w:sz="4" w:space="0" w:color="auto"/>
            </w:tcBorders>
            <w:shd w:val="clear" w:color="auto" w:fill="auto"/>
            <w:noWrap/>
            <w:vAlign w:val="center"/>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D95138"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-21,7</w:t>
            </w:r>
          </w:p>
        </w:tc>
      </w:tr>
      <w:tr w:rsidR="00D95138" w:rsidRPr="00D41731" w:rsidTr="003E6A1D">
        <w:trPr>
          <w:trHeight w:val="255"/>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firstLineChars="100" w:firstLine="180"/>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остатки на счетах загранучреждений в иностранной валюте</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11,3</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1,1</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D361C4"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8,2</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0,2</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E00B35"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6,1</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0,1</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D95138"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w:t>
            </w:r>
            <w:r w:rsidR="00530CA2" w:rsidRPr="00D41731">
              <w:rPr>
                <w:rFonts w:ascii="Times New Roman" w:hAnsi="Times New Roman" w:cs="Times New Roman"/>
                <w:color w:val="000000" w:themeColor="text1"/>
                <w:sz w:val="20"/>
                <w:szCs w:val="20"/>
              </w:rPr>
              <w:t>2,1</w:t>
            </w:r>
          </w:p>
        </w:tc>
      </w:tr>
      <w:tr w:rsidR="00D95138" w:rsidRPr="00D41731" w:rsidTr="003E6A1D">
        <w:trPr>
          <w:trHeight w:val="48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firstLineChars="100" w:firstLine="180"/>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остатки Федерального казначейства на депозитных счетах в кредитных организациях</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232,0</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22,1</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870,8</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26,9</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1 567,3</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4F4833"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22,1</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696,5</w:t>
            </w:r>
          </w:p>
        </w:tc>
      </w:tr>
      <w:tr w:rsidR="00D95138" w:rsidRPr="00D41731" w:rsidTr="003E6A1D">
        <w:trPr>
          <w:trHeight w:val="480"/>
        </w:trPr>
        <w:tc>
          <w:tcPr>
            <w:tcW w:w="3261" w:type="dxa"/>
            <w:tcBorders>
              <w:top w:val="nil"/>
              <w:left w:val="single" w:sz="4" w:space="0" w:color="auto"/>
              <w:bottom w:val="single" w:sz="4" w:space="0" w:color="auto"/>
              <w:right w:val="single" w:sz="4" w:space="0" w:color="auto"/>
            </w:tcBorders>
            <w:shd w:val="clear" w:color="auto" w:fill="auto"/>
            <w:vAlign w:val="center"/>
            <w:hideMark/>
          </w:tcPr>
          <w:p w:rsidR="00530CA2" w:rsidRPr="00D41731" w:rsidRDefault="00530CA2" w:rsidP="00530CA2">
            <w:pPr>
              <w:spacing w:after="0" w:line="240" w:lineRule="auto"/>
              <w:ind w:firstLineChars="100" w:firstLine="180"/>
              <w:jc w:val="both"/>
              <w:rPr>
                <w:rFonts w:ascii="Times New Roman" w:hAnsi="Times New Roman" w:cs="Times New Roman"/>
                <w:color w:val="000000" w:themeColor="text1"/>
                <w:sz w:val="18"/>
                <w:szCs w:val="18"/>
              </w:rPr>
            </w:pPr>
            <w:r w:rsidRPr="00D41731">
              <w:rPr>
                <w:rFonts w:ascii="Times New Roman" w:hAnsi="Times New Roman" w:cs="Times New Roman"/>
                <w:color w:val="000000" w:themeColor="text1"/>
                <w:sz w:val="18"/>
                <w:szCs w:val="18"/>
              </w:rPr>
              <w:t xml:space="preserve">прочие остатки на едином счете Федерального казначейства в рублях (временно свободные - </w:t>
            </w:r>
            <w:r w:rsidRPr="003A5F93">
              <w:rPr>
                <w:rFonts w:ascii="Times New Roman" w:hAnsi="Times New Roman" w:cs="Times New Roman"/>
                <w:b/>
                <w:color w:val="000000" w:themeColor="text1"/>
                <w:sz w:val="18"/>
                <w:szCs w:val="18"/>
              </w:rPr>
              <w:t>расчетно</w:t>
            </w:r>
            <w:r w:rsidRPr="00D41731">
              <w:rPr>
                <w:rFonts w:ascii="Times New Roman" w:hAnsi="Times New Roman" w:cs="Times New Roman"/>
                <w:color w:val="000000" w:themeColor="text1"/>
                <w:sz w:val="18"/>
                <w:szCs w:val="18"/>
              </w:rPr>
              <w:t>)</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478,0</w:t>
            </w:r>
          </w:p>
        </w:tc>
        <w:tc>
          <w:tcPr>
            <w:tcW w:w="1099"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45,6</w:t>
            </w:r>
          </w:p>
        </w:tc>
        <w:tc>
          <w:tcPr>
            <w:tcW w:w="1027" w:type="dxa"/>
            <w:tcBorders>
              <w:top w:val="nil"/>
              <w:left w:val="nil"/>
              <w:bottom w:val="single" w:sz="4" w:space="0" w:color="auto"/>
              <w:right w:val="single" w:sz="4" w:space="0" w:color="auto"/>
            </w:tcBorders>
            <w:shd w:val="clear" w:color="auto" w:fill="auto"/>
            <w:noWrap/>
            <w:vAlign w:val="center"/>
            <w:hideMark/>
          </w:tcPr>
          <w:p w:rsidR="00530CA2" w:rsidRPr="00D41731" w:rsidRDefault="00DF4EDE" w:rsidP="003741FC">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496,3</w:t>
            </w:r>
          </w:p>
        </w:tc>
        <w:tc>
          <w:tcPr>
            <w:tcW w:w="1241" w:type="dxa"/>
            <w:tcBorders>
              <w:top w:val="nil"/>
              <w:left w:val="nil"/>
              <w:bottom w:val="single" w:sz="4" w:space="0" w:color="auto"/>
              <w:right w:val="single" w:sz="4" w:space="0" w:color="auto"/>
            </w:tcBorders>
            <w:shd w:val="clear" w:color="auto" w:fill="auto"/>
            <w:noWrap/>
            <w:vAlign w:val="center"/>
            <w:hideMark/>
          </w:tcPr>
          <w:p w:rsidR="00530CA2" w:rsidRPr="00D41731" w:rsidRDefault="00DF4EDE"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15,3</w:t>
            </w:r>
          </w:p>
        </w:tc>
        <w:tc>
          <w:tcPr>
            <w:tcW w:w="1135"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E00B35">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w:t>
            </w:r>
            <w:r w:rsidR="00E00B35" w:rsidRPr="00D41731">
              <w:rPr>
                <w:rFonts w:ascii="Times New Roman" w:hAnsi="Times New Roman" w:cs="Times New Roman"/>
                <w:color w:val="000000" w:themeColor="text1"/>
                <w:sz w:val="20"/>
                <w:szCs w:val="20"/>
              </w:rPr>
              <w:t>87,7</w:t>
            </w:r>
          </w:p>
        </w:tc>
        <w:tc>
          <w:tcPr>
            <w:tcW w:w="1092" w:type="dxa"/>
            <w:tcBorders>
              <w:top w:val="nil"/>
              <w:left w:val="nil"/>
              <w:bottom w:val="single" w:sz="4" w:space="0" w:color="auto"/>
              <w:right w:val="single" w:sz="4" w:space="0" w:color="auto"/>
            </w:tcBorders>
            <w:shd w:val="clear" w:color="auto" w:fill="auto"/>
            <w:noWrap/>
            <w:vAlign w:val="center"/>
            <w:hideMark/>
          </w:tcPr>
          <w:p w:rsidR="00530CA2" w:rsidRPr="00D41731" w:rsidRDefault="004F4833" w:rsidP="00530CA2">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-1,2</w:t>
            </w:r>
          </w:p>
        </w:tc>
        <w:tc>
          <w:tcPr>
            <w:tcW w:w="1034" w:type="dxa"/>
            <w:tcBorders>
              <w:top w:val="nil"/>
              <w:left w:val="nil"/>
              <w:bottom w:val="single" w:sz="4" w:space="0" w:color="auto"/>
              <w:right w:val="single" w:sz="4" w:space="0" w:color="auto"/>
            </w:tcBorders>
            <w:shd w:val="clear" w:color="auto" w:fill="auto"/>
            <w:noWrap/>
            <w:vAlign w:val="center"/>
            <w:hideMark/>
          </w:tcPr>
          <w:p w:rsidR="00530CA2" w:rsidRPr="00D41731" w:rsidRDefault="00530CA2" w:rsidP="00DF4EDE">
            <w:pPr>
              <w:spacing w:after="0" w:line="240" w:lineRule="auto"/>
              <w:jc w:val="center"/>
              <w:rPr>
                <w:rFonts w:ascii="Times New Roman" w:hAnsi="Times New Roman" w:cs="Times New Roman"/>
                <w:color w:val="000000" w:themeColor="text1"/>
                <w:sz w:val="20"/>
                <w:szCs w:val="20"/>
              </w:rPr>
            </w:pPr>
            <w:r w:rsidRPr="00D41731">
              <w:rPr>
                <w:rFonts w:ascii="Times New Roman" w:hAnsi="Times New Roman" w:cs="Times New Roman"/>
                <w:color w:val="000000" w:themeColor="text1"/>
                <w:sz w:val="20"/>
                <w:szCs w:val="20"/>
              </w:rPr>
              <w:t>-</w:t>
            </w:r>
            <w:r w:rsidR="00DF4EDE" w:rsidRPr="00D41731">
              <w:rPr>
                <w:rFonts w:ascii="Times New Roman" w:hAnsi="Times New Roman" w:cs="Times New Roman"/>
                <w:color w:val="000000" w:themeColor="text1"/>
                <w:sz w:val="20"/>
                <w:szCs w:val="20"/>
              </w:rPr>
              <w:t>584,0</w:t>
            </w:r>
          </w:p>
        </w:tc>
      </w:tr>
    </w:tbl>
    <w:p w:rsidR="009D10C6" w:rsidRDefault="009D10C6" w:rsidP="003D058E">
      <w:pPr>
        <w:spacing w:after="120" w:line="240" w:lineRule="auto"/>
        <w:jc w:val="right"/>
        <w:rPr>
          <w:rFonts w:ascii="Times New Roman" w:eastAsia="Times New Roman" w:hAnsi="Times New Roman" w:cs="Times New Roman"/>
          <w:snapToGrid w:val="0"/>
          <w:sz w:val="24"/>
          <w:szCs w:val="24"/>
          <w:lang w:eastAsia="ru-RU"/>
        </w:rPr>
      </w:pPr>
    </w:p>
    <w:p w:rsidR="009D10C6" w:rsidRDefault="009D10C6">
      <w:pP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br w:type="page"/>
      </w:r>
    </w:p>
    <w:p w:rsidR="00691A30" w:rsidRDefault="00691A30" w:rsidP="00691A30">
      <w:pPr>
        <w:spacing w:after="12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Диаграмма № 7</w:t>
      </w:r>
    </w:p>
    <w:p w:rsidR="00691A30" w:rsidRPr="00691A30" w:rsidRDefault="00691A30" w:rsidP="00691A30">
      <w:pPr>
        <w:widowControl w:val="0"/>
        <w:spacing w:after="0" w:line="240" w:lineRule="auto"/>
        <w:jc w:val="both"/>
        <w:rPr>
          <w:rFonts w:ascii="Times New Roman" w:eastAsia="Times New Roman" w:hAnsi="Times New Roman" w:cs="Times New Roman"/>
          <w:color w:val="000000" w:themeColor="text1"/>
          <w:sz w:val="10"/>
          <w:szCs w:val="10"/>
          <w:lang w:eastAsia="ru-RU"/>
        </w:rPr>
      </w:pPr>
    </w:p>
    <w:p w:rsidR="008D7A26" w:rsidRPr="00691A30" w:rsidRDefault="004D0097"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691A30">
        <w:rPr>
          <w:rFonts w:ascii="Times New Roman" w:eastAsia="Times New Roman" w:hAnsi="Times New Roman" w:cs="Times New Roman"/>
          <w:color w:val="000000" w:themeColor="text1"/>
          <w:sz w:val="24"/>
          <w:szCs w:val="24"/>
          <w:lang w:eastAsia="ru-RU"/>
        </w:rPr>
        <w:t>Динамика плановых и фактических поступлений средств от продажи акций и иных форм участия в капитале, находящихся в федеральной собственности, за 201</w:t>
      </w:r>
      <w:r w:rsidR="009B30A0">
        <w:rPr>
          <w:rFonts w:ascii="Times New Roman" w:eastAsia="Times New Roman" w:hAnsi="Times New Roman" w:cs="Times New Roman"/>
          <w:color w:val="000000" w:themeColor="text1"/>
          <w:sz w:val="24"/>
          <w:szCs w:val="24"/>
          <w:lang w:eastAsia="ru-RU"/>
        </w:rPr>
        <w:t>5</w:t>
      </w:r>
      <w:r w:rsidRPr="00691A30">
        <w:rPr>
          <w:rFonts w:ascii="Times New Roman" w:eastAsia="Times New Roman" w:hAnsi="Times New Roman" w:cs="Times New Roman"/>
          <w:color w:val="000000" w:themeColor="text1"/>
          <w:sz w:val="24"/>
          <w:szCs w:val="24"/>
          <w:lang w:eastAsia="ru-RU"/>
        </w:rPr>
        <w:t xml:space="preserve"> – 2018 годы</w:t>
      </w:r>
    </w:p>
    <w:p w:rsidR="003E6A1D" w:rsidRPr="00D41731" w:rsidRDefault="003E6A1D" w:rsidP="003E6A1D">
      <w:pPr>
        <w:pStyle w:val="a5"/>
        <w:widowControl w:val="0"/>
        <w:spacing w:after="0" w:line="240" w:lineRule="auto"/>
        <w:ind w:left="709"/>
        <w:jc w:val="both"/>
        <w:rPr>
          <w:rFonts w:ascii="Times New Roman" w:eastAsia="Times New Roman" w:hAnsi="Times New Roman" w:cs="Times New Roman"/>
          <w:color w:val="000000" w:themeColor="text1"/>
          <w:sz w:val="24"/>
          <w:szCs w:val="24"/>
          <w:lang w:eastAsia="ru-RU"/>
        </w:rPr>
      </w:pPr>
    </w:p>
    <w:p w:rsidR="00EF623C" w:rsidRPr="00D41731" w:rsidRDefault="009F3E40" w:rsidP="008636CC">
      <w:pPr>
        <w:widowControl w:val="0"/>
        <w:overflowPunct w:val="0"/>
        <w:autoSpaceDE w:val="0"/>
        <w:autoSpaceDN w:val="0"/>
        <w:adjustRightInd w:val="0"/>
        <w:spacing w:after="0"/>
        <w:ind w:right="-2"/>
        <w:jc w:val="both"/>
        <w:textAlignment w:val="baseline"/>
        <w:rPr>
          <w:rFonts w:ascii="Times New Roman" w:eastAsia="Times New Roman" w:hAnsi="Times New Roman" w:cs="Times New Roman"/>
          <w:snapToGrid w:val="0"/>
          <w:sz w:val="24"/>
          <w:szCs w:val="24"/>
          <w:lang w:eastAsia="ru-RU"/>
        </w:rPr>
      </w:pPr>
      <w:r w:rsidRPr="00D41731">
        <w:rPr>
          <w:noProof/>
          <w:lang w:eastAsia="ru-RU"/>
        </w:rPr>
        <w:drawing>
          <wp:inline distT="0" distB="0" distL="0" distR="0" wp14:anchorId="7E9911CB" wp14:editId="514C9CEB">
            <wp:extent cx="5947575" cy="2544417"/>
            <wp:effectExtent l="0" t="0" r="0" b="8890"/>
            <wp:docPr id="37" name="Диаграмма 3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91A30" w:rsidRDefault="00691A30" w:rsidP="00691A30">
      <w:pPr>
        <w:widowControl w:val="0"/>
        <w:spacing w:after="0" w:line="240" w:lineRule="auto"/>
        <w:jc w:val="both"/>
        <w:rPr>
          <w:rFonts w:ascii="Times New Roman" w:eastAsia="Times New Roman" w:hAnsi="Times New Roman" w:cs="Times New Roman"/>
          <w:color w:val="000000" w:themeColor="text1"/>
          <w:sz w:val="24"/>
          <w:szCs w:val="24"/>
          <w:lang w:eastAsia="ru-RU"/>
        </w:rPr>
      </w:pPr>
    </w:p>
    <w:p w:rsidR="00691A30" w:rsidRDefault="00691A30" w:rsidP="00691A30">
      <w:pPr>
        <w:widowControl w:val="0"/>
        <w:spacing w:after="0" w:line="240" w:lineRule="auto"/>
        <w:jc w:val="both"/>
        <w:rPr>
          <w:rFonts w:ascii="Times New Roman" w:eastAsia="Times New Roman" w:hAnsi="Times New Roman" w:cs="Times New Roman"/>
          <w:color w:val="000000" w:themeColor="text1"/>
          <w:sz w:val="24"/>
          <w:szCs w:val="24"/>
          <w:lang w:eastAsia="ru-RU"/>
        </w:rPr>
      </w:pPr>
    </w:p>
    <w:p w:rsidR="00691A30" w:rsidRDefault="00691A30" w:rsidP="00691A30">
      <w:pPr>
        <w:spacing w:after="12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Диаграмма № 8</w:t>
      </w:r>
    </w:p>
    <w:p w:rsidR="00691A30" w:rsidRPr="00691A30" w:rsidRDefault="00691A30" w:rsidP="00691A30">
      <w:pPr>
        <w:widowControl w:val="0"/>
        <w:spacing w:after="0" w:line="240" w:lineRule="auto"/>
        <w:jc w:val="both"/>
        <w:rPr>
          <w:rFonts w:ascii="Times New Roman" w:eastAsia="Times New Roman" w:hAnsi="Times New Roman" w:cs="Times New Roman"/>
          <w:color w:val="000000" w:themeColor="text1"/>
          <w:sz w:val="10"/>
          <w:szCs w:val="10"/>
          <w:lang w:eastAsia="ru-RU"/>
        </w:rPr>
      </w:pPr>
    </w:p>
    <w:p w:rsidR="00F63201" w:rsidRDefault="00F63201"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691A30">
        <w:rPr>
          <w:rFonts w:ascii="Times New Roman" w:eastAsia="Times New Roman" w:hAnsi="Times New Roman" w:cs="Times New Roman"/>
          <w:color w:val="000000" w:themeColor="text1"/>
          <w:sz w:val="24"/>
          <w:szCs w:val="24"/>
          <w:lang w:eastAsia="ru-RU"/>
        </w:rPr>
        <w:t xml:space="preserve">Информация об остатках средств федерального бюджета, размещенных </w:t>
      </w:r>
      <w:r w:rsidR="004009EB" w:rsidRPr="00691A30">
        <w:rPr>
          <w:rFonts w:ascii="Times New Roman" w:eastAsia="Times New Roman" w:hAnsi="Times New Roman" w:cs="Times New Roman"/>
          <w:color w:val="000000" w:themeColor="text1"/>
          <w:sz w:val="24"/>
          <w:szCs w:val="24"/>
          <w:lang w:eastAsia="ru-RU"/>
        </w:rPr>
        <w:t>на</w:t>
      </w:r>
      <w:r w:rsidR="003E6A1D" w:rsidRPr="00691A30">
        <w:rPr>
          <w:rFonts w:ascii="Times New Roman" w:eastAsia="Times New Roman" w:hAnsi="Times New Roman" w:cs="Times New Roman"/>
          <w:color w:val="000000" w:themeColor="text1"/>
          <w:sz w:val="24"/>
          <w:szCs w:val="24"/>
          <w:lang w:eastAsia="ru-RU"/>
        </w:rPr>
        <w:t> </w:t>
      </w:r>
      <w:r w:rsidR="004009EB" w:rsidRPr="00691A30">
        <w:rPr>
          <w:rFonts w:ascii="Times New Roman" w:eastAsia="Times New Roman" w:hAnsi="Times New Roman" w:cs="Times New Roman"/>
          <w:color w:val="000000" w:themeColor="text1"/>
          <w:sz w:val="24"/>
          <w:szCs w:val="24"/>
          <w:lang w:eastAsia="ru-RU"/>
        </w:rPr>
        <w:t xml:space="preserve">депозитах </w:t>
      </w:r>
      <w:r w:rsidRPr="00691A30">
        <w:rPr>
          <w:rFonts w:ascii="Times New Roman" w:eastAsia="Times New Roman" w:hAnsi="Times New Roman" w:cs="Times New Roman"/>
          <w:color w:val="000000" w:themeColor="text1"/>
          <w:sz w:val="24"/>
          <w:szCs w:val="24"/>
          <w:lang w:eastAsia="ru-RU"/>
        </w:rPr>
        <w:t>на</w:t>
      </w:r>
      <w:r w:rsidR="00691A30">
        <w:rPr>
          <w:rFonts w:ascii="Times New Roman" w:eastAsia="Times New Roman" w:hAnsi="Times New Roman" w:cs="Times New Roman"/>
          <w:color w:val="000000" w:themeColor="text1"/>
          <w:sz w:val="24"/>
          <w:szCs w:val="24"/>
          <w:lang w:eastAsia="ru-RU"/>
        </w:rPr>
        <w:t> </w:t>
      </w:r>
      <w:r w:rsidRPr="00691A30">
        <w:rPr>
          <w:rFonts w:ascii="Times New Roman" w:eastAsia="Times New Roman" w:hAnsi="Times New Roman" w:cs="Times New Roman"/>
          <w:color w:val="000000" w:themeColor="text1"/>
          <w:sz w:val="24"/>
          <w:szCs w:val="24"/>
          <w:lang w:eastAsia="ru-RU"/>
        </w:rPr>
        <w:t>конец отчетного периода, в 201</w:t>
      </w:r>
      <w:r w:rsidR="009B30A0">
        <w:rPr>
          <w:rFonts w:ascii="Times New Roman" w:eastAsia="Times New Roman" w:hAnsi="Times New Roman" w:cs="Times New Roman"/>
          <w:color w:val="000000" w:themeColor="text1"/>
          <w:sz w:val="24"/>
          <w:szCs w:val="24"/>
          <w:lang w:eastAsia="ru-RU"/>
        </w:rPr>
        <w:t>5</w:t>
      </w:r>
      <w:r w:rsidRPr="00691A30">
        <w:rPr>
          <w:rFonts w:ascii="Times New Roman" w:eastAsia="Times New Roman" w:hAnsi="Times New Roman" w:cs="Times New Roman"/>
          <w:color w:val="000000" w:themeColor="text1"/>
          <w:sz w:val="24"/>
          <w:szCs w:val="24"/>
          <w:lang w:eastAsia="ru-RU"/>
        </w:rPr>
        <w:t xml:space="preserve"> – 2018 годах</w:t>
      </w:r>
    </w:p>
    <w:p w:rsidR="007C386A" w:rsidRDefault="007C386A"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p>
    <w:p w:rsidR="007C386A" w:rsidRDefault="007C386A"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r>
        <w:rPr>
          <w:noProof/>
          <w:lang w:eastAsia="ru-RU"/>
        </w:rPr>
        <w:drawing>
          <wp:inline distT="0" distB="0" distL="0" distR="0" wp14:anchorId="5E2472D8" wp14:editId="0E0B63B3">
            <wp:extent cx="6520069" cy="2687541"/>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C386A" w:rsidRPr="00691A30" w:rsidRDefault="007C386A"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p>
    <w:p w:rsidR="00F63201" w:rsidRDefault="00F63201" w:rsidP="00F63201">
      <w:pPr>
        <w:spacing w:after="120" w:line="240" w:lineRule="auto"/>
        <w:jc w:val="center"/>
        <w:rPr>
          <w:rFonts w:ascii="Times New Roman" w:eastAsia="Times New Roman" w:hAnsi="Times New Roman" w:cs="Times New Roman"/>
          <w:snapToGrid w:val="0"/>
          <w:sz w:val="24"/>
          <w:szCs w:val="24"/>
          <w:lang w:eastAsia="ru-RU"/>
        </w:rPr>
      </w:pPr>
    </w:p>
    <w:p w:rsidR="009D10C6" w:rsidRDefault="009D10C6">
      <w:pPr>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br w:type="page"/>
      </w:r>
    </w:p>
    <w:p w:rsidR="00691A30" w:rsidRDefault="00691A30" w:rsidP="00691A30">
      <w:pPr>
        <w:spacing w:after="12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Таблица № 8</w:t>
      </w:r>
    </w:p>
    <w:p w:rsidR="00691A30" w:rsidRPr="00691A30" w:rsidRDefault="00691A30" w:rsidP="00691A30">
      <w:pPr>
        <w:widowControl w:val="0"/>
        <w:spacing w:after="0" w:line="240" w:lineRule="auto"/>
        <w:jc w:val="both"/>
        <w:rPr>
          <w:rFonts w:ascii="Times New Roman" w:eastAsia="Times New Roman" w:hAnsi="Times New Roman" w:cs="Times New Roman"/>
          <w:color w:val="000000" w:themeColor="text1"/>
          <w:sz w:val="10"/>
          <w:szCs w:val="10"/>
          <w:lang w:eastAsia="ru-RU"/>
        </w:rPr>
      </w:pPr>
    </w:p>
    <w:p w:rsidR="001276AB" w:rsidRDefault="00A901A1"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691A30">
        <w:rPr>
          <w:rFonts w:ascii="Times New Roman" w:eastAsia="Times New Roman" w:hAnsi="Times New Roman" w:cs="Times New Roman"/>
          <w:color w:val="000000" w:themeColor="text1"/>
          <w:sz w:val="24"/>
          <w:szCs w:val="24"/>
          <w:lang w:eastAsia="ru-RU"/>
        </w:rPr>
        <w:t>Анализ исполнения Федерального закона № 362-ФЗ (с изменениями) по</w:t>
      </w:r>
      <w:r w:rsidR="007A65A6" w:rsidRPr="00691A30">
        <w:rPr>
          <w:rFonts w:ascii="Times New Roman" w:eastAsia="Times New Roman" w:hAnsi="Times New Roman" w:cs="Times New Roman"/>
          <w:color w:val="000000" w:themeColor="text1"/>
          <w:sz w:val="24"/>
          <w:szCs w:val="24"/>
          <w:lang w:eastAsia="ru-RU"/>
        </w:rPr>
        <w:t> </w:t>
      </w:r>
      <w:r w:rsidRPr="00691A30">
        <w:rPr>
          <w:rFonts w:ascii="Times New Roman" w:eastAsia="Times New Roman" w:hAnsi="Times New Roman" w:cs="Times New Roman"/>
          <w:color w:val="000000" w:themeColor="text1"/>
          <w:sz w:val="24"/>
          <w:szCs w:val="24"/>
          <w:lang w:eastAsia="ru-RU"/>
        </w:rPr>
        <w:t>основным источникам внешнего финансирования дефицита за 2018 год</w:t>
      </w:r>
    </w:p>
    <w:p w:rsidR="00691A30" w:rsidRPr="00691A30" w:rsidRDefault="00691A30" w:rsidP="00691A30">
      <w:pPr>
        <w:widowControl w:val="0"/>
        <w:spacing w:after="0" w:line="240" w:lineRule="auto"/>
        <w:jc w:val="both"/>
        <w:rPr>
          <w:rFonts w:ascii="Times New Roman" w:eastAsia="Times New Roman" w:hAnsi="Times New Roman" w:cs="Times New Roman"/>
          <w:color w:val="000000" w:themeColor="text1"/>
          <w:sz w:val="24"/>
          <w:szCs w:val="24"/>
          <w:lang w:eastAsia="ru-RU"/>
        </w:rPr>
      </w:pPr>
    </w:p>
    <w:p w:rsidR="00A13061" w:rsidRPr="00D41731" w:rsidRDefault="00A13061" w:rsidP="007A65A6">
      <w:pPr>
        <w:widowControl w:val="0"/>
        <w:tabs>
          <w:tab w:val="left" w:pos="9923"/>
        </w:tabs>
        <w:overflowPunct w:val="0"/>
        <w:autoSpaceDE w:val="0"/>
        <w:autoSpaceDN w:val="0"/>
        <w:adjustRightInd w:val="0"/>
        <w:spacing w:after="0" w:line="240" w:lineRule="auto"/>
        <w:ind w:right="-143" w:firstLine="709"/>
        <w:jc w:val="right"/>
        <w:textAlignment w:val="baseline"/>
        <w:rPr>
          <w:rFonts w:ascii="Times New Roman" w:eastAsia="Times New Roman" w:hAnsi="Times New Roman" w:cs="Times New Roman"/>
          <w:sz w:val="20"/>
          <w:szCs w:val="20"/>
          <w:lang w:eastAsia="ru-RU"/>
        </w:rPr>
      </w:pPr>
      <w:r w:rsidRPr="00D41731">
        <w:rPr>
          <w:rFonts w:ascii="Times New Roman" w:eastAsia="Times New Roman" w:hAnsi="Times New Roman" w:cs="Times New Roman"/>
          <w:sz w:val="20"/>
          <w:szCs w:val="20"/>
          <w:lang w:eastAsia="ru-RU"/>
        </w:rPr>
        <w:t>(млн.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69"/>
        <w:gridCol w:w="1984"/>
        <w:gridCol w:w="1560"/>
        <w:gridCol w:w="1134"/>
        <w:gridCol w:w="1134"/>
      </w:tblGrid>
      <w:tr w:rsidR="00A13061" w:rsidRPr="00D41731" w:rsidTr="00A0532B">
        <w:trPr>
          <w:trHeight w:val="20"/>
          <w:tblHeader/>
        </w:trPr>
        <w:tc>
          <w:tcPr>
            <w:tcW w:w="3969" w:type="dxa"/>
            <w:tcBorders>
              <w:top w:val="single" w:sz="4" w:space="0" w:color="auto"/>
            </w:tcBorders>
            <w:vAlign w:val="center"/>
          </w:tcPr>
          <w:p w:rsidR="00A13061" w:rsidRPr="00D41731" w:rsidRDefault="00A13061" w:rsidP="00A0532B">
            <w:pPr>
              <w:widowControl w:val="0"/>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Наименование источников внешнего финансирования дефицита федерального бюджета</w:t>
            </w:r>
          </w:p>
        </w:tc>
        <w:tc>
          <w:tcPr>
            <w:tcW w:w="1984" w:type="dxa"/>
            <w:tcBorders>
              <w:top w:val="single" w:sz="4" w:space="0" w:color="auto"/>
            </w:tcBorders>
            <w:vAlign w:val="center"/>
          </w:tcPr>
          <w:p w:rsidR="00A13061" w:rsidRPr="00D41731" w:rsidRDefault="00A13061" w:rsidP="00A0532B">
            <w:pPr>
              <w:widowControl w:val="0"/>
              <w:spacing w:after="0" w:line="240" w:lineRule="auto"/>
              <w:ind w:left="-57" w:right="-57" w:firstLine="108"/>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 xml:space="preserve">Показатели, установленные Федеральным законом от </w:t>
            </w:r>
            <w:r w:rsidRPr="00D41731">
              <w:rPr>
                <w:rFonts w:ascii="Times New Roman" w:eastAsia="Times New Roman" w:hAnsi="Times New Roman" w:cs="Times New Roman"/>
                <w:b/>
                <w:bCs/>
                <w:sz w:val="16"/>
                <w:szCs w:val="16"/>
                <w:lang w:eastAsia="ru-RU"/>
              </w:rPr>
              <w:br/>
              <w:t>5 декабря 2017 г. № 362-ФЗ (с изменениями) и показатели в расчетах к нему</w:t>
            </w:r>
          </w:p>
        </w:tc>
        <w:tc>
          <w:tcPr>
            <w:tcW w:w="1560" w:type="dxa"/>
            <w:tcBorders>
              <w:top w:val="single" w:sz="4" w:space="0" w:color="auto"/>
            </w:tcBorders>
            <w:vAlign w:val="center"/>
          </w:tcPr>
          <w:p w:rsidR="00A13061" w:rsidRPr="00D41731" w:rsidRDefault="00A13061" w:rsidP="00A0532B">
            <w:pPr>
              <w:widowControl w:val="0"/>
              <w:spacing w:after="0" w:line="240" w:lineRule="auto"/>
              <w:ind w:left="-57" w:right="-57"/>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Показатели, утвержденные сводной бюджетной росписью (с изменениями)</w:t>
            </w:r>
          </w:p>
        </w:tc>
        <w:tc>
          <w:tcPr>
            <w:tcW w:w="1134" w:type="dxa"/>
            <w:tcBorders>
              <w:top w:val="single" w:sz="4" w:space="0" w:color="auto"/>
            </w:tcBorders>
            <w:vAlign w:val="center"/>
          </w:tcPr>
          <w:p w:rsidR="00A13061" w:rsidRPr="00D41731" w:rsidRDefault="00A13061" w:rsidP="00A0532B">
            <w:pPr>
              <w:widowControl w:val="0"/>
              <w:spacing w:after="0" w:line="240" w:lineRule="auto"/>
              <w:ind w:left="-57" w:right="-57"/>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Исполнено</w:t>
            </w:r>
          </w:p>
        </w:tc>
        <w:tc>
          <w:tcPr>
            <w:tcW w:w="1134" w:type="dxa"/>
            <w:tcBorders>
              <w:top w:val="single" w:sz="4" w:space="0" w:color="auto"/>
            </w:tcBorders>
            <w:vAlign w:val="center"/>
          </w:tcPr>
          <w:p w:rsidR="00A13061" w:rsidRPr="00D41731" w:rsidRDefault="00A13061" w:rsidP="00A0532B">
            <w:pPr>
              <w:widowControl w:val="0"/>
              <w:spacing w:after="0" w:line="240" w:lineRule="auto"/>
              <w:ind w:left="-57" w:right="-57"/>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Процент исполнения</w:t>
            </w:r>
          </w:p>
          <w:p w:rsidR="00A13061" w:rsidRPr="00D41731" w:rsidRDefault="00A13061" w:rsidP="00A0532B">
            <w:pPr>
              <w:widowControl w:val="0"/>
              <w:spacing w:after="0" w:line="240" w:lineRule="auto"/>
              <w:ind w:left="-57" w:right="-57"/>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(гр. 4/ гр. 2)</w:t>
            </w:r>
          </w:p>
        </w:tc>
      </w:tr>
      <w:tr w:rsidR="00A13061" w:rsidRPr="00D41731" w:rsidTr="00A0532B">
        <w:trPr>
          <w:trHeight w:val="20"/>
          <w:tblHeader/>
        </w:trPr>
        <w:tc>
          <w:tcPr>
            <w:tcW w:w="3969" w:type="dxa"/>
          </w:tcPr>
          <w:p w:rsidR="00A13061" w:rsidRPr="00D41731" w:rsidRDefault="00A13061" w:rsidP="00A0532B">
            <w:pPr>
              <w:widowControl w:val="0"/>
              <w:spacing w:after="0" w:line="240" w:lineRule="auto"/>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1</w:t>
            </w:r>
          </w:p>
        </w:tc>
        <w:tc>
          <w:tcPr>
            <w:tcW w:w="1984" w:type="dxa"/>
            <w:vAlign w:val="bottom"/>
          </w:tcPr>
          <w:p w:rsidR="00A13061" w:rsidRPr="00D41731" w:rsidRDefault="00A13061" w:rsidP="00A0532B">
            <w:pPr>
              <w:widowControl w:val="0"/>
              <w:spacing w:after="0" w:line="240" w:lineRule="auto"/>
              <w:ind w:left="-57" w:right="-57"/>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2</w:t>
            </w:r>
          </w:p>
        </w:tc>
        <w:tc>
          <w:tcPr>
            <w:tcW w:w="1560" w:type="dxa"/>
            <w:vAlign w:val="bottom"/>
          </w:tcPr>
          <w:p w:rsidR="00A13061" w:rsidRPr="00D41731" w:rsidRDefault="00A13061" w:rsidP="00A0532B">
            <w:pPr>
              <w:widowControl w:val="0"/>
              <w:spacing w:after="0" w:line="240" w:lineRule="auto"/>
              <w:ind w:left="-57" w:right="-57"/>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3</w:t>
            </w:r>
          </w:p>
        </w:tc>
        <w:tc>
          <w:tcPr>
            <w:tcW w:w="1134" w:type="dxa"/>
            <w:vAlign w:val="bottom"/>
          </w:tcPr>
          <w:p w:rsidR="00A13061" w:rsidRPr="00D41731" w:rsidRDefault="00A13061" w:rsidP="00A0532B">
            <w:pPr>
              <w:widowControl w:val="0"/>
              <w:spacing w:after="0" w:line="240" w:lineRule="auto"/>
              <w:ind w:left="-57" w:right="-57"/>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4</w:t>
            </w:r>
          </w:p>
        </w:tc>
        <w:tc>
          <w:tcPr>
            <w:tcW w:w="1134" w:type="dxa"/>
            <w:vAlign w:val="bottom"/>
          </w:tcPr>
          <w:p w:rsidR="00A13061" w:rsidRPr="00D41731" w:rsidRDefault="00A13061" w:rsidP="00A0532B">
            <w:pPr>
              <w:widowControl w:val="0"/>
              <w:spacing w:after="0" w:line="240" w:lineRule="auto"/>
              <w:ind w:left="-57" w:right="-57"/>
              <w:jc w:val="center"/>
              <w:rPr>
                <w:rFonts w:ascii="Times New Roman" w:eastAsia="Times New Roman" w:hAnsi="Times New Roman" w:cs="Times New Roman"/>
                <w:b/>
                <w:bCs/>
                <w:sz w:val="16"/>
                <w:szCs w:val="16"/>
                <w:lang w:eastAsia="ru-RU"/>
              </w:rPr>
            </w:pPr>
            <w:r w:rsidRPr="00D41731">
              <w:rPr>
                <w:rFonts w:ascii="Times New Roman" w:eastAsia="Times New Roman" w:hAnsi="Times New Roman" w:cs="Times New Roman"/>
                <w:b/>
                <w:bCs/>
                <w:sz w:val="16"/>
                <w:szCs w:val="16"/>
                <w:lang w:eastAsia="ru-RU"/>
              </w:rPr>
              <w:t>5</w:t>
            </w:r>
          </w:p>
        </w:tc>
      </w:tr>
      <w:tr w:rsidR="00A13061" w:rsidRPr="00D41731" w:rsidTr="00A0532B">
        <w:trPr>
          <w:trHeight w:val="20"/>
        </w:trPr>
        <w:tc>
          <w:tcPr>
            <w:tcW w:w="3969" w:type="dxa"/>
            <w:vAlign w:val="center"/>
          </w:tcPr>
          <w:p w:rsidR="00A13061" w:rsidRPr="00D41731" w:rsidRDefault="00A13061" w:rsidP="00A0532B">
            <w:pPr>
              <w:widowControl w:val="0"/>
              <w:spacing w:after="0" w:line="240" w:lineRule="auto"/>
              <w:jc w:val="both"/>
              <w:rPr>
                <w:rFonts w:ascii="Times New Roman" w:eastAsia="Times New Roman" w:hAnsi="Times New Roman" w:cs="Times New Roman"/>
                <w:b/>
                <w:bCs/>
                <w:sz w:val="16"/>
                <w:szCs w:val="16"/>
                <w:lang w:eastAsia="ru-RU"/>
              </w:rPr>
            </w:pPr>
            <w:r w:rsidRPr="00D41731">
              <w:rPr>
                <w:rFonts w:ascii="Times New Roman" w:hAnsi="Times New Roman" w:cs="Times New Roman"/>
                <w:b/>
                <w:bCs/>
                <w:sz w:val="16"/>
                <w:szCs w:val="16"/>
              </w:rPr>
              <w:t>ИСТОЧНИКИ ВНЕШНЕГО ФИНАНСИРОВАНИЯ ДЕФИЦИТА ФЕДЕРАЛЬНОГО БЮДЖЕТА</w:t>
            </w:r>
          </w:p>
        </w:tc>
        <w:tc>
          <w:tcPr>
            <w:tcW w:w="1984" w:type="dxa"/>
            <w:vAlign w:val="center"/>
          </w:tcPr>
          <w:p w:rsidR="00A13061" w:rsidRPr="00D41731" w:rsidRDefault="00A901A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-94 355,7</w:t>
            </w:r>
            <w:r w:rsidR="00DC7EA0" w:rsidRPr="00D41731">
              <w:rPr>
                <w:rFonts w:ascii="Times New Roman" w:hAnsi="Times New Roman" w:cs="Times New Roman"/>
                <w:b/>
                <w:bCs/>
                <w:sz w:val="18"/>
                <w:szCs w:val="18"/>
              </w:rPr>
              <w:t>*</w:t>
            </w:r>
          </w:p>
        </w:tc>
        <w:tc>
          <w:tcPr>
            <w:tcW w:w="1560" w:type="dxa"/>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-602 298,7</w:t>
            </w:r>
          </w:p>
        </w:tc>
        <w:tc>
          <w:tcPr>
            <w:tcW w:w="1134" w:type="dxa"/>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-135 177,4</w:t>
            </w:r>
          </w:p>
        </w:tc>
        <w:tc>
          <w:tcPr>
            <w:tcW w:w="1134" w:type="dxa"/>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 </w:t>
            </w:r>
          </w:p>
        </w:tc>
      </w:tr>
      <w:tr w:rsidR="00A13061" w:rsidRPr="00D41731" w:rsidTr="00A0532B">
        <w:tblPrEx>
          <w:tblLook w:val="0000" w:firstRow="0" w:lastRow="0" w:firstColumn="0" w:lastColumn="0" w:noHBand="0" w:noVBand="0"/>
        </w:tblPrEx>
        <w:trPr>
          <w:trHeight w:val="20"/>
        </w:trPr>
        <w:tc>
          <w:tcPr>
            <w:tcW w:w="3969" w:type="dxa"/>
            <w:vAlign w:val="center"/>
          </w:tcPr>
          <w:p w:rsidR="00A13061" w:rsidRPr="00D41731" w:rsidRDefault="00A13061" w:rsidP="00A0532B">
            <w:pPr>
              <w:widowControl w:val="0"/>
              <w:spacing w:after="0" w:line="240" w:lineRule="auto"/>
              <w:jc w:val="both"/>
              <w:rPr>
                <w:rFonts w:ascii="Times New Roman" w:eastAsia="Times New Roman" w:hAnsi="Times New Roman" w:cs="Times New Roman"/>
                <w:b/>
                <w:bCs/>
                <w:sz w:val="16"/>
                <w:szCs w:val="16"/>
                <w:lang w:eastAsia="ru-RU"/>
              </w:rPr>
            </w:pPr>
            <w:r w:rsidRPr="00D41731">
              <w:rPr>
                <w:rFonts w:ascii="Times New Roman" w:hAnsi="Times New Roman" w:cs="Times New Roman"/>
                <w:b/>
                <w:bCs/>
                <w:sz w:val="16"/>
                <w:szCs w:val="16"/>
              </w:rPr>
              <w:t>Государственные ценные бумаги, номинальная стоимость которых указана в иностранной валюте</w:t>
            </w:r>
          </w:p>
        </w:tc>
        <w:tc>
          <w:tcPr>
            <w:tcW w:w="198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16 729,0*</w:t>
            </w:r>
          </w:p>
        </w:tc>
        <w:tc>
          <w:tcPr>
            <w:tcW w:w="1560"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sz w:val="18"/>
                <w:szCs w:val="18"/>
              </w:rPr>
              <w:t>-354 909,6</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-50 214,9</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sz w:val="18"/>
                <w:szCs w:val="18"/>
              </w:rPr>
              <w:t>-300,2</w:t>
            </w:r>
          </w:p>
        </w:tc>
      </w:tr>
      <w:tr w:rsidR="00A13061" w:rsidRPr="00D41731" w:rsidTr="00A0532B">
        <w:tblPrEx>
          <w:tblLook w:val="0000" w:firstRow="0" w:lastRow="0" w:firstColumn="0" w:lastColumn="0" w:noHBand="0" w:noVBand="0"/>
        </w:tblPrEx>
        <w:trPr>
          <w:trHeight w:val="20"/>
        </w:trPr>
        <w:tc>
          <w:tcPr>
            <w:tcW w:w="3969" w:type="dxa"/>
            <w:vAlign w:val="center"/>
          </w:tcPr>
          <w:p w:rsidR="00A13061" w:rsidRPr="00D41731" w:rsidRDefault="00A13061" w:rsidP="00A0532B">
            <w:pPr>
              <w:widowControl w:val="0"/>
              <w:spacing w:after="0" w:line="240" w:lineRule="auto"/>
              <w:jc w:val="both"/>
              <w:rPr>
                <w:rFonts w:ascii="Times New Roman" w:eastAsia="Times New Roman" w:hAnsi="Times New Roman" w:cs="Times New Roman"/>
                <w:sz w:val="16"/>
                <w:szCs w:val="16"/>
                <w:lang w:eastAsia="ru-RU"/>
              </w:rPr>
            </w:pPr>
            <w:r w:rsidRPr="00D41731">
              <w:rPr>
                <w:rFonts w:ascii="Times New Roman" w:hAnsi="Times New Roman" w:cs="Times New Roman"/>
                <w:sz w:val="16"/>
                <w:szCs w:val="16"/>
              </w:rPr>
              <w:t>Размещение государственных ценных бумаг Российской Федерации, номинальная  стоимость  которых указана в иностранной валюте</w:t>
            </w:r>
          </w:p>
        </w:tc>
        <w:tc>
          <w:tcPr>
            <w:tcW w:w="198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371 638,6</w:t>
            </w:r>
          </w:p>
        </w:tc>
        <w:tc>
          <w:tcPr>
            <w:tcW w:w="1560"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0,0</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303 751,8</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81,7</w:t>
            </w:r>
          </w:p>
        </w:tc>
      </w:tr>
      <w:tr w:rsidR="00A13061" w:rsidRPr="00D41731" w:rsidTr="00A0532B">
        <w:tblPrEx>
          <w:tblLook w:val="0000" w:firstRow="0" w:lastRow="0" w:firstColumn="0" w:lastColumn="0" w:noHBand="0" w:noVBand="0"/>
        </w:tblPrEx>
        <w:trPr>
          <w:trHeight w:val="20"/>
        </w:trPr>
        <w:tc>
          <w:tcPr>
            <w:tcW w:w="3969" w:type="dxa"/>
            <w:vAlign w:val="center"/>
          </w:tcPr>
          <w:p w:rsidR="00A13061" w:rsidRPr="00D41731" w:rsidRDefault="00A13061" w:rsidP="00A0532B">
            <w:pPr>
              <w:widowControl w:val="0"/>
              <w:spacing w:after="0" w:line="240" w:lineRule="auto"/>
              <w:jc w:val="both"/>
              <w:rPr>
                <w:rFonts w:ascii="Times New Roman" w:eastAsia="Times New Roman" w:hAnsi="Times New Roman" w:cs="Times New Roman"/>
                <w:sz w:val="16"/>
                <w:szCs w:val="16"/>
                <w:lang w:eastAsia="ru-RU"/>
              </w:rPr>
            </w:pPr>
            <w:r w:rsidRPr="00D41731">
              <w:rPr>
                <w:rFonts w:ascii="Times New Roman" w:hAnsi="Times New Roman" w:cs="Times New Roman"/>
                <w:sz w:val="16"/>
                <w:szCs w:val="16"/>
              </w:rPr>
              <w:t>Погашение государственных ценных бумаг Российской Федерации, номинальная  стоимость  которых указана в иностранной валюте</w:t>
            </w:r>
          </w:p>
        </w:tc>
        <w:tc>
          <w:tcPr>
            <w:tcW w:w="1984" w:type="dxa"/>
            <w:noWrap/>
            <w:vAlign w:val="center"/>
          </w:tcPr>
          <w:p w:rsidR="00A13061" w:rsidRPr="00D41731" w:rsidRDefault="00A901A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-354 909,6</w:t>
            </w:r>
            <w:r w:rsidR="00DC7EA0" w:rsidRPr="00D41731">
              <w:rPr>
                <w:rFonts w:ascii="Times New Roman" w:hAnsi="Times New Roman" w:cs="Times New Roman"/>
                <w:sz w:val="18"/>
                <w:szCs w:val="18"/>
              </w:rPr>
              <w:t>*</w:t>
            </w:r>
          </w:p>
        </w:tc>
        <w:tc>
          <w:tcPr>
            <w:tcW w:w="1560"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-354 909,6</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-353 966,7</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99,7</w:t>
            </w:r>
          </w:p>
        </w:tc>
      </w:tr>
      <w:tr w:rsidR="00A13061" w:rsidRPr="00D41731" w:rsidTr="00A0532B">
        <w:tblPrEx>
          <w:tblLook w:val="0000" w:firstRow="0" w:lastRow="0" w:firstColumn="0" w:lastColumn="0" w:noHBand="0" w:noVBand="0"/>
        </w:tblPrEx>
        <w:trPr>
          <w:trHeight w:val="20"/>
        </w:trPr>
        <w:tc>
          <w:tcPr>
            <w:tcW w:w="3969" w:type="dxa"/>
            <w:vAlign w:val="center"/>
          </w:tcPr>
          <w:p w:rsidR="00A13061" w:rsidRPr="00D41731" w:rsidRDefault="00A13061" w:rsidP="00A0532B">
            <w:pPr>
              <w:widowControl w:val="0"/>
              <w:spacing w:after="0" w:line="240" w:lineRule="auto"/>
              <w:jc w:val="both"/>
              <w:rPr>
                <w:rFonts w:ascii="Times New Roman" w:eastAsia="Times New Roman" w:hAnsi="Times New Roman" w:cs="Times New Roman"/>
                <w:b/>
                <w:sz w:val="16"/>
                <w:szCs w:val="16"/>
                <w:lang w:eastAsia="ru-RU"/>
              </w:rPr>
            </w:pPr>
            <w:r w:rsidRPr="00D41731">
              <w:rPr>
                <w:rFonts w:ascii="Times New Roman" w:hAnsi="Times New Roman" w:cs="Times New Roman"/>
                <w:b/>
                <w:bCs/>
                <w:sz w:val="16"/>
                <w:szCs w:val="16"/>
              </w:rPr>
              <w:t>Кредиты иностранных государств, включая целевые иностранные кредиты (заимствования), МФО, иных субъектов международного права и иностранных юридических лиц в иностранной валюте (далее – кредиты в иностранной валюте)</w:t>
            </w:r>
          </w:p>
        </w:tc>
        <w:tc>
          <w:tcPr>
            <w:tcW w:w="198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-7 532,7</w:t>
            </w:r>
          </w:p>
        </w:tc>
        <w:tc>
          <w:tcPr>
            <w:tcW w:w="1560"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-17 496,6</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-15 209,6</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sz w:val="18"/>
                <w:szCs w:val="18"/>
              </w:rPr>
              <w:t>201,9</w:t>
            </w:r>
          </w:p>
        </w:tc>
      </w:tr>
      <w:tr w:rsidR="00A13061" w:rsidRPr="00D41731" w:rsidTr="00A0532B">
        <w:tblPrEx>
          <w:tblLook w:val="0000" w:firstRow="0" w:lastRow="0" w:firstColumn="0" w:lastColumn="0" w:noHBand="0" w:noVBand="0"/>
        </w:tblPrEx>
        <w:trPr>
          <w:trHeight w:val="20"/>
        </w:trPr>
        <w:tc>
          <w:tcPr>
            <w:tcW w:w="3969" w:type="dxa"/>
            <w:vAlign w:val="center"/>
          </w:tcPr>
          <w:p w:rsidR="00A13061" w:rsidRPr="00D41731" w:rsidRDefault="00A13061" w:rsidP="00A0532B">
            <w:pPr>
              <w:widowControl w:val="0"/>
              <w:spacing w:after="0" w:line="240" w:lineRule="auto"/>
              <w:jc w:val="both"/>
              <w:rPr>
                <w:rFonts w:ascii="Times New Roman" w:eastAsia="Times New Roman" w:hAnsi="Times New Roman" w:cs="Times New Roman"/>
                <w:sz w:val="16"/>
                <w:szCs w:val="16"/>
                <w:lang w:eastAsia="ru-RU"/>
              </w:rPr>
            </w:pPr>
            <w:r w:rsidRPr="00D41731">
              <w:rPr>
                <w:rFonts w:ascii="Times New Roman" w:hAnsi="Times New Roman" w:cs="Times New Roman"/>
                <w:sz w:val="16"/>
                <w:szCs w:val="16"/>
              </w:rPr>
              <w:t>Получение Российской Федерацией кредитов в иностранной валюте</w:t>
            </w:r>
          </w:p>
        </w:tc>
        <w:tc>
          <w:tcPr>
            <w:tcW w:w="198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8 663,9</w:t>
            </w:r>
          </w:p>
        </w:tc>
        <w:tc>
          <w:tcPr>
            <w:tcW w:w="1560"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х</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1 518,1</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17,5</w:t>
            </w:r>
          </w:p>
        </w:tc>
      </w:tr>
      <w:tr w:rsidR="00A13061" w:rsidRPr="00D41731" w:rsidTr="00A0532B">
        <w:tblPrEx>
          <w:tblLook w:val="0000" w:firstRow="0" w:lastRow="0" w:firstColumn="0" w:lastColumn="0" w:noHBand="0" w:noVBand="0"/>
        </w:tblPrEx>
        <w:trPr>
          <w:trHeight w:val="20"/>
        </w:trPr>
        <w:tc>
          <w:tcPr>
            <w:tcW w:w="3969" w:type="dxa"/>
            <w:vAlign w:val="center"/>
          </w:tcPr>
          <w:p w:rsidR="00A13061" w:rsidRPr="00D41731" w:rsidRDefault="00A13061" w:rsidP="00A0532B">
            <w:pPr>
              <w:widowControl w:val="0"/>
              <w:spacing w:after="0" w:line="240" w:lineRule="auto"/>
              <w:jc w:val="both"/>
              <w:rPr>
                <w:rFonts w:ascii="Times New Roman" w:eastAsia="Times New Roman" w:hAnsi="Times New Roman" w:cs="Times New Roman"/>
                <w:sz w:val="16"/>
                <w:szCs w:val="16"/>
                <w:lang w:eastAsia="ru-RU"/>
              </w:rPr>
            </w:pPr>
            <w:r w:rsidRPr="00D41731">
              <w:rPr>
                <w:rFonts w:ascii="Times New Roman" w:hAnsi="Times New Roman" w:cs="Times New Roman"/>
                <w:sz w:val="16"/>
                <w:szCs w:val="16"/>
              </w:rPr>
              <w:t>Погашение Российской Федерацией кредитов в иностранной валюте</w:t>
            </w:r>
          </w:p>
        </w:tc>
        <w:tc>
          <w:tcPr>
            <w:tcW w:w="1984" w:type="dxa"/>
            <w:noWrap/>
            <w:vAlign w:val="center"/>
          </w:tcPr>
          <w:p w:rsidR="00A13061" w:rsidRPr="00D41731" w:rsidRDefault="00A901A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-16 196,6</w:t>
            </w:r>
            <w:r w:rsidR="00DC7EA0" w:rsidRPr="00D41731">
              <w:rPr>
                <w:rFonts w:ascii="Times New Roman" w:hAnsi="Times New Roman" w:cs="Times New Roman"/>
                <w:sz w:val="18"/>
                <w:szCs w:val="18"/>
              </w:rPr>
              <w:t>*</w:t>
            </w:r>
          </w:p>
        </w:tc>
        <w:tc>
          <w:tcPr>
            <w:tcW w:w="1560"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-17 496,6</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-16 727,7</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103,3</w:t>
            </w:r>
          </w:p>
        </w:tc>
      </w:tr>
      <w:tr w:rsidR="00A13061" w:rsidRPr="00D41731" w:rsidTr="00A0532B">
        <w:tblPrEx>
          <w:tblLook w:val="0000" w:firstRow="0" w:lastRow="0" w:firstColumn="0" w:lastColumn="0" w:noHBand="0" w:noVBand="0"/>
        </w:tblPrEx>
        <w:trPr>
          <w:trHeight w:val="20"/>
        </w:trPr>
        <w:tc>
          <w:tcPr>
            <w:tcW w:w="3969" w:type="dxa"/>
            <w:vAlign w:val="center"/>
          </w:tcPr>
          <w:p w:rsidR="00A13061" w:rsidRPr="00D41731" w:rsidRDefault="00A13061" w:rsidP="00A0532B">
            <w:pPr>
              <w:widowControl w:val="0"/>
              <w:spacing w:after="0" w:line="240" w:lineRule="auto"/>
              <w:jc w:val="both"/>
              <w:rPr>
                <w:rFonts w:ascii="Times New Roman" w:eastAsia="Times New Roman" w:hAnsi="Times New Roman" w:cs="Times New Roman"/>
                <w:b/>
                <w:sz w:val="16"/>
                <w:szCs w:val="16"/>
                <w:lang w:eastAsia="ru-RU"/>
              </w:rPr>
            </w:pPr>
            <w:r w:rsidRPr="00D41731">
              <w:rPr>
                <w:rFonts w:ascii="Times New Roman" w:hAnsi="Times New Roman" w:cs="Times New Roman"/>
                <w:b/>
                <w:bCs/>
                <w:sz w:val="16"/>
                <w:szCs w:val="16"/>
              </w:rPr>
              <w:t xml:space="preserve">Исполнение государственных гарантий Российской Федерации в иностранной валюте </w:t>
            </w:r>
          </w:p>
        </w:tc>
        <w:tc>
          <w:tcPr>
            <w:tcW w:w="198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-3 497,8</w:t>
            </w:r>
          </w:p>
        </w:tc>
        <w:tc>
          <w:tcPr>
            <w:tcW w:w="1560"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-2 197,8</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0,0</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sz w:val="18"/>
                <w:szCs w:val="18"/>
              </w:rPr>
              <w:t>0,0</w:t>
            </w:r>
          </w:p>
        </w:tc>
      </w:tr>
      <w:tr w:rsidR="00A13061" w:rsidRPr="00D41731" w:rsidTr="00A0532B">
        <w:tblPrEx>
          <w:tblLook w:val="0000" w:firstRow="0" w:lastRow="0" w:firstColumn="0" w:lastColumn="0" w:noHBand="0" w:noVBand="0"/>
        </w:tblPrEx>
        <w:trPr>
          <w:trHeight w:val="20"/>
        </w:trPr>
        <w:tc>
          <w:tcPr>
            <w:tcW w:w="3969" w:type="dxa"/>
            <w:vAlign w:val="center"/>
          </w:tcPr>
          <w:p w:rsidR="00A13061" w:rsidRPr="00D41731" w:rsidRDefault="00A13061" w:rsidP="00A0532B">
            <w:pPr>
              <w:widowControl w:val="0"/>
              <w:spacing w:after="0" w:line="240" w:lineRule="auto"/>
              <w:jc w:val="both"/>
              <w:rPr>
                <w:rFonts w:ascii="Times New Roman" w:eastAsia="Times New Roman" w:hAnsi="Times New Roman" w:cs="Times New Roman"/>
                <w:b/>
                <w:bCs/>
                <w:sz w:val="16"/>
                <w:szCs w:val="16"/>
                <w:lang w:eastAsia="ru-RU"/>
              </w:rPr>
            </w:pPr>
            <w:r w:rsidRPr="00D41731">
              <w:rPr>
                <w:rFonts w:ascii="Times New Roman" w:hAnsi="Times New Roman" w:cs="Times New Roman"/>
                <w:b/>
                <w:bCs/>
                <w:sz w:val="16"/>
                <w:szCs w:val="16"/>
              </w:rPr>
              <w:t>Государственные финансовые и государственные экспортные кредиты</w:t>
            </w:r>
          </w:p>
        </w:tc>
        <w:tc>
          <w:tcPr>
            <w:tcW w:w="198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-100 054,2</w:t>
            </w:r>
          </w:p>
        </w:tc>
        <w:tc>
          <w:tcPr>
            <w:tcW w:w="1560"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-227 694,7</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b/>
                <w:bCs/>
                <w:sz w:val="18"/>
                <w:szCs w:val="18"/>
              </w:rPr>
              <w:t>-69 752,9</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
                <w:bCs/>
                <w:sz w:val="18"/>
                <w:szCs w:val="18"/>
              </w:rPr>
            </w:pPr>
            <w:r w:rsidRPr="00D41731">
              <w:rPr>
                <w:rFonts w:ascii="Times New Roman" w:hAnsi="Times New Roman" w:cs="Times New Roman"/>
                <w:sz w:val="18"/>
                <w:szCs w:val="18"/>
              </w:rPr>
              <w:t>69,7</w:t>
            </w:r>
          </w:p>
        </w:tc>
      </w:tr>
      <w:tr w:rsidR="00A13061" w:rsidRPr="00D41731" w:rsidTr="00A0532B">
        <w:tblPrEx>
          <w:tblLook w:val="0000" w:firstRow="0" w:lastRow="0" w:firstColumn="0" w:lastColumn="0" w:noHBand="0" w:noVBand="0"/>
        </w:tblPrEx>
        <w:trPr>
          <w:trHeight w:val="20"/>
        </w:trPr>
        <w:tc>
          <w:tcPr>
            <w:tcW w:w="3969" w:type="dxa"/>
            <w:vAlign w:val="center"/>
          </w:tcPr>
          <w:p w:rsidR="00A13061" w:rsidRPr="00D41731" w:rsidRDefault="00A13061" w:rsidP="00A0532B">
            <w:pPr>
              <w:widowControl w:val="0"/>
              <w:spacing w:after="0" w:line="240" w:lineRule="auto"/>
              <w:jc w:val="both"/>
              <w:rPr>
                <w:rFonts w:ascii="Times New Roman" w:eastAsia="Times New Roman" w:hAnsi="Times New Roman" w:cs="Times New Roman"/>
                <w:sz w:val="16"/>
                <w:szCs w:val="16"/>
                <w:lang w:eastAsia="ru-RU"/>
              </w:rPr>
            </w:pPr>
            <w:r w:rsidRPr="00D41731">
              <w:rPr>
                <w:rFonts w:ascii="Times New Roman" w:hAnsi="Times New Roman" w:cs="Times New Roman"/>
                <w:sz w:val="16"/>
                <w:szCs w:val="16"/>
              </w:rPr>
              <w:t>Предоставление государственных финансовых и государственных экспортных кредитов иностранным государствам и (или) иностранным юридическим лицам из федерального бюджета</w:t>
            </w:r>
          </w:p>
        </w:tc>
        <w:tc>
          <w:tcPr>
            <w:tcW w:w="198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-227 694,7</w:t>
            </w:r>
          </w:p>
        </w:tc>
        <w:tc>
          <w:tcPr>
            <w:tcW w:w="1560"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-227 694,7</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-202 767,8</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89,1</w:t>
            </w:r>
          </w:p>
        </w:tc>
      </w:tr>
      <w:tr w:rsidR="00A13061" w:rsidRPr="00D41731" w:rsidTr="00A0532B">
        <w:tblPrEx>
          <w:tblLook w:val="0000" w:firstRow="0" w:lastRow="0" w:firstColumn="0" w:lastColumn="0" w:noHBand="0" w:noVBand="0"/>
        </w:tblPrEx>
        <w:trPr>
          <w:trHeight w:val="20"/>
        </w:trPr>
        <w:tc>
          <w:tcPr>
            <w:tcW w:w="3969" w:type="dxa"/>
            <w:vAlign w:val="center"/>
          </w:tcPr>
          <w:p w:rsidR="00A13061" w:rsidRPr="00D41731" w:rsidRDefault="00A13061" w:rsidP="00A0532B">
            <w:pPr>
              <w:widowControl w:val="0"/>
              <w:spacing w:after="0" w:line="240" w:lineRule="auto"/>
              <w:jc w:val="both"/>
              <w:rPr>
                <w:rFonts w:ascii="Times New Roman" w:eastAsia="Times New Roman" w:hAnsi="Times New Roman" w:cs="Times New Roman"/>
                <w:sz w:val="16"/>
                <w:szCs w:val="16"/>
                <w:lang w:eastAsia="ru-RU"/>
              </w:rPr>
            </w:pPr>
            <w:r w:rsidRPr="00D41731">
              <w:rPr>
                <w:rFonts w:ascii="Times New Roman" w:hAnsi="Times New Roman" w:cs="Times New Roman"/>
                <w:sz w:val="16"/>
                <w:szCs w:val="16"/>
              </w:rPr>
              <w:t>Возврат государственных финансовых и государственных экспортных кредитов, предоставленных иностранным государствам и (или) иностранным юридическим лицам, в федеральный бюджет</w:t>
            </w:r>
          </w:p>
        </w:tc>
        <w:tc>
          <w:tcPr>
            <w:tcW w:w="198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127 640,5</w:t>
            </w:r>
          </w:p>
        </w:tc>
        <w:tc>
          <w:tcPr>
            <w:tcW w:w="1560"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х</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133 014,9</w:t>
            </w:r>
          </w:p>
        </w:tc>
        <w:tc>
          <w:tcPr>
            <w:tcW w:w="1134" w:type="dxa"/>
            <w:noWrap/>
            <w:vAlign w:val="center"/>
          </w:tcPr>
          <w:p w:rsidR="00A13061" w:rsidRPr="00D41731" w:rsidRDefault="00A13061" w:rsidP="00A0532B">
            <w:pPr>
              <w:widowControl w:val="0"/>
              <w:spacing w:after="0" w:line="240" w:lineRule="auto"/>
              <w:ind w:left="-57" w:right="-57"/>
              <w:jc w:val="center"/>
              <w:rPr>
                <w:rFonts w:ascii="Times New Roman" w:eastAsia="Calibri" w:hAnsi="Times New Roman" w:cs="Times New Roman"/>
                <w:bCs/>
                <w:sz w:val="18"/>
                <w:szCs w:val="18"/>
              </w:rPr>
            </w:pPr>
            <w:r w:rsidRPr="00D41731">
              <w:rPr>
                <w:rFonts w:ascii="Times New Roman" w:hAnsi="Times New Roman" w:cs="Times New Roman"/>
                <w:sz w:val="18"/>
                <w:szCs w:val="18"/>
              </w:rPr>
              <w:t>104,2</w:t>
            </w:r>
          </w:p>
        </w:tc>
      </w:tr>
    </w:tbl>
    <w:p w:rsidR="00526D6A" w:rsidRDefault="00526D6A" w:rsidP="00526D6A">
      <w:pPr>
        <w:widowControl w:val="0"/>
        <w:spacing w:line="240" w:lineRule="auto"/>
        <w:rPr>
          <w:rFonts w:ascii="Times New Roman" w:hAnsi="Times New Roman" w:cs="Times New Roman"/>
          <w:color w:val="000000" w:themeColor="text1"/>
          <w:sz w:val="16"/>
          <w:szCs w:val="16"/>
        </w:rPr>
      </w:pPr>
      <w:r w:rsidRPr="00D41731">
        <w:rPr>
          <w:rFonts w:ascii="Times New Roman" w:hAnsi="Times New Roman" w:cs="Times New Roman"/>
          <w:color w:val="000000" w:themeColor="text1"/>
          <w:sz w:val="16"/>
          <w:szCs w:val="16"/>
        </w:rPr>
        <w:t>* Утверждено Федеральным законом № 362-ФЗ (с изменениями).</w:t>
      </w:r>
    </w:p>
    <w:p w:rsidR="009D10C6" w:rsidRDefault="009D10C6">
      <w:pP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br w:type="page"/>
      </w:r>
    </w:p>
    <w:p w:rsidR="00691A30" w:rsidRDefault="00691A30" w:rsidP="00691A30">
      <w:pPr>
        <w:spacing w:after="12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Таблица № 9</w:t>
      </w:r>
    </w:p>
    <w:p w:rsidR="00691A30" w:rsidRPr="00691A30" w:rsidRDefault="00691A30" w:rsidP="00691A30">
      <w:pPr>
        <w:widowControl w:val="0"/>
        <w:spacing w:after="0" w:line="240" w:lineRule="auto"/>
        <w:jc w:val="both"/>
        <w:rPr>
          <w:rFonts w:ascii="Times New Roman" w:eastAsia="Times New Roman" w:hAnsi="Times New Roman" w:cs="Times New Roman"/>
          <w:color w:val="000000" w:themeColor="text1"/>
          <w:sz w:val="10"/>
          <w:szCs w:val="10"/>
          <w:lang w:eastAsia="ru-RU"/>
        </w:rPr>
      </w:pPr>
    </w:p>
    <w:p w:rsidR="009831AF" w:rsidRPr="00691A30" w:rsidRDefault="009831AF" w:rsidP="00691A30">
      <w:pPr>
        <w:widowControl w:val="0"/>
        <w:spacing w:after="0" w:line="240" w:lineRule="auto"/>
        <w:jc w:val="center"/>
        <w:rPr>
          <w:rFonts w:ascii="Times New Roman" w:eastAsia="Times New Roman" w:hAnsi="Times New Roman" w:cs="Times New Roman"/>
          <w:color w:val="000000" w:themeColor="text1"/>
          <w:sz w:val="24"/>
          <w:szCs w:val="24"/>
          <w:lang w:eastAsia="ru-RU"/>
        </w:rPr>
      </w:pPr>
      <w:r w:rsidRPr="00691A30">
        <w:rPr>
          <w:rFonts w:ascii="Times New Roman" w:eastAsia="Times New Roman" w:hAnsi="Times New Roman" w:cs="Times New Roman"/>
          <w:color w:val="000000" w:themeColor="text1"/>
          <w:sz w:val="24"/>
          <w:szCs w:val="24"/>
          <w:lang w:eastAsia="ru-RU"/>
        </w:rPr>
        <w:t xml:space="preserve">Анализ </w:t>
      </w:r>
      <w:proofErr w:type="gramStart"/>
      <w:r w:rsidRPr="00691A30">
        <w:rPr>
          <w:rFonts w:ascii="Times New Roman" w:eastAsia="Times New Roman" w:hAnsi="Times New Roman" w:cs="Times New Roman"/>
          <w:color w:val="000000" w:themeColor="text1"/>
          <w:sz w:val="24"/>
          <w:szCs w:val="24"/>
          <w:lang w:eastAsia="ru-RU"/>
        </w:rPr>
        <w:t>исполнения показателей</w:t>
      </w:r>
      <w:r w:rsidR="008636CC" w:rsidRPr="00691A30">
        <w:rPr>
          <w:rFonts w:ascii="Times New Roman" w:eastAsia="Times New Roman" w:hAnsi="Times New Roman" w:cs="Times New Roman"/>
          <w:color w:val="000000" w:themeColor="text1"/>
          <w:sz w:val="24"/>
          <w:szCs w:val="24"/>
          <w:lang w:eastAsia="ru-RU"/>
        </w:rPr>
        <w:t xml:space="preserve"> </w:t>
      </w:r>
      <w:r w:rsidRPr="00691A30">
        <w:rPr>
          <w:rFonts w:ascii="Times New Roman" w:eastAsia="Times New Roman" w:hAnsi="Times New Roman" w:cs="Times New Roman"/>
          <w:color w:val="000000" w:themeColor="text1"/>
          <w:sz w:val="24"/>
          <w:szCs w:val="24"/>
          <w:lang w:eastAsia="ru-RU"/>
        </w:rPr>
        <w:t>Программы государственных внешних заимствований Российской Федерации</w:t>
      </w:r>
      <w:proofErr w:type="gramEnd"/>
      <w:r w:rsidR="008636CC" w:rsidRPr="00691A30">
        <w:rPr>
          <w:rFonts w:ascii="Times New Roman" w:eastAsia="Times New Roman" w:hAnsi="Times New Roman" w:cs="Times New Roman"/>
          <w:color w:val="000000" w:themeColor="text1"/>
          <w:sz w:val="24"/>
          <w:szCs w:val="24"/>
          <w:lang w:eastAsia="ru-RU"/>
        </w:rPr>
        <w:t xml:space="preserve"> </w:t>
      </w:r>
      <w:r w:rsidRPr="00691A30">
        <w:rPr>
          <w:rFonts w:ascii="Times New Roman" w:eastAsia="Times New Roman" w:hAnsi="Times New Roman" w:cs="Times New Roman"/>
          <w:color w:val="000000" w:themeColor="text1"/>
          <w:sz w:val="24"/>
          <w:szCs w:val="24"/>
          <w:lang w:eastAsia="ru-RU"/>
        </w:rPr>
        <w:t xml:space="preserve">на 2018 год и на плановый период 2019 и 2020 годов </w:t>
      </w:r>
      <w:r w:rsidR="00691A30">
        <w:rPr>
          <w:rFonts w:ascii="Times New Roman" w:eastAsia="Times New Roman" w:hAnsi="Times New Roman" w:cs="Times New Roman"/>
          <w:color w:val="000000" w:themeColor="text1"/>
          <w:sz w:val="24"/>
          <w:szCs w:val="24"/>
          <w:lang w:eastAsia="ru-RU"/>
        </w:rPr>
        <w:br/>
      </w:r>
      <w:r w:rsidRPr="00691A30">
        <w:rPr>
          <w:rFonts w:ascii="Times New Roman" w:eastAsia="Times New Roman" w:hAnsi="Times New Roman" w:cs="Times New Roman"/>
          <w:color w:val="000000" w:themeColor="text1"/>
          <w:sz w:val="24"/>
          <w:szCs w:val="24"/>
          <w:lang w:eastAsia="ru-RU"/>
        </w:rPr>
        <w:t>в</w:t>
      </w:r>
      <w:r w:rsidR="00F61194" w:rsidRPr="00691A30">
        <w:rPr>
          <w:rFonts w:ascii="Times New Roman" w:eastAsia="Times New Roman" w:hAnsi="Times New Roman" w:cs="Times New Roman"/>
          <w:color w:val="000000" w:themeColor="text1"/>
          <w:sz w:val="24"/>
          <w:szCs w:val="24"/>
          <w:lang w:eastAsia="ru-RU"/>
        </w:rPr>
        <w:t> </w:t>
      </w:r>
      <w:r w:rsidRPr="00691A30">
        <w:rPr>
          <w:rFonts w:ascii="Times New Roman" w:eastAsia="Times New Roman" w:hAnsi="Times New Roman" w:cs="Times New Roman"/>
          <w:color w:val="000000" w:themeColor="text1"/>
          <w:sz w:val="24"/>
          <w:szCs w:val="24"/>
          <w:lang w:eastAsia="ru-RU"/>
        </w:rPr>
        <w:t>части 2018 года</w:t>
      </w:r>
      <w:r w:rsidR="008636CC" w:rsidRPr="00691A30">
        <w:rPr>
          <w:rFonts w:ascii="Times New Roman" w:eastAsia="Times New Roman" w:hAnsi="Times New Roman" w:cs="Times New Roman"/>
          <w:color w:val="000000" w:themeColor="text1"/>
          <w:sz w:val="24"/>
          <w:szCs w:val="24"/>
          <w:lang w:eastAsia="ru-RU"/>
        </w:rPr>
        <w:t>:</w:t>
      </w:r>
    </w:p>
    <w:p w:rsidR="009831AF" w:rsidRPr="00D41731" w:rsidRDefault="009831AF" w:rsidP="00A13061">
      <w:pPr>
        <w:widowControl w:val="0"/>
        <w:tabs>
          <w:tab w:val="left" w:pos="180"/>
        </w:tabs>
        <w:overflowPunct w:val="0"/>
        <w:autoSpaceDE w:val="0"/>
        <w:autoSpaceDN w:val="0"/>
        <w:adjustRightInd w:val="0"/>
        <w:spacing w:after="0" w:line="240" w:lineRule="auto"/>
        <w:ind w:right="-2" w:firstLine="709"/>
        <w:jc w:val="both"/>
        <w:textAlignment w:val="baseline"/>
        <w:rPr>
          <w:rFonts w:ascii="Times New Roman" w:hAnsi="Times New Roman" w:cs="Times New Roman"/>
          <w:sz w:val="24"/>
          <w:szCs w:val="24"/>
          <w:vertAlign w:val="superscript"/>
        </w:rPr>
      </w:pPr>
    </w:p>
    <w:tbl>
      <w:tblPr>
        <w:tblW w:w="5240" w:type="pct"/>
        <w:tblInd w:w="-459" w:type="dxa"/>
        <w:tblLayout w:type="fixed"/>
        <w:tblLook w:val="04A0" w:firstRow="1" w:lastRow="0" w:firstColumn="1" w:lastColumn="0" w:noHBand="0" w:noVBand="1"/>
      </w:tblPr>
      <w:tblGrid>
        <w:gridCol w:w="3789"/>
        <w:gridCol w:w="1267"/>
        <w:gridCol w:w="1269"/>
        <w:gridCol w:w="1082"/>
        <w:gridCol w:w="1024"/>
        <w:gridCol w:w="1020"/>
        <w:gridCol w:w="876"/>
      </w:tblGrid>
      <w:tr w:rsidR="009831AF" w:rsidRPr="00D41731" w:rsidTr="00416BCA">
        <w:trPr>
          <w:trHeight w:val="1110"/>
          <w:tblHeader/>
        </w:trPr>
        <w:tc>
          <w:tcPr>
            <w:tcW w:w="1834" w:type="pct"/>
            <w:vMerge w:val="restart"/>
            <w:tcBorders>
              <w:top w:val="single" w:sz="4" w:space="0" w:color="auto"/>
              <w:left w:val="single" w:sz="4" w:space="0" w:color="auto"/>
              <w:right w:val="single" w:sz="4" w:space="0" w:color="auto"/>
            </w:tcBorders>
            <w:shd w:val="clear" w:color="auto" w:fill="auto"/>
            <w:noWrap/>
            <w:vAlign w:val="center"/>
            <w:hideMark/>
          </w:tcPr>
          <w:p w:rsidR="009831AF" w:rsidRPr="00D41731" w:rsidRDefault="009831AF"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Наименование показателя</w:t>
            </w:r>
          </w:p>
        </w:tc>
        <w:tc>
          <w:tcPr>
            <w:tcW w:w="1227" w:type="pct"/>
            <w:gridSpan w:val="2"/>
            <w:vMerge w:val="restart"/>
            <w:tcBorders>
              <w:top w:val="single" w:sz="4" w:space="0" w:color="auto"/>
              <w:left w:val="nil"/>
              <w:right w:val="single" w:sz="4" w:space="0" w:color="auto"/>
            </w:tcBorders>
            <w:shd w:val="clear" w:color="auto" w:fill="auto"/>
            <w:vAlign w:val="center"/>
            <w:hideMark/>
          </w:tcPr>
          <w:p w:rsidR="009831AF" w:rsidRPr="00D41731" w:rsidRDefault="009831AF" w:rsidP="00A0532B">
            <w:pPr>
              <w:spacing w:after="0" w:line="240" w:lineRule="auto"/>
              <w:jc w:val="center"/>
              <w:rPr>
                <w:rFonts w:ascii="Times New Roman" w:hAnsi="Times New Roman" w:cs="Times New Roman"/>
                <w:b/>
                <w:bCs/>
                <w:sz w:val="18"/>
                <w:szCs w:val="18"/>
              </w:rPr>
            </w:pPr>
            <w:bookmarkStart w:id="1" w:name="_GoBack"/>
            <w:r w:rsidRPr="00D41731">
              <w:rPr>
                <w:rFonts w:ascii="Times New Roman" w:hAnsi="Times New Roman" w:cs="Times New Roman"/>
                <w:b/>
                <w:bCs/>
                <w:sz w:val="18"/>
                <w:szCs w:val="18"/>
              </w:rPr>
              <w:t>Предусмотрено Программой государственных внешних заимствований Российской Федерации на 2018 год</w:t>
            </w:r>
          </w:p>
          <w:p w:rsidR="009831AF" w:rsidRPr="00D41731" w:rsidRDefault="009831AF"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(Федеральный закон от 05.12.2017  № 362-ФЗ с изменениями)</w:t>
            </w:r>
            <w:bookmarkEnd w:id="1"/>
          </w:p>
        </w:tc>
        <w:tc>
          <w:tcPr>
            <w:tcW w:w="1938" w:type="pct"/>
            <w:gridSpan w:val="4"/>
            <w:tcBorders>
              <w:top w:val="single" w:sz="4" w:space="0" w:color="auto"/>
              <w:left w:val="nil"/>
              <w:bottom w:val="single" w:sz="4" w:space="0" w:color="auto"/>
              <w:right w:val="single" w:sz="4" w:space="0" w:color="auto"/>
            </w:tcBorders>
            <w:shd w:val="clear" w:color="auto" w:fill="auto"/>
            <w:vAlign w:val="center"/>
            <w:hideMark/>
          </w:tcPr>
          <w:p w:rsidR="009831AF" w:rsidRPr="00D41731" w:rsidRDefault="009831AF"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Исполнено за 2018 год</w:t>
            </w:r>
          </w:p>
        </w:tc>
      </w:tr>
      <w:tr w:rsidR="002F71BD" w:rsidRPr="00D41731" w:rsidTr="00416BCA">
        <w:trPr>
          <w:trHeight w:val="255"/>
          <w:tblHeader/>
        </w:trPr>
        <w:tc>
          <w:tcPr>
            <w:tcW w:w="1834" w:type="pct"/>
            <w:vMerge/>
            <w:tcBorders>
              <w:left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8"/>
                <w:szCs w:val="18"/>
              </w:rPr>
            </w:pPr>
          </w:p>
        </w:tc>
        <w:tc>
          <w:tcPr>
            <w:tcW w:w="1227" w:type="pct"/>
            <w:gridSpan w:val="2"/>
            <w:vMerge/>
            <w:tcBorders>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8"/>
                <w:szCs w:val="18"/>
              </w:rPr>
            </w:pPr>
          </w:p>
        </w:tc>
        <w:tc>
          <w:tcPr>
            <w:tcW w:w="1020" w:type="pct"/>
            <w:gridSpan w:val="2"/>
            <w:tcBorders>
              <w:top w:val="single" w:sz="4" w:space="0" w:color="auto"/>
              <w:left w:val="nil"/>
              <w:bottom w:val="single" w:sz="4" w:space="0" w:color="auto"/>
              <w:right w:val="single" w:sz="4" w:space="0" w:color="auto"/>
            </w:tcBorders>
            <w:shd w:val="clear" w:color="auto" w:fill="auto"/>
            <w:noWrap/>
            <w:vAlign w:val="center"/>
            <w:hideMark/>
          </w:tcPr>
          <w:p w:rsidR="002F71BD" w:rsidRPr="00D41731" w:rsidRDefault="002F71BD"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Сумма</w:t>
            </w:r>
          </w:p>
        </w:tc>
        <w:tc>
          <w:tcPr>
            <w:tcW w:w="918" w:type="pct"/>
            <w:gridSpan w:val="2"/>
            <w:tcBorders>
              <w:top w:val="single" w:sz="4" w:space="0" w:color="auto"/>
              <w:left w:val="nil"/>
              <w:bottom w:val="single" w:sz="4" w:space="0" w:color="auto"/>
              <w:right w:val="single" w:sz="4" w:space="0" w:color="auto"/>
            </w:tcBorders>
            <w:shd w:val="clear" w:color="auto" w:fill="auto"/>
            <w:noWrap/>
            <w:vAlign w:val="center"/>
            <w:hideMark/>
          </w:tcPr>
          <w:p w:rsidR="002F71BD" w:rsidRPr="00D41731" w:rsidRDefault="002F71BD" w:rsidP="002F71BD">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w:t>
            </w:r>
          </w:p>
        </w:tc>
      </w:tr>
      <w:tr w:rsidR="002F71BD" w:rsidRPr="00D41731" w:rsidTr="00416BCA">
        <w:trPr>
          <w:trHeight w:val="447"/>
          <w:tblHeader/>
        </w:trPr>
        <w:tc>
          <w:tcPr>
            <w:tcW w:w="1834" w:type="pct"/>
            <w:vMerge/>
            <w:tcBorders>
              <w:left w:val="single" w:sz="4" w:space="0" w:color="auto"/>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both"/>
              <w:rPr>
                <w:rFonts w:ascii="Times New Roman" w:hAnsi="Times New Roman" w:cs="Times New Roman"/>
                <w:b/>
                <w:bCs/>
                <w:sz w:val="18"/>
                <w:szCs w:val="18"/>
              </w:rPr>
            </w:pPr>
          </w:p>
        </w:tc>
        <w:tc>
          <w:tcPr>
            <w:tcW w:w="613"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8A2DB7">
            <w:pPr>
              <w:spacing w:after="0" w:line="240" w:lineRule="auto"/>
              <w:jc w:val="center"/>
              <w:rPr>
                <w:rFonts w:ascii="Times New Roman" w:hAnsi="Times New Roman" w:cs="Times New Roman"/>
                <w:b/>
                <w:bCs/>
                <w:sz w:val="16"/>
                <w:szCs w:val="16"/>
              </w:rPr>
            </w:pPr>
            <w:r w:rsidRPr="00D41731">
              <w:rPr>
                <w:rFonts w:ascii="Times New Roman" w:hAnsi="Times New Roman" w:cs="Times New Roman"/>
                <w:b/>
                <w:bCs/>
                <w:sz w:val="16"/>
                <w:szCs w:val="16"/>
              </w:rPr>
              <w:t>млн. рублей</w:t>
            </w:r>
          </w:p>
        </w:tc>
        <w:tc>
          <w:tcPr>
            <w:tcW w:w="61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8A2DB7">
            <w:pPr>
              <w:spacing w:after="0" w:line="240" w:lineRule="auto"/>
              <w:jc w:val="center"/>
              <w:rPr>
                <w:rFonts w:ascii="Times New Roman" w:hAnsi="Times New Roman" w:cs="Times New Roman"/>
                <w:b/>
                <w:bCs/>
                <w:sz w:val="16"/>
                <w:szCs w:val="16"/>
              </w:rPr>
            </w:pPr>
            <w:r w:rsidRPr="00D41731">
              <w:rPr>
                <w:rFonts w:ascii="Times New Roman" w:hAnsi="Times New Roman" w:cs="Times New Roman"/>
                <w:b/>
                <w:bCs/>
                <w:sz w:val="16"/>
                <w:szCs w:val="16"/>
              </w:rPr>
              <w:t>млн. долл. США</w:t>
            </w:r>
          </w:p>
        </w:tc>
        <w:tc>
          <w:tcPr>
            <w:tcW w:w="52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8A2DB7">
            <w:pPr>
              <w:spacing w:after="0" w:line="240" w:lineRule="auto"/>
              <w:jc w:val="center"/>
              <w:rPr>
                <w:rFonts w:ascii="Times New Roman" w:hAnsi="Times New Roman" w:cs="Times New Roman"/>
                <w:b/>
                <w:bCs/>
                <w:sz w:val="16"/>
                <w:szCs w:val="16"/>
              </w:rPr>
            </w:pPr>
            <w:r w:rsidRPr="00D41731">
              <w:rPr>
                <w:rFonts w:ascii="Times New Roman" w:hAnsi="Times New Roman" w:cs="Times New Roman"/>
                <w:b/>
                <w:bCs/>
                <w:sz w:val="16"/>
                <w:szCs w:val="16"/>
              </w:rPr>
              <w:t>млн. рублей</w:t>
            </w:r>
          </w:p>
        </w:tc>
        <w:tc>
          <w:tcPr>
            <w:tcW w:w="496"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8A2DB7">
            <w:pPr>
              <w:spacing w:after="0" w:line="240" w:lineRule="auto"/>
              <w:jc w:val="center"/>
              <w:rPr>
                <w:rFonts w:ascii="Times New Roman" w:hAnsi="Times New Roman" w:cs="Times New Roman"/>
                <w:b/>
                <w:bCs/>
                <w:sz w:val="16"/>
                <w:szCs w:val="16"/>
              </w:rPr>
            </w:pPr>
            <w:r w:rsidRPr="00D41731">
              <w:rPr>
                <w:rFonts w:ascii="Times New Roman" w:hAnsi="Times New Roman" w:cs="Times New Roman"/>
                <w:b/>
                <w:bCs/>
                <w:sz w:val="16"/>
                <w:szCs w:val="16"/>
              </w:rPr>
              <w:t>млн. долларов США</w:t>
            </w:r>
          </w:p>
        </w:tc>
        <w:tc>
          <w:tcPr>
            <w:tcW w:w="494" w:type="pct"/>
            <w:tcBorders>
              <w:left w:val="nil"/>
              <w:bottom w:val="single" w:sz="4" w:space="0" w:color="auto"/>
              <w:right w:val="single" w:sz="4" w:space="0" w:color="auto"/>
            </w:tcBorders>
            <w:shd w:val="clear" w:color="auto" w:fill="auto"/>
            <w:vAlign w:val="center"/>
          </w:tcPr>
          <w:p w:rsidR="002F71BD" w:rsidRPr="00D41731" w:rsidRDefault="002F71BD" w:rsidP="00AD5395">
            <w:pPr>
              <w:spacing w:after="0" w:line="240" w:lineRule="auto"/>
              <w:jc w:val="center"/>
              <w:rPr>
                <w:rFonts w:ascii="Times New Roman" w:hAnsi="Times New Roman" w:cs="Times New Roman"/>
                <w:b/>
                <w:bCs/>
                <w:sz w:val="16"/>
                <w:szCs w:val="16"/>
              </w:rPr>
            </w:pPr>
            <w:r w:rsidRPr="00D41731">
              <w:rPr>
                <w:rFonts w:ascii="Times New Roman" w:hAnsi="Times New Roman" w:cs="Times New Roman"/>
                <w:b/>
                <w:bCs/>
                <w:sz w:val="16"/>
                <w:szCs w:val="16"/>
              </w:rPr>
              <w:t>млн. рублей</w:t>
            </w:r>
          </w:p>
        </w:tc>
        <w:tc>
          <w:tcPr>
            <w:tcW w:w="424" w:type="pct"/>
            <w:tcBorders>
              <w:top w:val="single" w:sz="4" w:space="0" w:color="auto"/>
              <w:left w:val="nil"/>
              <w:bottom w:val="single" w:sz="4" w:space="0" w:color="auto"/>
              <w:right w:val="single" w:sz="4" w:space="0" w:color="auto"/>
            </w:tcBorders>
            <w:shd w:val="clear" w:color="auto" w:fill="auto"/>
            <w:vAlign w:val="center"/>
          </w:tcPr>
          <w:p w:rsidR="002F71BD" w:rsidRPr="00D41731" w:rsidRDefault="002F71BD" w:rsidP="00AD5395">
            <w:pPr>
              <w:spacing w:after="0" w:line="240" w:lineRule="auto"/>
              <w:jc w:val="center"/>
              <w:rPr>
                <w:rFonts w:ascii="Times New Roman" w:hAnsi="Times New Roman" w:cs="Times New Roman"/>
                <w:b/>
                <w:bCs/>
                <w:sz w:val="16"/>
                <w:szCs w:val="16"/>
              </w:rPr>
            </w:pPr>
            <w:r w:rsidRPr="00D41731">
              <w:rPr>
                <w:rFonts w:ascii="Times New Roman" w:hAnsi="Times New Roman" w:cs="Times New Roman"/>
                <w:b/>
                <w:bCs/>
                <w:sz w:val="16"/>
                <w:szCs w:val="16"/>
              </w:rPr>
              <w:t>млн. долларов США</w:t>
            </w:r>
          </w:p>
        </w:tc>
      </w:tr>
      <w:tr w:rsidR="002F71BD" w:rsidRPr="00D41731" w:rsidTr="00416BCA">
        <w:trPr>
          <w:trHeight w:val="255"/>
        </w:trPr>
        <w:tc>
          <w:tcPr>
            <w:tcW w:w="1834" w:type="pct"/>
            <w:tcBorders>
              <w:top w:val="nil"/>
              <w:left w:val="single" w:sz="4" w:space="0" w:color="auto"/>
              <w:bottom w:val="single" w:sz="4" w:space="0" w:color="auto"/>
              <w:right w:val="single" w:sz="4" w:space="0" w:color="auto"/>
            </w:tcBorders>
            <w:shd w:val="clear" w:color="auto" w:fill="auto"/>
            <w:noWrap/>
            <w:vAlign w:val="center"/>
            <w:hideMark/>
          </w:tcPr>
          <w:p w:rsidR="002F71BD" w:rsidRPr="00D41731" w:rsidRDefault="002F71BD" w:rsidP="00A0532B">
            <w:pPr>
              <w:spacing w:after="0" w:line="240" w:lineRule="auto"/>
              <w:jc w:val="both"/>
              <w:rPr>
                <w:rFonts w:ascii="Times New Roman" w:hAnsi="Times New Roman" w:cs="Times New Roman"/>
                <w:b/>
                <w:bCs/>
                <w:sz w:val="18"/>
                <w:szCs w:val="18"/>
              </w:rPr>
            </w:pPr>
            <w:r w:rsidRPr="00D41731">
              <w:rPr>
                <w:rFonts w:ascii="Times New Roman" w:hAnsi="Times New Roman" w:cs="Times New Roman"/>
                <w:b/>
                <w:bCs/>
                <w:sz w:val="18"/>
                <w:szCs w:val="18"/>
              </w:rPr>
              <w:t>ВСЕГО</w:t>
            </w:r>
          </w:p>
        </w:tc>
        <w:tc>
          <w:tcPr>
            <w:tcW w:w="613"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 xml:space="preserve">9 196,3 </w:t>
            </w:r>
          </w:p>
        </w:tc>
        <w:tc>
          <w:tcPr>
            <w:tcW w:w="61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215,0</w:t>
            </w:r>
          </w:p>
        </w:tc>
        <w:tc>
          <w:tcPr>
            <w:tcW w:w="52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-65 424,5</w:t>
            </w:r>
          </w:p>
        </w:tc>
        <w:tc>
          <w:tcPr>
            <w:tcW w:w="496"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-983,4</w:t>
            </w:r>
          </w:p>
        </w:tc>
        <w:tc>
          <w:tcPr>
            <w:tcW w:w="49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6"/>
                <w:szCs w:val="16"/>
              </w:rPr>
            </w:pPr>
            <w:r w:rsidRPr="00D41731">
              <w:rPr>
                <w:rFonts w:ascii="Times New Roman" w:hAnsi="Times New Roman" w:cs="Times New Roman"/>
                <w:b/>
                <w:bCs/>
                <w:sz w:val="16"/>
                <w:szCs w:val="16"/>
              </w:rPr>
              <w:t>-</w:t>
            </w:r>
          </w:p>
        </w:tc>
        <w:tc>
          <w:tcPr>
            <w:tcW w:w="42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6"/>
                <w:szCs w:val="16"/>
              </w:rPr>
            </w:pPr>
            <w:r w:rsidRPr="00D41731">
              <w:rPr>
                <w:rFonts w:ascii="Times New Roman" w:hAnsi="Times New Roman" w:cs="Times New Roman"/>
                <w:b/>
                <w:bCs/>
                <w:sz w:val="16"/>
                <w:szCs w:val="16"/>
              </w:rPr>
              <w:t>-</w:t>
            </w:r>
          </w:p>
        </w:tc>
      </w:tr>
      <w:tr w:rsidR="002F71BD" w:rsidRPr="00D41731" w:rsidTr="00416BCA">
        <w:trPr>
          <w:trHeight w:val="255"/>
        </w:trPr>
        <w:tc>
          <w:tcPr>
            <w:tcW w:w="1834" w:type="pct"/>
            <w:tcBorders>
              <w:top w:val="nil"/>
              <w:left w:val="single" w:sz="4" w:space="0" w:color="auto"/>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both"/>
              <w:rPr>
                <w:rFonts w:ascii="Times New Roman" w:hAnsi="Times New Roman" w:cs="Times New Roman"/>
                <w:b/>
                <w:bCs/>
                <w:sz w:val="18"/>
                <w:szCs w:val="18"/>
              </w:rPr>
            </w:pPr>
            <w:r w:rsidRPr="00D41731">
              <w:rPr>
                <w:rFonts w:ascii="Times New Roman" w:hAnsi="Times New Roman" w:cs="Times New Roman"/>
                <w:b/>
                <w:bCs/>
                <w:sz w:val="18"/>
                <w:szCs w:val="18"/>
              </w:rPr>
              <w:t>Государственные ценные бумаги</w:t>
            </w:r>
          </w:p>
        </w:tc>
        <w:tc>
          <w:tcPr>
            <w:tcW w:w="613"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 xml:space="preserve">16 729,0 </w:t>
            </w:r>
          </w:p>
        </w:tc>
        <w:tc>
          <w:tcPr>
            <w:tcW w:w="61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325,6</w:t>
            </w:r>
          </w:p>
        </w:tc>
        <w:tc>
          <w:tcPr>
            <w:tcW w:w="52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-50 214,9</w:t>
            </w:r>
          </w:p>
        </w:tc>
        <w:tc>
          <w:tcPr>
            <w:tcW w:w="496"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-744,8</w:t>
            </w:r>
          </w:p>
        </w:tc>
        <w:tc>
          <w:tcPr>
            <w:tcW w:w="49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6"/>
                <w:szCs w:val="16"/>
              </w:rPr>
            </w:pPr>
            <w:r w:rsidRPr="00D41731">
              <w:rPr>
                <w:rFonts w:ascii="Times New Roman" w:hAnsi="Times New Roman" w:cs="Times New Roman"/>
                <w:b/>
                <w:bCs/>
                <w:sz w:val="16"/>
                <w:szCs w:val="16"/>
              </w:rPr>
              <w:t>-</w:t>
            </w:r>
          </w:p>
        </w:tc>
        <w:tc>
          <w:tcPr>
            <w:tcW w:w="42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6"/>
                <w:szCs w:val="16"/>
              </w:rPr>
            </w:pPr>
            <w:r w:rsidRPr="00D41731">
              <w:rPr>
                <w:rFonts w:ascii="Times New Roman" w:hAnsi="Times New Roman" w:cs="Times New Roman"/>
                <w:b/>
                <w:bCs/>
                <w:sz w:val="16"/>
                <w:szCs w:val="16"/>
              </w:rPr>
              <w:t>-</w:t>
            </w:r>
          </w:p>
        </w:tc>
      </w:tr>
      <w:tr w:rsidR="002F71BD" w:rsidRPr="00D41731" w:rsidTr="00416BCA">
        <w:trPr>
          <w:trHeight w:val="255"/>
        </w:trPr>
        <w:tc>
          <w:tcPr>
            <w:tcW w:w="1834" w:type="pct"/>
            <w:tcBorders>
              <w:top w:val="nil"/>
              <w:left w:val="single" w:sz="4" w:space="0" w:color="auto"/>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ind w:firstLineChars="100" w:firstLine="180"/>
              <w:jc w:val="both"/>
              <w:rPr>
                <w:rFonts w:ascii="Times New Roman" w:hAnsi="Times New Roman" w:cs="Times New Roman"/>
                <w:i/>
                <w:iCs/>
                <w:sz w:val="18"/>
                <w:szCs w:val="18"/>
              </w:rPr>
            </w:pPr>
            <w:r w:rsidRPr="00D41731">
              <w:rPr>
                <w:rFonts w:ascii="Times New Roman" w:hAnsi="Times New Roman" w:cs="Times New Roman"/>
                <w:i/>
                <w:iCs/>
                <w:sz w:val="18"/>
                <w:szCs w:val="18"/>
              </w:rPr>
              <w:t>Привлечение (размещение)</w:t>
            </w:r>
          </w:p>
        </w:tc>
        <w:tc>
          <w:tcPr>
            <w:tcW w:w="613"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371 638,6</w:t>
            </w:r>
          </w:p>
        </w:tc>
        <w:tc>
          <w:tcPr>
            <w:tcW w:w="61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6 180,0</w:t>
            </w:r>
          </w:p>
        </w:tc>
        <w:tc>
          <w:tcPr>
            <w:tcW w:w="52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303 751,8</w:t>
            </w:r>
          </w:p>
        </w:tc>
        <w:tc>
          <w:tcPr>
            <w:tcW w:w="496"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5 096,</w:t>
            </w:r>
            <w:r w:rsidRPr="00D41731">
              <w:rPr>
                <w:rFonts w:ascii="Times New Roman" w:hAnsi="Times New Roman" w:cs="Times New Roman"/>
                <w:i/>
                <w:iCs/>
                <w:sz w:val="18"/>
                <w:szCs w:val="18"/>
                <w:lang w:val="en-US"/>
              </w:rPr>
              <w:t>1</w:t>
            </w:r>
          </w:p>
        </w:tc>
        <w:tc>
          <w:tcPr>
            <w:tcW w:w="49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Cs/>
                <w:i/>
                <w:iCs/>
                <w:sz w:val="16"/>
                <w:szCs w:val="16"/>
              </w:rPr>
            </w:pPr>
            <w:r w:rsidRPr="00D41731">
              <w:rPr>
                <w:rFonts w:ascii="Times New Roman" w:hAnsi="Times New Roman" w:cs="Times New Roman"/>
                <w:bCs/>
                <w:i/>
                <w:iCs/>
                <w:sz w:val="16"/>
                <w:szCs w:val="16"/>
              </w:rPr>
              <w:t>81,7</w:t>
            </w:r>
          </w:p>
        </w:tc>
        <w:tc>
          <w:tcPr>
            <w:tcW w:w="42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Cs/>
                <w:i/>
                <w:iCs/>
                <w:sz w:val="16"/>
                <w:szCs w:val="16"/>
              </w:rPr>
            </w:pPr>
            <w:r w:rsidRPr="00D41731">
              <w:rPr>
                <w:rFonts w:ascii="Times New Roman" w:hAnsi="Times New Roman" w:cs="Times New Roman"/>
                <w:bCs/>
                <w:i/>
                <w:iCs/>
                <w:sz w:val="16"/>
                <w:szCs w:val="16"/>
              </w:rPr>
              <w:t>82,5</w:t>
            </w:r>
          </w:p>
        </w:tc>
      </w:tr>
      <w:tr w:rsidR="002F71BD" w:rsidRPr="00D41731" w:rsidTr="00416BCA">
        <w:trPr>
          <w:trHeight w:val="255"/>
        </w:trPr>
        <w:tc>
          <w:tcPr>
            <w:tcW w:w="1834" w:type="pct"/>
            <w:tcBorders>
              <w:top w:val="nil"/>
              <w:left w:val="single" w:sz="4" w:space="0" w:color="auto"/>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ind w:firstLineChars="100" w:firstLine="180"/>
              <w:jc w:val="both"/>
              <w:rPr>
                <w:rFonts w:ascii="Times New Roman" w:hAnsi="Times New Roman" w:cs="Times New Roman"/>
                <w:i/>
                <w:iCs/>
                <w:sz w:val="18"/>
                <w:szCs w:val="18"/>
              </w:rPr>
            </w:pPr>
            <w:r w:rsidRPr="00D41731">
              <w:rPr>
                <w:rFonts w:ascii="Times New Roman" w:hAnsi="Times New Roman" w:cs="Times New Roman"/>
                <w:i/>
                <w:iCs/>
                <w:sz w:val="18"/>
                <w:szCs w:val="18"/>
              </w:rPr>
              <w:t>Погашение</w:t>
            </w:r>
          </w:p>
        </w:tc>
        <w:tc>
          <w:tcPr>
            <w:tcW w:w="613"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-354 909,6</w:t>
            </w:r>
          </w:p>
        </w:tc>
        <w:tc>
          <w:tcPr>
            <w:tcW w:w="61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-5 854,4</w:t>
            </w:r>
          </w:p>
        </w:tc>
        <w:tc>
          <w:tcPr>
            <w:tcW w:w="52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-353 966,7</w:t>
            </w:r>
          </w:p>
        </w:tc>
        <w:tc>
          <w:tcPr>
            <w:tcW w:w="496"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-5 840,9</w:t>
            </w:r>
          </w:p>
        </w:tc>
        <w:tc>
          <w:tcPr>
            <w:tcW w:w="49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Cs/>
                <w:i/>
                <w:iCs/>
                <w:sz w:val="16"/>
                <w:szCs w:val="16"/>
              </w:rPr>
            </w:pPr>
            <w:r w:rsidRPr="00D41731">
              <w:rPr>
                <w:rFonts w:ascii="Times New Roman" w:hAnsi="Times New Roman" w:cs="Times New Roman"/>
                <w:bCs/>
                <w:i/>
                <w:iCs/>
                <w:sz w:val="16"/>
                <w:szCs w:val="16"/>
              </w:rPr>
              <w:t>99,7</w:t>
            </w:r>
          </w:p>
        </w:tc>
        <w:tc>
          <w:tcPr>
            <w:tcW w:w="42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Cs/>
                <w:i/>
                <w:iCs/>
                <w:sz w:val="16"/>
                <w:szCs w:val="16"/>
              </w:rPr>
            </w:pPr>
            <w:r w:rsidRPr="00D41731">
              <w:rPr>
                <w:rFonts w:ascii="Times New Roman" w:hAnsi="Times New Roman" w:cs="Times New Roman"/>
                <w:bCs/>
                <w:i/>
                <w:iCs/>
                <w:sz w:val="16"/>
                <w:szCs w:val="16"/>
              </w:rPr>
              <w:t>99,8</w:t>
            </w:r>
          </w:p>
        </w:tc>
      </w:tr>
      <w:tr w:rsidR="002F71BD" w:rsidRPr="00D41731" w:rsidTr="00416BCA">
        <w:trPr>
          <w:trHeight w:val="1440"/>
        </w:trPr>
        <w:tc>
          <w:tcPr>
            <w:tcW w:w="1834" w:type="pct"/>
            <w:tcBorders>
              <w:top w:val="nil"/>
              <w:left w:val="single" w:sz="4" w:space="0" w:color="auto"/>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both"/>
              <w:rPr>
                <w:rFonts w:ascii="Times New Roman" w:hAnsi="Times New Roman" w:cs="Times New Roman"/>
                <w:b/>
                <w:bCs/>
                <w:sz w:val="18"/>
                <w:szCs w:val="18"/>
              </w:rPr>
            </w:pPr>
            <w:r w:rsidRPr="00D41731">
              <w:rPr>
                <w:rFonts w:ascii="Times New Roman" w:hAnsi="Times New Roman" w:cs="Times New Roman"/>
                <w:b/>
                <w:bCs/>
                <w:sz w:val="18"/>
                <w:szCs w:val="18"/>
              </w:rPr>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полученные в иностранной валюте</w:t>
            </w:r>
          </w:p>
        </w:tc>
        <w:tc>
          <w:tcPr>
            <w:tcW w:w="613"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iCs/>
                <w:sz w:val="18"/>
                <w:szCs w:val="18"/>
              </w:rPr>
              <w:t>-7 532,7</w:t>
            </w:r>
          </w:p>
        </w:tc>
        <w:tc>
          <w:tcPr>
            <w:tcW w:w="61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-110,6</w:t>
            </w:r>
          </w:p>
        </w:tc>
        <w:tc>
          <w:tcPr>
            <w:tcW w:w="52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8"/>
                <w:szCs w:val="18"/>
                <w:lang w:val="en-US"/>
              </w:rPr>
            </w:pPr>
            <w:r w:rsidRPr="00D41731">
              <w:rPr>
                <w:rFonts w:ascii="Times New Roman" w:hAnsi="Times New Roman" w:cs="Times New Roman"/>
                <w:b/>
                <w:bCs/>
                <w:sz w:val="18"/>
                <w:szCs w:val="18"/>
              </w:rPr>
              <w:t xml:space="preserve">-15 209,6 </w:t>
            </w:r>
          </w:p>
        </w:tc>
        <w:tc>
          <w:tcPr>
            <w:tcW w:w="496"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8"/>
                <w:szCs w:val="18"/>
              </w:rPr>
            </w:pPr>
            <w:r w:rsidRPr="00D41731">
              <w:rPr>
                <w:rFonts w:ascii="Times New Roman" w:hAnsi="Times New Roman" w:cs="Times New Roman"/>
                <w:b/>
                <w:bCs/>
                <w:sz w:val="18"/>
                <w:szCs w:val="18"/>
              </w:rPr>
              <w:t>-238,6</w:t>
            </w:r>
          </w:p>
        </w:tc>
        <w:tc>
          <w:tcPr>
            <w:tcW w:w="49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6"/>
                <w:szCs w:val="16"/>
              </w:rPr>
            </w:pPr>
            <w:r w:rsidRPr="00D41731">
              <w:rPr>
                <w:rFonts w:ascii="Times New Roman" w:hAnsi="Times New Roman" w:cs="Times New Roman"/>
                <w:b/>
                <w:bCs/>
                <w:sz w:val="16"/>
                <w:szCs w:val="16"/>
              </w:rPr>
              <w:t>-</w:t>
            </w:r>
          </w:p>
        </w:tc>
        <w:tc>
          <w:tcPr>
            <w:tcW w:w="42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
                <w:bCs/>
                <w:sz w:val="16"/>
                <w:szCs w:val="16"/>
              </w:rPr>
            </w:pPr>
            <w:r w:rsidRPr="00D41731">
              <w:rPr>
                <w:rFonts w:ascii="Times New Roman" w:hAnsi="Times New Roman" w:cs="Times New Roman"/>
                <w:b/>
                <w:bCs/>
                <w:sz w:val="16"/>
                <w:szCs w:val="16"/>
              </w:rPr>
              <w:t>-</w:t>
            </w:r>
          </w:p>
        </w:tc>
      </w:tr>
      <w:tr w:rsidR="002F71BD" w:rsidRPr="00D41731" w:rsidTr="00416BCA">
        <w:trPr>
          <w:trHeight w:val="255"/>
        </w:trPr>
        <w:tc>
          <w:tcPr>
            <w:tcW w:w="1834" w:type="pct"/>
            <w:tcBorders>
              <w:top w:val="nil"/>
              <w:left w:val="single" w:sz="4" w:space="0" w:color="auto"/>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ind w:firstLineChars="100" w:firstLine="180"/>
              <w:jc w:val="both"/>
              <w:rPr>
                <w:rFonts w:ascii="Times New Roman" w:hAnsi="Times New Roman" w:cs="Times New Roman"/>
                <w:i/>
                <w:iCs/>
                <w:sz w:val="18"/>
                <w:szCs w:val="18"/>
              </w:rPr>
            </w:pPr>
            <w:r w:rsidRPr="00D41731">
              <w:rPr>
                <w:rFonts w:ascii="Times New Roman" w:hAnsi="Times New Roman" w:cs="Times New Roman"/>
                <w:i/>
                <w:iCs/>
                <w:sz w:val="18"/>
                <w:szCs w:val="18"/>
              </w:rPr>
              <w:t>Привлечение (использование)</w:t>
            </w:r>
          </w:p>
        </w:tc>
        <w:tc>
          <w:tcPr>
            <w:tcW w:w="613"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8 663,9</w:t>
            </w:r>
          </w:p>
        </w:tc>
        <w:tc>
          <w:tcPr>
            <w:tcW w:w="61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147,8</w:t>
            </w:r>
          </w:p>
        </w:tc>
        <w:tc>
          <w:tcPr>
            <w:tcW w:w="52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1 518,1</w:t>
            </w:r>
          </w:p>
        </w:tc>
        <w:tc>
          <w:tcPr>
            <w:tcW w:w="496"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23,4</w:t>
            </w:r>
          </w:p>
        </w:tc>
        <w:tc>
          <w:tcPr>
            <w:tcW w:w="49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Cs/>
                <w:i/>
                <w:iCs/>
                <w:sz w:val="16"/>
                <w:szCs w:val="16"/>
              </w:rPr>
            </w:pPr>
            <w:r w:rsidRPr="00D41731">
              <w:rPr>
                <w:rFonts w:ascii="Times New Roman" w:hAnsi="Times New Roman" w:cs="Times New Roman"/>
                <w:i/>
                <w:iCs/>
                <w:sz w:val="16"/>
                <w:szCs w:val="16"/>
              </w:rPr>
              <w:t>17,5</w:t>
            </w:r>
          </w:p>
        </w:tc>
        <w:tc>
          <w:tcPr>
            <w:tcW w:w="42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Cs/>
                <w:i/>
                <w:iCs/>
                <w:sz w:val="16"/>
                <w:szCs w:val="16"/>
              </w:rPr>
            </w:pPr>
            <w:r w:rsidRPr="00D41731">
              <w:rPr>
                <w:rFonts w:ascii="Times New Roman" w:hAnsi="Times New Roman" w:cs="Times New Roman"/>
                <w:i/>
                <w:iCs/>
                <w:sz w:val="16"/>
                <w:szCs w:val="16"/>
              </w:rPr>
              <w:t>15,8</w:t>
            </w:r>
          </w:p>
        </w:tc>
      </w:tr>
      <w:tr w:rsidR="002F71BD" w:rsidRPr="001C66A7" w:rsidTr="00416BCA">
        <w:trPr>
          <w:trHeight w:val="255"/>
        </w:trPr>
        <w:tc>
          <w:tcPr>
            <w:tcW w:w="1834" w:type="pct"/>
            <w:tcBorders>
              <w:top w:val="nil"/>
              <w:left w:val="single" w:sz="4" w:space="0" w:color="auto"/>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ind w:firstLineChars="100" w:firstLine="180"/>
              <w:jc w:val="both"/>
              <w:rPr>
                <w:rFonts w:ascii="Times New Roman" w:hAnsi="Times New Roman" w:cs="Times New Roman"/>
                <w:i/>
                <w:iCs/>
                <w:sz w:val="18"/>
                <w:szCs w:val="18"/>
              </w:rPr>
            </w:pPr>
            <w:r w:rsidRPr="00D41731">
              <w:rPr>
                <w:rFonts w:ascii="Times New Roman" w:hAnsi="Times New Roman" w:cs="Times New Roman"/>
                <w:i/>
                <w:iCs/>
                <w:sz w:val="18"/>
                <w:szCs w:val="18"/>
              </w:rPr>
              <w:t>Погашение</w:t>
            </w:r>
          </w:p>
        </w:tc>
        <w:tc>
          <w:tcPr>
            <w:tcW w:w="613"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-16 196,6</w:t>
            </w:r>
          </w:p>
        </w:tc>
        <w:tc>
          <w:tcPr>
            <w:tcW w:w="61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-258,4</w:t>
            </w:r>
          </w:p>
        </w:tc>
        <w:tc>
          <w:tcPr>
            <w:tcW w:w="52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-16 727,7</w:t>
            </w:r>
          </w:p>
        </w:tc>
        <w:tc>
          <w:tcPr>
            <w:tcW w:w="496"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i/>
                <w:iCs/>
                <w:sz w:val="18"/>
                <w:szCs w:val="18"/>
              </w:rPr>
            </w:pPr>
            <w:r w:rsidRPr="00D41731">
              <w:rPr>
                <w:rFonts w:ascii="Times New Roman" w:hAnsi="Times New Roman" w:cs="Times New Roman"/>
                <w:i/>
                <w:iCs/>
                <w:sz w:val="18"/>
                <w:szCs w:val="18"/>
              </w:rPr>
              <w:t>-261,9</w:t>
            </w:r>
          </w:p>
        </w:tc>
        <w:tc>
          <w:tcPr>
            <w:tcW w:w="494" w:type="pct"/>
            <w:tcBorders>
              <w:top w:val="nil"/>
              <w:left w:val="nil"/>
              <w:bottom w:val="single" w:sz="4" w:space="0" w:color="auto"/>
              <w:right w:val="single" w:sz="4" w:space="0" w:color="auto"/>
            </w:tcBorders>
            <w:shd w:val="clear" w:color="auto" w:fill="auto"/>
            <w:vAlign w:val="center"/>
            <w:hideMark/>
          </w:tcPr>
          <w:p w:rsidR="002F71BD" w:rsidRPr="00D41731" w:rsidRDefault="002F71BD" w:rsidP="00A0532B">
            <w:pPr>
              <w:spacing w:after="0" w:line="240" w:lineRule="auto"/>
              <w:jc w:val="center"/>
              <w:rPr>
                <w:rFonts w:ascii="Times New Roman" w:hAnsi="Times New Roman" w:cs="Times New Roman"/>
                <w:bCs/>
                <w:i/>
                <w:iCs/>
                <w:sz w:val="16"/>
                <w:szCs w:val="16"/>
              </w:rPr>
            </w:pPr>
            <w:r w:rsidRPr="00D41731">
              <w:rPr>
                <w:rFonts w:ascii="Times New Roman" w:hAnsi="Times New Roman" w:cs="Times New Roman"/>
                <w:i/>
                <w:iCs/>
                <w:sz w:val="16"/>
                <w:szCs w:val="16"/>
              </w:rPr>
              <w:t>103,3</w:t>
            </w:r>
          </w:p>
        </w:tc>
        <w:tc>
          <w:tcPr>
            <w:tcW w:w="424" w:type="pct"/>
            <w:tcBorders>
              <w:top w:val="nil"/>
              <w:left w:val="nil"/>
              <w:bottom w:val="single" w:sz="4" w:space="0" w:color="auto"/>
              <w:right w:val="single" w:sz="4" w:space="0" w:color="auto"/>
            </w:tcBorders>
            <w:shd w:val="clear" w:color="auto" w:fill="auto"/>
            <w:vAlign w:val="center"/>
            <w:hideMark/>
          </w:tcPr>
          <w:p w:rsidR="002F71BD" w:rsidRPr="001C66A7" w:rsidRDefault="002F71BD" w:rsidP="00A0532B">
            <w:pPr>
              <w:spacing w:after="0" w:line="240" w:lineRule="auto"/>
              <w:jc w:val="center"/>
              <w:rPr>
                <w:rFonts w:ascii="Times New Roman" w:hAnsi="Times New Roman" w:cs="Times New Roman"/>
                <w:bCs/>
                <w:i/>
                <w:iCs/>
                <w:sz w:val="16"/>
                <w:szCs w:val="16"/>
              </w:rPr>
            </w:pPr>
            <w:r w:rsidRPr="00D41731">
              <w:rPr>
                <w:rFonts w:ascii="Times New Roman" w:hAnsi="Times New Roman" w:cs="Times New Roman"/>
                <w:i/>
                <w:iCs/>
                <w:sz w:val="16"/>
                <w:szCs w:val="16"/>
              </w:rPr>
              <w:t>101,4</w:t>
            </w:r>
          </w:p>
        </w:tc>
      </w:tr>
    </w:tbl>
    <w:p w:rsidR="00AF1B9D" w:rsidRDefault="00AF1B9D" w:rsidP="00956E7B">
      <w:pPr>
        <w:widowControl w:val="0"/>
        <w:numPr>
          <w:ilvl w:val="12"/>
          <w:numId w:val="0"/>
        </w:numPr>
        <w:shd w:val="clear" w:color="auto" w:fill="FFFFFF" w:themeFill="background1"/>
        <w:overflowPunct w:val="0"/>
        <w:autoSpaceDE w:val="0"/>
        <w:autoSpaceDN w:val="0"/>
        <w:adjustRightInd w:val="0"/>
        <w:spacing w:after="0" w:line="240" w:lineRule="auto"/>
        <w:ind w:right="-144" w:firstLine="709"/>
        <w:jc w:val="right"/>
        <w:textAlignment w:val="baseline"/>
        <w:rPr>
          <w:rFonts w:ascii="Times New Roman" w:eastAsia="Times New Roman" w:hAnsi="Times New Roman" w:cs="Times New Roman"/>
          <w:snapToGrid w:val="0"/>
          <w:sz w:val="20"/>
          <w:szCs w:val="20"/>
          <w:lang w:eastAsia="ru-RU"/>
        </w:rPr>
      </w:pPr>
    </w:p>
    <w:sectPr w:rsidR="00AF1B9D" w:rsidSect="00D759F8">
      <w:headerReference w:type="default" r:id="rId17"/>
      <w:pgSz w:w="11906" w:h="16838"/>
      <w:pgMar w:top="851" w:right="1134" w:bottom="28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973" w:rsidRDefault="00457973" w:rsidP="00E659D0">
      <w:pPr>
        <w:spacing w:after="0" w:line="240" w:lineRule="auto"/>
      </w:pPr>
      <w:r>
        <w:separator/>
      </w:r>
    </w:p>
  </w:endnote>
  <w:endnote w:type="continuationSeparator" w:id="0">
    <w:p w:rsidR="00457973" w:rsidRDefault="00457973" w:rsidP="00E65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973" w:rsidRDefault="00457973" w:rsidP="00E659D0">
      <w:pPr>
        <w:spacing w:after="0" w:line="240" w:lineRule="auto"/>
      </w:pPr>
      <w:r>
        <w:separator/>
      </w:r>
    </w:p>
  </w:footnote>
  <w:footnote w:type="continuationSeparator" w:id="0">
    <w:p w:rsidR="00457973" w:rsidRDefault="00457973" w:rsidP="00E659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474212"/>
      <w:docPartObj>
        <w:docPartGallery w:val="Page Numbers (Top of Page)"/>
        <w:docPartUnique/>
      </w:docPartObj>
    </w:sdtPr>
    <w:sdtEndPr>
      <w:rPr>
        <w:rFonts w:ascii="Times New Roman" w:hAnsi="Times New Roman" w:cs="Times New Roman"/>
        <w:sz w:val="24"/>
        <w:szCs w:val="24"/>
      </w:rPr>
    </w:sdtEndPr>
    <w:sdtContent>
      <w:p w:rsidR="00457973" w:rsidRPr="00457973" w:rsidRDefault="00457973">
        <w:pPr>
          <w:pStyle w:val="a9"/>
          <w:jc w:val="center"/>
          <w:rPr>
            <w:rFonts w:ascii="Times New Roman" w:hAnsi="Times New Roman" w:cs="Times New Roman"/>
            <w:sz w:val="24"/>
            <w:szCs w:val="24"/>
          </w:rPr>
        </w:pPr>
        <w:r w:rsidRPr="00457973">
          <w:rPr>
            <w:rFonts w:ascii="Times New Roman" w:hAnsi="Times New Roman" w:cs="Times New Roman"/>
            <w:sz w:val="24"/>
            <w:szCs w:val="24"/>
          </w:rPr>
          <w:fldChar w:fldCharType="begin"/>
        </w:r>
        <w:r w:rsidRPr="00457973">
          <w:rPr>
            <w:rFonts w:ascii="Times New Roman" w:hAnsi="Times New Roman" w:cs="Times New Roman"/>
            <w:sz w:val="24"/>
            <w:szCs w:val="24"/>
          </w:rPr>
          <w:instrText>PAGE   \* MERGEFORMAT</w:instrText>
        </w:r>
        <w:r w:rsidRPr="00457973">
          <w:rPr>
            <w:rFonts w:ascii="Times New Roman" w:hAnsi="Times New Roman" w:cs="Times New Roman"/>
            <w:sz w:val="24"/>
            <w:szCs w:val="24"/>
          </w:rPr>
          <w:fldChar w:fldCharType="separate"/>
        </w:r>
        <w:r w:rsidR="00216846">
          <w:rPr>
            <w:rFonts w:ascii="Times New Roman" w:hAnsi="Times New Roman" w:cs="Times New Roman"/>
            <w:noProof/>
            <w:sz w:val="24"/>
            <w:szCs w:val="24"/>
          </w:rPr>
          <w:t>10</w:t>
        </w:r>
        <w:r w:rsidRPr="00457973">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C5DEF"/>
    <w:multiLevelType w:val="hybridMultilevel"/>
    <w:tmpl w:val="3294DF9A"/>
    <w:lvl w:ilvl="0" w:tplc="77988DA4">
      <w:start w:val="32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693C68AC"/>
    <w:multiLevelType w:val="hybridMultilevel"/>
    <w:tmpl w:val="9BBCFF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17"/>
    <w:rsid w:val="000052CE"/>
    <w:rsid w:val="00013011"/>
    <w:rsid w:val="00024C5F"/>
    <w:rsid w:val="00062692"/>
    <w:rsid w:val="00082658"/>
    <w:rsid w:val="00085025"/>
    <w:rsid w:val="000A3AE5"/>
    <w:rsid w:val="000A64D2"/>
    <w:rsid w:val="000A7B3D"/>
    <w:rsid w:val="000B47B8"/>
    <w:rsid w:val="000C44F5"/>
    <w:rsid w:val="000E3394"/>
    <w:rsid w:val="00105990"/>
    <w:rsid w:val="00126F30"/>
    <w:rsid w:val="001276AB"/>
    <w:rsid w:val="00132D4D"/>
    <w:rsid w:val="001338CA"/>
    <w:rsid w:val="00135089"/>
    <w:rsid w:val="00135430"/>
    <w:rsid w:val="00135A63"/>
    <w:rsid w:val="00143D22"/>
    <w:rsid w:val="0016098F"/>
    <w:rsid w:val="00172A9F"/>
    <w:rsid w:val="0018647B"/>
    <w:rsid w:val="001931F5"/>
    <w:rsid w:val="00195166"/>
    <w:rsid w:val="001976B4"/>
    <w:rsid w:val="001B4EED"/>
    <w:rsid w:val="001B6F01"/>
    <w:rsid w:val="001D4BED"/>
    <w:rsid w:val="001D62EC"/>
    <w:rsid w:val="001F0A9D"/>
    <w:rsid w:val="001F1D67"/>
    <w:rsid w:val="001F4104"/>
    <w:rsid w:val="001F4E58"/>
    <w:rsid w:val="00200CFE"/>
    <w:rsid w:val="002163E9"/>
    <w:rsid w:val="00216846"/>
    <w:rsid w:val="002211F2"/>
    <w:rsid w:val="00234304"/>
    <w:rsid w:val="00240765"/>
    <w:rsid w:val="00244A17"/>
    <w:rsid w:val="00253CDC"/>
    <w:rsid w:val="0026208D"/>
    <w:rsid w:val="00295448"/>
    <w:rsid w:val="002A4D0A"/>
    <w:rsid w:val="002B072C"/>
    <w:rsid w:val="002F71BD"/>
    <w:rsid w:val="00303EF1"/>
    <w:rsid w:val="00310A2F"/>
    <w:rsid w:val="00311199"/>
    <w:rsid w:val="00313399"/>
    <w:rsid w:val="00332134"/>
    <w:rsid w:val="00337FE7"/>
    <w:rsid w:val="00345CFF"/>
    <w:rsid w:val="0035262F"/>
    <w:rsid w:val="003655F4"/>
    <w:rsid w:val="003741FC"/>
    <w:rsid w:val="003758FB"/>
    <w:rsid w:val="00387124"/>
    <w:rsid w:val="003945D4"/>
    <w:rsid w:val="003955BF"/>
    <w:rsid w:val="003A5F93"/>
    <w:rsid w:val="003C2A27"/>
    <w:rsid w:val="003C3CAA"/>
    <w:rsid w:val="003D058E"/>
    <w:rsid w:val="003D5DAA"/>
    <w:rsid w:val="003E5016"/>
    <w:rsid w:val="003E6A1D"/>
    <w:rsid w:val="003F0B57"/>
    <w:rsid w:val="003F7652"/>
    <w:rsid w:val="004009EB"/>
    <w:rsid w:val="00407246"/>
    <w:rsid w:val="00407EC0"/>
    <w:rsid w:val="00411658"/>
    <w:rsid w:val="00411CA5"/>
    <w:rsid w:val="00416BCA"/>
    <w:rsid w:val="004214AF"/>
    <w:rsid w:val="00422AAC"/>
    <w:rsid w:val="00425D9A"/>
    <w:rsid w:val="00433725"/>
    <w:rsid w:val="0043430D"/>
    <w:rsid w:val="0043580A"/>
    <w:rsid w:val="00457973"/>
    <w:rsid w:val="0046040E"/>
    <w:rsid w:val="00460BF7"/>
    <w:rsid w:val="00465E20"/>
    <w:rsid w:val="00467A3C"/>
    <w:rsid w:val="00487540"/>
    <w:rsid w:val="004A19DA"/>
    <w:rsid w:val="004A3131"/>
    <w:rsid w:val="004A36B2"/>
    <w:rsid w:val="004B5144"/>
    <w:rsid w:val="004B6DAA"/>
    <w:rsid w:val="004B79A7"/>
    <w:rsid w:val="004D0097"/>
    <w:rsid w:val="004D090D"/>
    <w:rsid w:val="004D39B4"/>
    <w:rsid w:val="004D477A"/>
    <w:rsid w:val="004E0EDB"/>
    <w:rsid w:val="004F29B8"/>
    <w:rsid w:val="004F38D1"/>
    <w:rsid w:val="004F4833"/>
    <w:rsid w:val="00503F9E"/>
    <w:rsid w:val="005060D2"/>
    <w:rsid w:val="00512479"/>
    <w:rsid w:val="00517393"/>
    <w:rsid w:val="0052152A"/>
    <w:rsid w:val="00523533"/>
    <w:rsid w:val="005266DC"/>
    <w:rsid w:val="00526D6A"/>
    <w:rsid w:val="005272AF"/>
    <w:rsid w:val="00530CA2"/>
    <w:rsid w:val="005364D8"/>
    <w:rsid w:val="0054145D"/>
    <w:rsid w:val="0054693F"/>
    <w:rsid w:val="00556C99"/>
    <w:rsid w:val="00556F04"/>
    <w:rsid w:val="005669F1"/>
    <w:rsid w:val="00567076"/>
    <w:rsid w:val="00570010"/>
    <w:rsid w:val="00590AB8"/>
    <w:rsid w:val="00594A20"/>
    <w:rsid w:val="00595458"/>
    <w:rsid w:val="005968ED"/>
    <w:rsid w:val="005D086C"/>
    <w:rsid w:val="005D6480"/>
    <w:rsid w:val="005E51E8"/>
    <w:rsid w:val="005F1CE6"/>
    <w:rsid w:val="005F3842"/>
    <w:rsid w:val="00600382"/>
    <w:rsid w:val="006033EB"/>
    <w:rsid w:val="00621B3C"/>
    <w:rsid w:val="00625D92"/>
    <w:rsid w:val="00630C8F"/>
    <w:rsid w:val="00631947"/>
    <w:rsid w:val="00632012"/>
    <w:rsid w:val="006425BA"/>
    <w:rsid w:val="00660B3C"/>
    <w:rsid w:val="006732BC"/>
    <w:rsid w:val="00674852"/>
    <w:rsid w:val="006772B3"/>
    <w:rsid w:val="00681935"/>
    <w:rsid w:val="00682E92"/>
    <w:rsid w:val="00684C37"/>
    <w:rsid w:val="00687FDF"/>
    <w:rsid w:val="0069067B"/>
    <w:rsid w:val="00691A30"/>
    <w:rsid w:val="00694191"/>
    <w:rsid w:val="006A1D0D"/>
    <w:rsid w:val="006A23E9"/>
    <w:rsid w:val="006A7C14"/>
    <w:rsid w:val="006B2C98"/>
    <w:rsid w:val="006B6829"/>
    <w:rsid w:val="006E18D7"/>
    <w:rsid w:val="006E5895"/>
    <w:rsid w:val="006F683B"/>
    <w:rsid w:val="0071521B"/>
    <w:rsid w:val="007459A7"/>
    <w:rsid w:val="00756070"/>
    <w:rsid w:val="007918E3"/>
    <w:rsid w:val="007A0ACE"/>
    <w:rsid w:val="007A65A6"/>
    <w:rsid w:val="007A6860"/>
    <w:rsid w:val="007B30CE"/>
    <w:rsid w:val="007B36C7"/>
    <w:rsid w:val="007C386A"/>
    <w:rsid w:val="007D1A18"/>
    <w:rsid w:val="007F3C51"/>
    <w:rsid w:val="007F4E83"/>
    <w:rsid w:val="00814FB6"/>
    <w:rsid w:val="00833EF0"/>
    <w:rsid w:val="00836FC4"/>
    <w:rsid w:val="008414D7"/>
    <w:rsid w:val="00844664"/>
    <w:rsid w:val="008636CC"/>
    <w:rsid w:val="00863D56"/>
    <w:rsid w:val="008664DD"/>
    <w:rsid w:val="00876D44"/>
    <w:rsid w:val="00885FED"/>
    <w:rsid w:val="008A2DB7"/>
    <w:rsid w:val="008B1157"/>
    <w:rsid w:val="008C1E04"/>
    <w:rsid w:val="008C45EF"/>
    <w:rsid w:val="008D7A26"/>
    <w:rsid w:val="008E1552"/>
    <w:rsid w:val="008E2B9B"/>
    <w:rsid w:val="008E3BD3"/>
    <w:rsid w:val="00915410"/>
    <w:rsid w:val="00915F30"/>
    <w:rsid w:val="009173CF"/>
    <w:rsid w:val="00927BDE"/>
    <w:rsid w:val="009406D3"/>
    <w:rsid w:val="0094675C"/>
    <w:rsid w:val="00956E7B"/>
    <w:rsid w:val="0095768B"/>
    <w:rsid w:val="00970D29"/>
    <w:rsid w:val="00974842"/>
    <w:rsid w:val="009811DA"/>
    <w:rsid w:val="009831AF"/>
    <w:rsid w:val="009B30A0"/>
    <w:rsid w:val="009B5D23"/>
    <w:rsid w:val="009D10C6"/>
    <w:rsid w:val="009F3E40"/>
    <w:rsid w:val="009F5178"/>
    <w:rsid w:val="009F545B"/>
    <w:rsid w:val="00A0532B"/>
    <w:rsid w:val="00A108EC"/>
    <w:rsid w:val="00A112A8"/>
    <w:rsid w:val="00A13061"/>
    <w:rsid w:val="00A14B35"/>
    <w:rsid w:val="00A17F9A"/>
    <w:rsid w:val="00A4254B"/>
    <w:rsid w:val="00A52F94"/>
    <w:rsid w:val="00A5388F"/>
    <w:rsid w:val="00A538D5"/>
    <w:rsid w:val="00A67570"/>
    <w:rsid w:val="00A73934"/>
    <w:rsid w:val="00A82CBF"/>
    <w:rsid w:val="00A901A1"/>
    <w:rsid w:val="00A971F0"/>
    <w:rsid w:val="00AA13C4"/>
    <w:rsid w:val="00AA3D70"/>
    <w:rsid w:val="00AA56A7"/>
    <w:rsid w:val="00AB5E83"/>
    <w:rsid w:val="00AD3564"/>
    <w:rsid w:val="00AD5395"/>
    <w:rsid w:val="00AF1B9D"/>
    <w:rsid w:val="00B00131"/>
    <w:rsid w:val="00B02614"/>
    <w:rsid w:val="00B1220B"/>
    <w:rsid w:val="00B27B5A"/>
    <w:rsid w:val="00B3085A"/>
    <w:rsid w:val="00B42012"/>
    <w:rsid w:val="00B43535"/>
    <w:rsid w:val="00B55FEE"/>
    <w:rsid w:val="00B67394"/>
    <w:rsid w:val="00B74DBE"/>
    <w:rsid w:val="00B756D8"/>
    <w:rsid w:val="00B863C0"/>
    <w:rsid w:val="00B936B4"/>
    <w:rsid w:val="00B976C5"/>
    <w:rsid w:val="00BA3ED6"/>
    <w:rsid w:val="00BA57D4"/>
    <w:rsid w:val="00BB1C34"/>
    <w:rsid w:val="00BB3C2A"/>
    <w:rsid w:val="00BD61B2"/>
    <w:rsid w:val="00BE2A8B"/>
    <w:rsid w:val="00BE57E4"/>
    <w:rsid w:val="00BE6BA7"/>
    <w:rsid w:val="00BF0D32"/>
    <w:rsid w:val="00C03E22"/>
    <w:rsid w:val="00C10751"/>
    <w:rsid w:val="00C11853"/>
    <w:rsid w:val="00C26F5A"/>
    <w:rsid w:val="00C31918"/>
    <w:rsid w:val="00C33005"/>
    <w:rsid w:val="00C4345F"/>
    <w:rsid w:val="00C500FA"/>
    <w:rsid w:val="00C51EAC"/>
    <w:rsid w:val="00C70BA1"/>
    <w:rsid w:val="00C95828"/>
    <w:rsid w:val="00CA6115"/>
    <w:rsid w:val="00CC7DE5"/>
    <w:rsid w:val="00D02401"/>
    <w:rsid w:val="00D11EDA"/>
    <w:rsid w:val="00D145DE"/>
    <w:rsid w:val="00D22DC9"/>
    <w:rsid w:val="00D26626"/>
    <w:rsid w:val="00D361C4"/>
    <w:rsid w:val="00D37FDB"/>
    <w:rsid w:val="00D41731"/>
    <w:rsid w:val="00D418CA"/>
    <w:rsid w:val="00D6489D"/>
    <w:rsid w:val="00D6718D"/>
    <w:rsid w:val="00D759F8"/>
    <w:rsid w:val="00D82C49"/>
    <w:rsid w:val="00D874D6"/>
    <w:rsid w:val="00D95138"/>
    <w:rsid w:val="00DA602F"/>
    <w:rsid w:val="00DA6FD0"/>
    <w:rsid w:val="00DC162E"/>
    <w:rsid w:val="00DC7715"/>
    <w:rsid w:val="00DC7EA0"/>
    <w:rsid w:val="00DD252D"/>
    <w:rsid w:val="00DE0242"/>
    <w:rsid w:val="00DE5BE0"/>
    <w:rsid w:val="00DF4EDE"/>
    <w:rsid w:val="00E00B35"/>
    <w:rsid w:val="00E02421"/>
    <w:rsid w:val="00E127FE"/>
    <w:rsid w:val="00E12C85"/>
    <w:rsid w:val="00E223EF"/>
    <w:rsid w:val="00E23248"/>
    <w:rsid w:val="00E2455F"/>
    <w:rsid w:val="00E25AA2"/>
    <w:rsid w:val="00E46856"/>
    <w:rsid w:val="00E522B3"/>
    <w:rsid w:val="00E54A4D"/>
    <w:rsid w:val="00E627A6"/>
    <w:rsid w:val="00E659D0"/>
    <w:rsid w:val="00E67580"/>
    <w:rsid w:val="00E7148D"/>
    <w:rsid w:val="00E73B23"/>
    <w:rsid w:val="00E76EC8"/>
    <w:rsid w:val="00E84613"/>
    <w:rsid w:val="00E94948"/>
    <w:rsid w:val="00EA15FC"/>
    <w:rsid w:val="00EA260B"/>
    <w:rsid w:val="00EB0D05"/>
    <w:rsid w:val="00ED321C"/>
    <w:rsid w:val="00EE3FF7"/>
    <w:rsid w:val="00EF623C"/>
    <w:rsid w:val="00F143D8"/>
    <w:rsid w:val="00F307C1"/>
    <w:rsid w:val="00F35160"/>
    <w:rsid w:val="00F53A7F"/>
    <w:rsid w:val="00F61194"/>
    <w:rsid w:val="00F63201"/>
    <w:rsid w:val="00F73C41"/>
    <w:rsid w:val="00F96D70"/>
    <w:rsid w:val="00FA7146"/>
    <w:rsid w:val="00FB1CC8"/>
    <w:rsid w:val="00FB57D4"/>
    <w:rsid w:val="00FC1F01"/>
    <w:rsid w:val="00FC45DB"/>
    <w:rsid w:val="00FD1C1E"/>
    <w:rsid w:val="00FE46F2"/>
    <w:rsid w:val="00FF6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A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6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footnote reference"/>
    <w:uiPriority w:val="99"/>
    <w:rsid w:val="00E659D0"/>
    <w:rPr>
      <w:vertAlign w:val="superscript"/>
    </w:rPr>
  </w:style>
  <w:style w:type="paragraph" w:styleId="a5">
    <w:name w:val="List Paragraph"/>
    <w:basedOn w:val="a"/>
    <w:uiPriority w:val="34"/>
    <w:qFormat/>
    <w:rsid w:val="00CA6115"/>
    <w:pPr>
      <w:ind w:left="720"/>
      <w:contextualSpacing/>
    </w:pPr>
  </w:style>
  <w:style w:type="paragraph" w:styleId="a6">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autoRedefine/>
    <w:uiPriority w:val="34"/>
    <w:qFormat/>
    <w:rsid w:val="003E5016"/>
    <w:pPr>
      <w:widowControl w:val="0"/>
      <w:tabs>
        <w:tab w:val="left" w:pos="7826"/>
        <w:tab w:val="right" w:pos="9356"/>
      </w:tabs>
      <w:overflowPunct w:val="0"/>
      <w:autoSpaceDE w:val="0"/>
      <w:autoSpaceDN w:val="0"/>
      <w:adjustRightInd w:val="0"/>
      <w:spacing w:after="0" w:line="240" w:lineRule="auto"/>
      <w:ind w:right="-1" w:firstLine="720"/>
      <w:contextualSpacing/>
      <w:jc w:val="right"/>
      <w:textAlignment w:val="baseline"/>
    </w:pPr>
    <w:rPr>
      <w:rFonts w:ascii="Times New Roman" w:eastAsia="Calibri" w:hAnsi="Times New Roman" w:cs="Times New Roman"/>
      <w:sz w:val="16"/>
      <w:szCs w:val="16"/>
      <w:lang w:eastAsia="ru-RU"/>
    </w:rPr>
  </w:style>
  <w:style w:type="paragraph" w:styleId="a7">
    <w:name w:val="Balloon Text"/>
    <w:basedOn w:val="a"/>
    <w:link w:val="a8"/>
    <w:uiPriority w:val="99"/>
    <w:semiHidden/>
    <w:unhideWhenUsed/>
    <w:rsid w:val="007F3C5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F3C51"/>
    <w:rPr>
      <w:rFonts w:ascii="Tahoma" w:hAnsi="Tahoma" w:cs="Tahoma"/>
      <w:sz w:val="16"/>
      <w:szCs w:val="16"/>
    </w:rPr>
  </w:style>
  <w:style w:type="paragraph" w:styleId="a9">
    <w:name w:val="header"/>
    <w:basedOn w:val="a"/>
    <w:link w:val="aa"/>
    <w:uiPriority w:val="99"/>
    <w:unhideWhenUsed/>
    <w:rsid w:val="007459A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459A7"/>
  </w:style>
  <w:style w:type="paragraph" w:styleId="ab">
    <w:name w:val="footer"/>
    <w:basedOn w:val="a"/>
    <w:link w:val="ac"/>
    <w:uiPriority w:val="99"/>
    <w:unhideWhenUsed/>
    <w:rsid w:val="007459A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459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A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6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footnote reference"/>
    <w:uiPriority w:val="99"/>
    <w:rsid w:val="00E659D0"/>
    <w:rPr>
      <w:vertAlign w:val="superscript"/>
    </w:rPr>
  </w:style>
  <w:style w:type="paragraph" w:styleId="a5">
    <w:name w:val="List Paragraph"/>
    <w:basedOn w:val="a"/>
    <w:uiPriority w:val="34"/>
    <w:qFormat/>
    <w:rsid w:val="00CA6115"/>
    <w:pPr>
      <w:ind w:left="720"/>
      <w:contextualSpacing/>
    </w:pPr>
  </w:style>
  <w:style w:type="paragraph" w:styleId="a6">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
    <w:autoRedefine/>
    <w:uiPriority w:val="34"/>
    <w:qFormat/>
    <w:rsid w:val="003E5016"/>
    <w:pPr>
      <w:widowControl w:val="0"/>
      <w:tabs>
        <w:tab w:val="left" w:pos="7826"/>
        <w:tab w:val="right" w:pos="9356"/>
      </w:tabs>
      <w:overflowPunct w:val="0"/>
      <w:autoSpaceDE w:val="0"/>
      <w:autoSpaceDN w:val="0"/>
      <w:adjustRightInd w:val="0"/>
      <w:spacing w:after="0" w:line="240" w:lineRule="auto"/>
      <w:ind w:right="-1" w:firstLine="720"/>
      <w:contextualSpacing/>
      <w:jc w:val="right"/>
      <w:textAlignment w:val="baseline"/>
    </w:pPr>
    <w:rPr>
      <w:rFonts w:ascii="Times New Roman" w:eastAsia="Calibri" w:hAnsi="Times New Roman" w:cs="Times New Roman"/>
      <w:sz w:val="16"/>
      <w:szCs w:val="16"/>
      <w:lang w:eastAsia="ru-RU"/>
    </w:rPr>
  </w:style>
  <w:style w:type="paragraph" w:styleId="a7">
    <w:name w:val="Balloon Text"/>
    <w:basedOn w:val="a"/>
    <w:link w:val="a8"/>
    <w:uiPriority w:val="99"/>
    <w:semiHidden/>
    <w:unhideWhenUsed/>
    <w:rsid w:val="007F3C5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F3C51"/>
    <w:rPr>
      <w:rFonts w:ascii="Tahoma" w:hAnsi="Tahoma" w:cs="Tahoma"/>
      <w:sz w:val="16"/>
      <w:szCs w:val="16"/>
    </w:rPr>
  </w:style>
  <w:style w:type="paragraph" w:styleId="a9">
    <w:name w:val="header"/>
    <w:basedOn w:val="a"/>
    <w:link w:val="aa"/>
    <w:uiPriority w:val="99"/>
    <w:unhideWhenUsed/>
    <w:rsid w:val="007459A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7459A7"/>
  </w:style>
  <w:style w:type="paragraph" w:styleId="ab">
    <w:name w:val="footer"/>
    <w:basedOn w:val="a"/>
    <w:link w:val="ac"/>
    <w:uiPriority w:val="99"/>
    <w:unhideWhenUsed/>
    <w:rsid w:val="007459A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745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007875">
      <w:bodyDiv w:val="1"/>
      <w:marLeft w:val="0"/>
      <w:marRight w:val="0"/>
      <w:marTop w:val="0"/>
      <w:marBottom w:val="0"/>
      <w:divBdr>
        <w:top w:val="none" w:sz="0" w:space="0" w:color="auto"/>
        <w:left w:val="none" w:sz="0" w:space="0" w:color="auto"/>
        <w:bottom w:val="none" w:sz="0" w:space="0" w:color="auto"/>
        <w:right w:val="none" w:sz="0" w:space="0" w:color="auto"/>
      </w:divBdr>
    </w:div>
    <w:div w:id="697043950">
      <w:bodyDiv w:val="1"/>
      <w:marLeft w:val="0"/>
      <w:marRight w:val="0"/>
      <w:marTop w:val="0"/>
      <w:marBottom w:val="0"/>
      <w:divBdr>
        <w:top w:val="none" w:sz="0" w:space="0" w:color="auto"/>
        <w:left w:val="none" w:sz="0" w:space="0" w:color="auto"/>
        <w:bottom w:val="none" w:sz="0" w:space="0" w:color="auto"/>
        <w:right w:val="none" w:sz="0" w:space="0" w:color="auto"/>
      </w:divBdr>
    </w:div>
    <w:div w:id="208845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oleObject" Target="file:///C:\Users\Zyablova_mm\Documents\&#1057;&#1055;&#1056;&#1060;\&#1054;&#1087;&#1077;&#1088;&#1072;&#1090;&#1080;&#1074;&#1085;&#1099;&#1077;%20&#1086;&#1090;&#1095;&#1077;&#1090;&#1099;%20(&#1077;&#1078;&#1077;&#1084;&#1077;&#1089;&#1103;&#1095;&#1085;&#1099;&#1077;)\2018%20&#1075;&#1086;&#1076;\&#1076;&#1077;&#1082;&#1072;&#1073;&#1088;&#1100;\&#1084;&#1086;&#1080;\&#1075;&#1088;&#1072;&#1092;&#1080;&#1082;&#1080;%20&#1076;&#1077;&#1082;&#1072;&#1073;&#1088;&#1100;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Zyablova_mm\Documents\&#1057;&#1055;&#1056;&#1060;\&#1054;&#1087;&#1077;&#1088;&#1072;&#1090;&#1080;&#1074;&#1085;&#1099;&#1077;%20&#1086;&#1090;&#1095;&#1077;&#1090;&#1099;%20(&#1077;&#1078;&#1077;&#1084;&#1077;&#1089;&#1103;&#1095;&#1085;&#1099;&#1077;)\2018%20&#1075;&#1086;&#1076;\&#1076;&#1077;&#1082;&#1072;&#1073;&#1088;&#1100;\&#1084;&#1086;&#1080;\&#1075;&#1088;&#1072;&#1092;&#1080;&#1082;&#1080;%20&#1076;&#1077;&#1082;&#1072;&#1073;&#1088;&#1100;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Zyablova_mm\Documents\&#1057;&#1055;&#1056;&#1060;\&#1054;&#1087;&#1077;&#1088;&#1072;&#1090;&#1080;&#1074;&#1085;&#1099;&#1077;%20&#1086;&#1090;&#1095;&#1077;&#1090;&#1099;%20(&#1077;&#1078;&#1077;&#1084;&#1077;&#1089;&#1103;&#1095;&#1085;&#1099;&#1077;)\2018%20&#1075;&#1086;&#1076;\&#1076;&#1077;&#1082;&#1072;&#1073;&#1088;&#1100;\&#1084;&#1086;&#1080;\&#1075;&#1088;&#1072;&#1092;&#1080;&#1082;&#1080;%20&#1076;&#1077;&#1082;&#1072;&#1073;&#1088;&#110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Zyablova_mm\Documents\&#1057;&#1055;&#1056;&#1060;\&#1054;&#1087;&#1077;&#1088;&#1072;&#1090;&#1080;&#1074;&#1085;&#1099;&#1077;%20&#1086;&#1090;&#1095;&#1077;&#1090;&#1099;%20(&#1077;&#1078;&#1077;&#1084;&#1077;&#1089;&#1103;&#1095;&#1085;&#1099;&#1077;)\2018%20&#1075;&#1086;&#1076;\&#1076;&#1077;&#1082;&#1072;&#1073;&#1088;&#1100;\&#1084;&#1086;&#1080;\&#1075;&#1088;&#1072;&#1092;&#1080;&#1082;&#1080;%20&#1076;&#1077;&#1082;&#1072;&#1073;&#1088;&#1100;2.xlsx" TargetMode="Externa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8.xml.rels><?xml version="1.0" encoding="UTF-8" standalone="yes"?>
<Relationships xmlns="http://schemas.openxmlformats.org/package/2006/relationships"><Relationship Id="rId1" Type="http://schemas.openxmlformats.org/officeDocument/2006/relationships/oleObject" Target="file:///C:\Users\Vinogradov_PV\Desktop\&#1052;&#1072;&#1090;&#1077;&#1088;&#1080;&#1072;&#1083;&#1099;\2019\&#1041;&#1102;&#1076;&#1078;&#1077;&#1090;\&#1048;&#1089;&#1087;&#1086;&#1083;&#1085;&#1077;&#1085;&#1080;&#1077;%202018\&#1073;&#1102;&#1076;&#1078;&#1077;&#1090;%202018\&#1052;&#1072;&#1090;&#1077;&#1088;&#1080;&#1072;&#1083;&#1099;\&#1075;&#1088;&#1072;&#1092;&#1080;&#1082;&#108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9"/>
      <c:rotY val="20"/>
      <c:depthPercent val="100"/>
      <c:rAngAx val="1"/>
    </c:view3D>
    <c:floor>
      <c:thickness val="0"/>
    </c:floor>
    <c:sideWall>
      <c:thickness val="0"/>
    </c:sideWall>
    <c:backWall>
      <c:thickness val="0"/>
    </c:backWall>
    <c:plotArea>
      <c:layout>
        <c:manualLayout>
          <c:layoutTarget val="inner"/>
          <c:xMode val="edge"/>
          <c:yMode val="edge"/>
          <c:x val="9.4826525590551186E-2"/>
          <c:y val="4.0026716342365758E-2"/>
          <c:w val="0.88243868604966047"/>
          <c:h val="0.76493021282325879"/>
        </c:manualLayout>
      </c:layout>
      <c:bar3DChart>
        <c:barDir val="col"/>
        <c:grouping val="clustered"/>
        <c:varyColors val="0"/>
        <c:ser>
          <c:idx val="0"/>
          <c:order val="0"/>
          <c:tx>
            <c:strRef>
              <c:f>Лист1!$A$5</c:f>
              <c:strCache>
                <c:ptCount val="1"/>
                <c:pt idx="0">
                  <c:v>Источники финансирования дефицита федерального бюджета</c:v>
                </c:pt>
              </c:strCache>
            </c:strRef>
          </c:tx>
          <c:invertIfNegative val="0"/>
          <c:dLbls>
            <c:dLbl>
              <c:idx val="0"/>
              <c:layout>
                <c:manualLayout>
                  <c:x val="5.9702401042968523E-3"/>
                  <c:y val="-2.7881659709415706E-2"/>
                </c:manualLayout>
              </c:layout>
              <c:showLegendKey val="0"/>
              <c:showVal val="1"/>
              <c:showCatName val="0"/>
              <c:showSerName val="0"/>
              <c:showPercent val="0"/>
              <c:showBubbleSize val="0"/>
            </c:dLbl>
            <c:dLbl>
              <c:idx val="1"/>
              <c:layout>
                <c:manualLayout>
                  <c:x val="1.7724890047742598E-2"/>
                  <c:y val="-2.8981854519204226E-2"/>
                </c:manualLayout>
              </c:layout>
              <c:showLegendKey val="0"/>
              <c:showVal val="1"/>
              <c:showCatName val="0"/>
              <c:showSerName val="0"/>
              <c:showPercent val="0"/>
              <c:showBubbleSize val="0"/>
            </c:dLbl>
            <c:dLbl>
              <c:idx val="2"/>
              <c:layout>
                <c:manualLayout>
                  <c:x val="1.5850001159426263E-2"/>
                  <c:y val="-2.2541695963357575E-2"/>
                </c:manualLayout>
              </c:layout>
              <c:showLegendKey val="0"/>
              <c:showVal val="1"/>
              <c:showCatName val="0"/>
              <c:showSerName val="0"/>
              <c:showPercent val="0"/>
              <c:showBubbleSize val="0"/>
            </c:dLbl>
            <c:dLbl>
              <c:idx val="3"/>
              <c:layout>
                <c:manualLayout>
                  <c:x val="1.8018128273769033E-2"/>
                  <c:y val="0.39021518836810859"/>
                </c:manualLayout>
              </c:layout>
              <c:showLegendKey val="0"/>
              <c:showVal val="1"/>
              <c:showCatName val="0"/>
              <c:showSerName val="0"/>
              <c:showPercent val="0"/>
              <c:showBubbleSize val="0"/>
            </c:dLbl>
            <c:dLbl>
              <c:idx val="4"/>
              <c:layout>
                <c:manualLayout>
                  <c:x val="-5.6245502020631421E-3"/>
                  <c:y val="-2.6505513146734519E-3"/>
                </c:manualLayout>
              </c:layout>
              <c:showLegendKey val="0"/>
              <c:showVal val="1"/>
              <c:showCatName val="0"/>
              <c:showSerName val="0"/>
              <c:showPercent val="0"/>
              <c:showBubbleSize val="0"/>
            </c:dLbl>
            <c:dLbl>
              <c:idx val="5"/>
              <c:layout>
                <c:manualLayout>
                  <c:x val="3.7497001347087154E-3"/>
                  <c:y val="-1.2148219854980909E-17"/>
                </c:manualLayout>
              </c:layout>
              <c:showLegendKey val="0"/>
              <c:showVal val="1"/>
              <c:showCatName val="0"/>
              <c:showSerName val="0"/>
              <c:showPercent val="0"/>
              <c:showBubbleSize val="0"/>
            </c:dLbl>
            <c:dLbl>
              <c:idx val="6"/>
              <c:layout>
                <c:manualLayout>
                  <c:x val="1.0251585953394749E-2"/>
                  <c:y val="0.36461922891743803"/>
                </c:manualLayout>
              </c:layout>
              <c:showLegendKey val="0"/>
              <c:showVal val="1"/>
              <c:showCatName val="0"/>
              <c:showSerName val="0"/>
              <c:showPercent val="0"/>
              <c:showBubbleSize val="0"/>
            </c:dLbl>
            <c:txPr>
              <a:bodyPr/>
              <a:lstStyle/>
              <a:p>
                <a:pPr>
                  <a:defRPr sz="1000"/>
                </a:pPr>
                <a:endParaRPr lang="ru-RU"/>
              </a:p>
            </c:txPr>
            <c:showLegendKey val="0"/>
            <c:showVal val="1"/>
            <c:showCatName val="0"/>
            <c:showSerName val="0"/>
            <c:showPercent val="0"/>
            <c:showBubbleSize val="0"/>
            <c:showLeaderLines val="0"/>
          </c:dLbls>
          <c:cat>
            <c:numRef>
              <c:f>Лист1!$B$4:$H$4</c:f>
              <c:numCache>
                <c:formatCode>General</c:formatCode>
                <c:ptCount val="4"/>
                <c:pt idx="0">
                  <c:v>2015</c:v>
                </c:pt>
                <c:pt idx="1">
                  <c:v>2016</c:v>
                </c:pt>
                <c:pt idx="2">
                  <c:v>2017</c:v>
                </c:pt>
                <c:pt idx="3">
                  <c:v>2018</c:v>
                </c:pt>
              </c:numCache>
            </c:numRef>
          </c:cat>
          <c:val>
            <c:numRef>
              <c:f>Лист1!$B$5:$H$5</c:f>
              <c:numCache>
                <c:formatCode>#,##0.0</c:formatCode>
                <c:ptCount val="4"/>
                <c:pt idx="0">
                  <c:v>1961</c:v>
                </c:pt>
                <c:pt idx="1">
                  <c:v>2956.4</c:v>
                </c:pt>
                <c:pt idx="2">
                  <c:v>1331.4</c:v>
                </c:pt>
                <c:pt idx="3">
                  <c:v>-2741.3663000000001</c:v>
                </c:pt>
              </c:numCache>
            </c:numRef>
          </c:val>
        </c:ser>
        <c:ser>
          <c:idx val="1"/>
          <c:order val="1"/>
          <c:tx>
            <c:strRef>
              <c:f>Лист1!$A$6</c:f>
              <c:strCache>
                <c:ptCount val="1"/>
                <c:pt idx="0">
                  <c:v>Источники внутреннего финансирования дефицита федерального бюджета</c:v>
                </c:pt>
              </c:strCache>
            </c:strRef>
          </c:tx>
          <c:spPr>
            <a:pattFill prst="ltDnDiag">
              <a:fgClr>
                <a:schemeClr val="accent1"/>
              </a:fgClr>
              <a:bgClr>
                <a:schemeClr val="bg1"/>
              </a:bgClr>
            </a:pattFill>
          </c:spPr>
          <c:invertIfNegative val="0"/>
          <c:dLbls>
            <c:dLbl>
              <c:idx val="0"/>
              <c:layout>
                <c:manualLayout>
                  <c:x val="1.8508468964735406E-2"/>
                  <c:y val="-3.0452753364925162E-2"/>
                </c:manualLayout>
              </c:layout>
              <c:showLegendKey val="0"/>
              <c:showVal val="1"/>
              <c:showCatName val="0"/>
              <c:showSerName val="0"/>
              <c:showPercent val="0"/>
              <c:showBubbleSize val="0"/>
            </c:dLbl>
            <c:dLbl>
              <c:idx val="1"/>
              <c:layout>
                <c:manualLayout>
                  <c:x val="2.5745382262839359E-2"/>
                  <c:y val="-1.8777858268842571E-2"/>
                </c:manualLayout>
              </c:layout>
              <c:showLegendKey val="0"/>
              <c:showVal val="1"/>
              <c:showCatName val="0"/>
              <c:showSerName val="0"/>
              <c:showPercent val="0"/>
              <c:showBubbleSize val="0"/>
            </c:dLbl>
            <c:dLbl>
              <c:idx val="2"/>
              <c:layout>
                <c:manualLayout>
                  <c:x val="2.5054074352718083E-2"/>
                  <c:y val="-3.1632312308261454E-2"/>
                </c:manualLayout>
              </c:layout>
              <c:showLegendKey val="0"/>
              <c:showVal val="1"/>
              <c:showCatName val="0"/>
              <c:showSerName val="0"/>
              <c:showPercent val="0"/>
              <c:showBubbleSize val="0"/>
            </c:dLbl>
            <c:dLbl>
              <c:idx val="3"/>
              <c:layout>
                <c:manualLayout>
                  <c:x val="2.3860187363284321E-2"/>
                  <c:y val="0.37032395019380826"/>
                </c:manualLayout>
              </c:layout>
              <c:showLegendKey val="0"/>
              <c:showVal val="1"/>
              <c:showCatName val="0"/>
              <c:showSerName val="0"/>
              <c:showPercent val="0"/>
              <c:showBubbleSize val="0"/>
            </c:dLbl>
            <c:dLbl>
              <c:idx val="4"/>
              <c:layout>
                <c:manualLayout>
                  <c:x val="1.9626042086086985E-2"/>
                  <c:y val="-2.6504772103930693E-3"/>
                </c:manualLayout>
              </c:layout>
              <c:showLegendKey val="0"/>
              <c:showVal val="1"/>
              <c:showCatName val="0"/>
              <c:showSerName val="0"/>
              <c:showPercent val="0"/>
              <c:showBubbleSize val="0"/>
            </c:dLbl>
            <c:dLbl>
              <c:idx val="5"/>
              <c:layout>
                <c:manualLayout>
                  <c:x val="2.437305087560665E-2"/>
                  <c:y val="-1.0602205258693808E-2"/>
                </c:manualLayout>
              </c:layout>
              <c:showLegendKey val="0"/>
              <c:showVal val="1"/>
              <c:showCatName val="0"/>
              <c:showSerName val="0"/>
              <c:showPercent val="0"/>
              <c:showBubbleSize val="0"/>
            </c:dLbl>
            <c:dLbl>
              <c:idx val="6"/>
              <c:layout>
                <c:manualLayout>
                  <c:x val="1.7575692606439777E-2"/>
                  <c:y val="0.37752582322445083"/>
                </c:manualLayout>
              </c:layout>
              <c:showLegendKey val="0"/>
              <c:showVal val="1"/>
              <c:showCatName val="0"/>
              <c:showSerName val="0"/>
              <c:showPercent val="0"/>
              <c:showBubbleSize val="0"/>
            </c:dLbl>
            <c:txPr>
              <a:bodyPr/>
              <a:lstStyle/>
              <a:p>
                <a:pPr>
                  <a:defRPr sz="1000"/>
                </a:pPr>
                <a:endParaRPr lang="ru-RU"/>
              </a:p>
            </c:txPr>
            <c:showLegendKey val="0"/>
            <c:showVal val="1"/>
            <c:showCatName val="0"/>
            <c:showSerName val="0"/>
            <c:showPercent val="0"/>
            <c:showBubbleSize val="0"/>
            <c:showLeaderLines val="0"/>
          </c:dLbls>
          <c:cat>
            <c:numRef>
              <c:f>Лист1!$B$4:$H$4</c:f>
              <c:numCache>
                <c:formatCode>General</c:formatCode>
                <c:ptCount val="4"/>
                <c:pt idx="0">
                  <c:v>2015</c:v>
                </c:pt>
                <c:pt idx="1">
                  <c:v>2016</c:v>
                </c:pt>
                <c:pt idx="2">
                  <c:v>2017</c:v>
                </c:pt>
                <c:pt idx="3">
                  <c:v>2018</c:v>
                </c:pt>
              </c:numCache>
            </c:numRef>
          </c:cat>
          <c:val>
            <c:numRef>
              <c:f>Лист1!$B$6:$H$6</c:f>
              <c:numCache>
                <c:formatCode>#,##0.0</c:formatCode>
                <c:ptCount val="4"/>
                <c:pt idx="0">
                  <c:v>2257</c:v>
                </c:pt>
                <c:pt idx="1">
                  <c:v>2913.6</c:v>
                </c:pt>
                <c:pt idx="2">
                  <c:v>1457.7</c:v>
                </c:pt>
                <c:pt idx="3">
                  <c:v>-2606.1889000000001</c:v>
                </c:pt>
              </c:numCache>
            </c:numRef>
          </c:val>
        </c:ser>
        <c:ser>
          <c:idx val="2"/>
          <c:order val="2"/>
          <c:tx>
            <c:strRef>
              <c:f>Лист1!$A$7</c:f>
              <c:strCache>
                <c:ptCount val="1"/>
                <c:pt idx="0">
                  <c:v>Источники внешнего финансирования дефицита федерального бюджета</c:v>
                </c:pt>
              </c:strCache>
            </c:strRef>
          </c:tx>
          <c:spPr>
            <a:solidFill>
              <a:schemeClr val="accent3">
                <a:lumMod val="60000"/>
                <a:lumOff val="40000"/>
              </a:schemeClr>
            </a:solidFill>
            <a:ln>
              <a:solidFill>
                <a:schemeClr val="tx2">
                  <a:lumMod val="75000"/>
                </a:schemeClr>
              </a:solidFill>
            </a:ln>
          </c:spPr>
          <c:invertIfNegative val="0"/>
          <c:dLbls>
            <c:dLbl>
              <c:idx val="0"/>
              <c:layout>
                <c:manualLayout>
                  <c:x val="5.8002287996285476E-3"/>
                  <c:y val="-4.6078464999702055E-3"/>
                </c:manualLayout>
              </c:layout>
              <c:showLegendKey val="0"/>
              <c:showVal val="1"/>
              <c:showCatName val="0"/>
              <c:showSerName val="0"/>
              <c:showPercent val="0"/>
              <c:showBubbleSize val="0"/>
            </c:dLbl>
            <c:dLbl>
              <c:idx val="1"/>
              <c:layout>
                <c:manualLayout>
                  <c:x val="7.6747648475169999E-3"/>
                  <c:y val="-6.4536782612341029E-3"/>
                </c:manualLayout>
              </c:layout>
              <c:showLegendKey val="0"/>
              <c:showVal val="1"/>
              <c:showCatName val="0"/>
              <c:showSerName val="0"/>
              <c:showPercent val="0"/>
              <c:showBubbleSize val="0"/>
            </c:dLbl>
            <c:dLbl>
              <c:idx val="2"/>
              <c:layout>
                <c:manualLayout>
                  <c:x val="9.3742503367717882E-3"/>
                  <c:y val="0"/>
                </c:manualLayout>
              </c:layout>
              <c:showLegendKey val="0"/>
              <c:showVal val="1"/>
              <c:showCatName val="0"/>
              <c:showSerName val="0"/>
              <c:showPercent val="0"/>
              <c:showBubbleSize val="0"/>
            </c:dLbl>
            <c:dLbl>
              <c:idx val="3"/>
              <c:layout>
                <c:manualLayout>
                  <c:x val="2.454618123636064E-2"/>
                  <c:y val="7.1460682932172571E-3"/>
                </c:manualLayout>
              </c:layout>
              <c:showLegendKey val="0"/>
              <c:showVal val="1"/>
              <c:showCatName val="0"/>
              <c:showSerName val="0"/>
              <c:showPercent val="0"/>
              <c:showBubbleSize val="0"/>
            </c:dLbl>
            <c:dLbl>
              <c:idx val="4"/>
              <c:layout>
                <c:manualLayout>
                  <c:x val="9.9007663140818977E-3"/>
                  <c:y val="4.7295469010225121E-3"/>
                </c:manualLayout>
              </c:layout>
              <c:showLegendKey val="0"/>
              <c:showVal val="1"/>
              <c:showCatName val="0"/>
              <c:showSerName val="0"/>
              <c:showPercent val="0"/>
              <c:showBubbleSize val="0"/>
            </c:dLbl>
            <c:dLbl>
              <c:idx val="5"/>
              <c:layout>
                <c:manualLayout>
                  <c:x val="-1.0953709566543204E-2"/>
                  <c:y val="-1.4981090704909498E-2"/>
                </c:manualLayout>
              </c:layout>
              <c:showLegendKey val="0"/>
              <c:showVal val="1"/>
              <c:showCatName val="0"/>
              <c:showSerName val="0"/>
              <c:showPercent val="0"/>
              <c:showBubbleSize val="0"/>
            </c:dLbl>
            <c:dLbl>
              <c:idx val="6"/>
              <c:layout>
                <c:manualLayout>
                  <c:x val="2.2202863191964697E-2"/>
                  <c:y val="1.1524951758113466E-2"/>
                </c:manualLayout>
              </c:layout>
              <c:showLegendKey val="0"/>
              <c:showVal val="1"/>
              <c:showCatName val="0"/>
              <c:showSerName val="0"/>
              <c:showPercent val="0"/>
              <c:showBubbleSize val="0"/>
            </c:dLbl>
            <c:txPr>
              <a:bodyPr/>
              <a:lstStyle/>
              <a:p>
                <a:pPr>
                  <a:defRPr sz="1000"/>
                </a:pPr>
                <a:endParaRPr lang="ru-RU"/>
              </a:p>
            </c:txPr>
            <c:showLegendKey val="0"/>
            <c:showVal val="1"/>
            <c:showCatName val="0"/>
            <c:showSerName val="0"/>
            <c:showPercent val="0"/>
            <c:showBubbleSize val="0"/>
            <c:showLeaderLines val="0"/>
          </c:dLbls>
          <c:cat>
            <c:numRef>
              <c:f>Лист1!$B$4:$H$4</c:f>
              <c:numCache>
                <c:formatCode>General</c:formatCode>
                <c:ptCount val="4"/>
                <c:pt idx="0">
                  <c:v>2015</c:v>
                </c:pt>
                <c:pt idx="1">
                  <c:v>2016</c:v>
                </c:pt>
                <c:pt idx="2">
                  <c:v>2017</c:v>
                </c:pt>
                <c:pt idx="3">
                  <c:v>2018</c:v>
                </c:pt>
              </c:numCache>
            </c:numRef>
          </c:cat>
          <c:val>
            <c:numRef>
              <c:f>Лист1!$B$7:$H$7</c:f>
              <c:numCache>
                <c:formatCode>#,##0.0</c:formatCode>
                <c:ptCount val="4"/>
                <c:pt idx="0">
                  <c:v>-296</c:v>
                </c:pt>
                <c:pt idx="1">
                  <c:v>42.8</c:v>
                </c:pt>
                <c:pt idx="2">
                  <c:v>-126.3</c:v>
                </c:pt>
                <c:pt idx="3">
                  <c:v>-135.17740000000001</c:v>
                </c:pt>
              </c:numCache>
            </c:numRef>
          </c:val>
        </c:ser>
        <c:dLbls>
          <c:showLegendKey val="0"/>
          <c:showVal val="1"/>
          <c:showCatName val="0"/>
          <c:showSerName val="0"/>
          <c:showPercent val="0"/>
          <c:showBubbleSize val="0"/>
        </c:dLbls>
        <c:gapWidth val="0"/>
        <c:gapDepth val="0"/>
        <c:shape val="box"/>
        <c:axId val="137183232"/>
        <c:axId val="42906688"/>
        <c:axId val="0"/>
      </c:bar3DChart>
      <c:catAx>
        <c:axId val="137183232"/>
        <c:scaling>
          <c:orientation val="minMax"/>
        </c:scaling>
        <c:delete val="0"/>
        <c:axPos val="b"/>
        <c:numFmt formatCode="General" sourceLinked="1"/>
        <c:majorTickMark val="none"/>
        <c:minorTickMark val="none"/>
        <c:tickLblPos val="low"/>
        <c:txPr>
          <a:bodyPr rot="0" vert="horz"/>
          <a:lstStyle/>
          <a:p>
            <a:pPr>
              <a:defRPr/>
            </a:pPr>
            <a:endParaRPr lang="ru-RU"/>
          </a:p>
        </c:txPr>
        <c:crossAx val="42906688"/>
        <c:crosses val="autoZero"/>
        <c:auto val="1"/>
        <c:lblAlgn val="ctr"/>
        <c:lblOffset val="100"/>
        <c:tickLblSkip val="1"/>
        <c:tickMarkSkip val="1"/>
        <c:noMultiLvlLbl val="0"/>
      </c:catAx>
      <c:valAx>
        <c:axId val="42906688"/>
        <c:scaling>
          <c:orientation val="minMax"/>
        </c:scaling>
        <c:delete val="0"/>
        <c:axPos val="l"/>
        <c:numFmt formatCode="#,##0.0" sourceLinked="1"/>
        <c:majorTickMark val="out"/>
        <c:minorTickMark val="none"/>
        <c:tickLblPos val="nextTo"/>
        <c:txPr>
          <a:bodyPr rot="0" vert="horz"/>
          <a:lstStyle/>
          <a:p>
            <a:pPr>
              <a:defRPr/>
            </a:pPr>
            <a:endParaRPr lang="ru-RU"/>
          </a:p>
        </c:txPr>
        <c:crossAx val="137183232"/>
        <c:crosses val="autoZero"/>
        <c:crossBetween val="between"/>
      </c:valAx>
    </c:plotArea>
    <c:legend>
      <c:legendPos val="b"/>
      <c:layout>
        <c:manualLayout>
          <c:xMode val="edge"/>
          <c:yMode val="edge"/>
          <c:x val="6.1894077331433012E-2"/>
          <c:y val="0.86000521121300499"/>
          <c:w val="0.88454317710439989"/>
          <c:h val="0.12065489551931645"/>
        </c:manualLayout>
      </c:layout>
      <c:overlay val="0"/>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0323508700580291E-2"/>
          <c:y val="0.1111111111111111"/>
          <c:w val="0.9495853620879886"/>
          <c:h val="0.5121656667916511"/>
        </c:manualLayout>
      </c:layout>
      <c:barChart>
        <c:barDir val="col"/>
        <c:grouping val="clustered"/>
        <c:varyColors val="0"/>
        <c:ser>
          <c:idx val="0"/>
          <c:order val="0"/>
          <c:tx>
            <c:strRef>
              <c:f>'займы динамика по годам'!$E$6</c:f>
              <c:strCache>
                <c:ptCount val="1"/>
                <c:pt idx="0">
                  <c:v>Плановое сальдо размещения и погашения ценных бумаг в валюте Российской Федерации</c:v>
                </c:pt>
              </c:strCache>
            </c:strRef>
          </c:tx>
          <c:invertIfNegative val="0"/>
          <c:dLbls>
            <c:showLegendKey val="0"/>
            <c:showVal val="1"/>
            <c:showCatName val="0"/>
            <c:showSerName val="0"/>
            <c:showPercent val="0"/>
            <c:showBubbleSize val="0"/>
            <c:showLeaderLines val="0"/>
          </c:dLbls>
          <c:cat>
            <c:numRef>
              <c:f>'займы динамика по годам'!$F$5:$M$5</c:f>
              <c:numCache>
                <c:formatCode>General</c:formatCode>
                <c:ptCount val="4"/>
                <c:pt idx="0">
                  <c:v>2015</c:v>
                </c:pt>
                <c:pt idx="1">
                  <c:v>2016</c:v>
                </c:pt>
                <c:pt idx="2">
                  <c:v>2017</c:v>
                </c:pt>
                <c:pt idx="3">
                  <c:v>2018</c:v>
                </c:pt>
              </c:numCache>
            </c:numRef>
          </c:cat>
          <c:val>
            <c:numRef>
              <c:f>'займы динамика по годам'!$F$6:$M$6</c:f>
              <c:numCache>
                <c:formatCode>#,##0.0</c:formatCode>
                <c:ptCount val="4"/>
                <c:pt idx="0">
                  <c:v>80</c:v>
                </c:pt>
                <c:pt idx="1">
                  <c:v>500</c:v>
                </c:pt>
                <c:pt idx="2">
                  <c:v>1123.9000000000001</c:v>
                </c:pt>
                <c:pt idx="3">
                  <c:v>661.8</c:v>
                </c:pt>
              </c:numCache>
            </c:numRef>
          </c:val>
        </c:ser>
        <c:ser>
          <c:idx val="1"/>
          <c:order val="1"/>
          <c:tx>
            <c:strRef>
              <c:f>'займы динамика по годам'!$E$7</c:f>
              <c:strCache>
                <c:ptCount val="1"/>
                <c:pt idx="0">
                  <c:v>Сальдо размещения и погашения ценных бумаг в валюте Российской Федерации</c:v>
                </c:pt>
              </c:strCache>
            </c:strRef>
          </c:tx>
          <c:spPr>
            <a:pattFill prst="ltDnDiag">
              <a:fgClr>
                <a:schemeClr val="tx2">
                  <a:lumMod val="60000"/>
                  <a:lumOff val="40000"/>
                </a:schemeClr>
              </a:fgClr>
              <a:bgClr>
                <a:schemeClr val="tx2">
                  <a:lumMod val="20000"/>
                  <a:lumOff val="80000"/>
                </a:schemeClr>
              </a:bgClr>
            </a:pattFill>
          </c:spPr>
          <c:invertIfNegative val="0"/>
          <c:dLbls>
            <c:showLegendKey val="0"/>
            <c:showVal val="1"/>
            <c:showCatName val="0"/>
            <c:showSerName val="0"/>
            <c:showPercent val="0"/>
            <c:showBubbleSize val="0"/>
            <c:showLeaderLines val="0"/>
          </c:dLbls>
          <c:cat>
            <c:numRef>
              <c:f>'займы динамика по годам'!$F$5:$M$5</c:f>
              <c:numCache>
                <c:formatCode>General</c:formatCode>
                <c:ptCount val="4"/>
                <c:pt idx="0">
                  <c:v>2015</c:v>
                </c:pt>
                <c:pt idx="1">
                  <c:v>2016</c:v>
                </c:pt>
                <c:pt idx="2">
                  <c:v>2017</c:v>
                </c:pt>
                <c:pt idx="3">
                  <c:v>2018</c:v>
                </c:pt>
              </c:numCache>
            </c:numRef>
          </c:cat>
          <c:val>
            <c:numRef>
              <c:f>'займы динамика по годам'!$F$7:$M$7</c:f>
              <c:numCache>
                <c:formatCode>#,##0.0</c:formatCode>
                <c:ptCount val="4"/>
                <c:pt idx="0">
                  <c:v>15.272099999999977</c:v>
                </c:pt>
                <c:pt idx="1">
                  <c:v>492.42099999999988</c:v>
                </c:pt>
                <c:pt idx="2">
                  <c:v>1123.479</c:v>
                </c:pt>
                <c:pt idx="3">
                  <c:v>507.53590000000003</c:v>
                </c:pt>
              </c:numCache>
            </c:numRef>
          </c:val>
        </c:ser>
        <c:ser>
          <c:idx val="2"/>
          <c:order val="2"/>
          <c:tx>
            <c:strRef>
              <c:f>'займы динамика по годам'!$E$8</c:f>
              <c:strCache>
                <c:ptCount val="1"/>
                <c:pt idx="0">
                  <c:v>Плановый объем размещения</c:v>
                </c:pt>
              </c:strCache>
            </c:strRef>
          </c:tx>
          <c:invertIfNegative val="0"/>
          <c:dLbls>
            <c:showLegendKey val="0"/>
            <c:showVal val="1"/>
            <c:showCatName val="0"/>
            <c:showSerName val="0"/>
            <c:showPercent val="0"/>
            <c:showBubbleSize val="0"/>
            <c:showLeaderLines val="0"/>
          </c:dLbls>
          <c:cat>
            <c:numRef>
              <c:f>'займы динамика по годам'!$F$5:$M$5</c:f>
              <c:numCache>
                <c:formatCode>General</c:formatCode>
                <c:ptCount val="4"/>
                <c:pt idx="0">
                  <c:v>2015</c:v>
                </c:pt>
                <c:pt idx="1">
                  <c:v>2016</c:v>
                </c:pt>
                <c:pt idx="2">
                  <c:v>2017</c:v>
                </c:pt>
                <c:pt idx="3">
                  <c:v>2018</c:v>
                </c:pt>
              </c:numCache>
            </c:numRef>
          </c:cat>
          <c:val>
            <c:numRef>
              <c:f>'займы динамика по годам'!$F$8:$M$8</c:f>
              <c:numCache>
                <c:formatCode>#,##0.0</c:formatCode>
                <c:ptCount val="4"/>
                <c:pt idx="0">
                  <c:v>900.8</c:v>
                </c:pt>
                <c:pt idx="1">
                  <c:v>1199.5</c:v>
                </c:pt>
                <c:pt idx="2">
                  <c:v>1952.6</c:v>
                </c:pt>
                <c:pt idx="3">
                  <c:v>1192.9000000000001</c:v>
                </c:pt>
              </c:numCache>
            </c:numRef>
          </c:val>
        </c:ser>
        <c:ser>
          <c:idx val="3"/>
          <c:order val="3"/>
          <c:tx>
            <c:strRef>
              <c:f>'займы динамика по годам'!$E$9</c:f>
              <c:strCache>
                <c:ptCount val="1"/>
                <c:pt idx="0">
                  <c:v>Размещено государственных ценных бумаг</c:v>
                </c:pt>
              </c:strCache>
            </c:strRef>
          </c:tx>
          <c:spPr>
            <a:pattFill prst="ltUpDiag">
              <a:fgClr>
                <a:schemeClr val="accent3">
                  <a:lumMod val="75000"/>
                </a:schemeClr>
              </a:fgClr>
              <a:bgClr>
                <a:schemeClr val="accent3">
                  <a:lumMod val="20000"/>
                  <a:lumOff val="80000"/>
                </a:schemeClr>
              </a:bgClr>
            </a:pattFill>
          </c:spPr>
          <c:invertIfNegative val="0"/>
          <c:dLbls>
            <c:dLbl>
              <c:idx val="5"/>
              <c:layout>
                <c:manualLayout>
                  <c:x val="1.641025641025641E-2"/>
                  <c:y val="4.6296296296296294E-3"/>
                </c:manualLayout>
              </c:layout>
              <c:showLegendKey val="0"/>
              <c:showVal val="1"/>
              <c:showCatName val="0"/>
              <c:showSerName val="0"/>
              <c:showPercent val="0"/>
              <c:showBubbleSize val="0"/>
            </c:dLbl>
            <c:txPr>
              <a:bodyPr/>
              <a:lstStyle/>
              <a:p>
                <a:pPr>
                  <a:defRPr>
                    <a:solidFill>
                      <a:srgbClr val="FF0000"/>
                    </a:solidFill>
                  </a:defRPr>
                </a:pPr>
                <a:endParaRPr lang="ru-RU"/>
              </a:p>
            </c:txPr>
            <c:showLegendKey val="0"/>
            <c:showVal val="1"/>
            <c:showCatName val="0"/>
            <c:showSerName val="0"/>
            <c:showPercent val="0"/>
            <c:showBubbleSize val="0"/>
            <c:showLeaderLines val="0"/>
          </c:dLbls>
          <c:cat>
            <c:numRef>
              <c:f>'займы динамика по годам'!$F$5:$M$5</c:f>
              <c:numCache>
                <c:formatCode>General</c:formatCode>
                <c:ptCount val="4"/>
                <c:pt idx="0">
                  <c:v>2015</c:v>
                </c:pt>
                <c:pt idx="1">
                  <c:v>2016</c:v>
                </c:pt>
                <c:pt idx="2">
                  <c:v>2017</c:v>
                </c:pt>
                <c:pt idx="3">
                  <c:v>2018</c:v>
                </c:pt>
              </c:numCache>
            </c:numRef>
          </c:cat>
          <c:val>
            <c:numRef>
              <c:f>'займы динамика по годам'!$F$9:$M$9</c:f>
              <c:numCache>
                <c:formatCode>#,##0.0</c:formatCode>
                <c:ptCount val="4"/>
                <c:pt idx="0">
                  <c:v>836.02390000000003</c:v>
                </c:pt>
                <c:pt idx="1">
                  <c:v>1054.9139</c:v>
                </c:pt>
                <c:pt idx="2">
                  <c:v>1756.4304</c:v>
                </c:pt>
                <c:pt idx="3">
                  <c:v>1036.575</c:v>
                </c:pt>
              </c:numCache>
            </c:numRef>
          </c:val>
        </c:ser>
        <c:dLbls>
          <c:showLegendKey val="0"/>
          <c:showVal val="0"/>
          <c:showCatName val="0"/>
          <c:showSerName val="0"/>
          <c:showPercent val="0"/>
          <c:showBubbleSize val="0"/>
        </c:dLbls>
        <c:gapWidth val="150"/>
        <c:axId val="162305536"/>
        <c:axId val="43331520"/>
      </c:barChart>
      <c:lineChart>
        <c:grouping val="standard"/>
        <c:varyColors val="0"/>
        <c:ser>
          <c:idx val="4"/>
          <c:order val="4"/>
          <c:tx>
            <c:v> </c:v>
          </c:tx>
          <c:spPr>
            <a:ln>
              <a:solidFill>
                <a:schemeClr val="bg1"/>
              </a:solidFill>
            </a:ln>
          </c:spPr>
          <c:marker>
            <c:symbol val="none"/>
          </c:marker>
          <c:val>
            <c:numLit>
              <c:formatCode>General</c:formatCode>
              <c:ptCount val="1"/>
              <c:pt idx="0">
                <c:v>1</c:v>
              </c:pt>
            </c:numLit>
          </c:val>
          <c:smooth val="0"/>
        </c:ser>
        <c:dLbls>
          <c:showLegendKey val="0"/>
          <c:showVal val="0"/>
          <c:showCatName val="0"/>
          <c:showSerName val="0"/>
          <c:showPercent val="0"/>
          <c:showBubbleSize val="0"/>
        </c:dLbls>
        <c:marker val="1"/>
        <c:smooth val="0"/>
        <c:axId val="137797632"/>
        <c:axId val="43332672"/>
      </c:lineChart>
      <c:catAx>
        <c:axId val="162305536"/>
        <c:scaling>
          <c:orientation val="minMax"/>
        </c:scaling>
        <c:delete val="0"/>
        <c:axPos val="b"/>
        <c:numFmt formatCode="General" sourceLinked="1"/>
        <c:majorTickMark val="out"/>
        <c:minorTickMark val="none"/>
        <c:tickLblPos val="nextTo"/>
        <c:crossAx val="43331520"/>
        <c:crosses val="autoZero"/>
        <c:auto val="1"/>
        <c:lblAlgn val="ctr"/>
        <c:lblOffset val="100"/>
        <c:noMultiLvlLbl val="0"/>
      </c:catAx>
      <c:valAx>
        <c:axId val="43331520"/>
        <c:scaling>
          <c:orientation val="minMax"/>
        </c:scaling>
        <c:delete val="0"/>
        <c:axPos val="l"/>
        <c:majorGridlines/>
        <c:title>
          <c:tx>
            <c:rich>
              <a:bodyPr rot="0" vert="horz"/>
              <a:lstStyle/>
              <a:p>
                <a:pPr>
                  <a:defRPr b="0"/>
                </a:pPr>
                <a:r>
                  <a:rPr lang="ru-RU" b="0"/>
                  <a:t>млрд. рублей</a:t>
                </a:r>
              </a:p>
            </c:rich>
          </c:tx>
          <c:layout>
            <c:manualLayout>
              <c:xMode val="edge"/>
              <c:yMode val="edge"/>
              <c:x val="2.6692078874756039E-2"/>
              <c:y val="1.3345727617380993E-3"/>
            </c:manualLayout>
          </c:layout>
          <c:overlay val="0"/>
        </c:title>
        <c:numFmt formatCode="#,##0" sourceLinked="0"/>
        <c:majorTickMark val="out"/>
        <c:minorTickMark val="none"/>
        <c:tickLblPos val="nextTo"/>
        <c:crossAx val="162305536"/>
        <c:crosses val="autoZero"/>
        <c:crossBetween val="between"/>
        <c:minorUnit val="400"/>
      </c:valAx>
      <c:valAx>
        <c:axId val="43332672"/>
        <c:scaling>
          <c:orientation val="minMax"/>
        </c:scaling>
        <c:delete val="1"/>
        <c:axPos val="r"/>
        <c:numFmt formatCode="General" sourceLinked="1"/>
        <c:majorTickMark val="out"/>
        <c:minorTickMark val="none"/>
        <c:tickLblPos val="nextTo"/>
        <c:crossAx val="137797632"/>
        <c:crosses val="max"/>
        <c:crossBetween val="between"/>
      </c:valAx>
      <c:catAx>
        <c:axId val="137797632"/>
        <c:scaling>
          <c:orientation val="minMax"/>
        </c:scaling>
        <c:delete val="1"/>
        <c:axPos val="b"/>
        <c:majorTickMark val="out"/>
        <c:minorTickMark val="none"/>
        <c:tickLblPos val="nextTo"/>
        <c:crossAx val="43332672"/>
        <c:crosses val="autoZero"/>
        <c:auto val="1"/>
        <c:lblAlgn val="ctr"/>
        <c:lblOffset val="100"/>
        <c:noMultiLvlLbl val="0"/>
      </c:catAx>
    </c:plotArea>
    <c:legend>
      <c:legendPos val="b"/>
      <c:layout>
        <c:manualLayout>
          <c:xMode val="edge"/>
          <c:yMode val="edge"/>
          <c:x val="4.1003479412634297E-2"/>
          <c:y val="0.71053423009623784"/>
          <c:w val="0.87601275808960033"/>
          <c:h val="0.25970386514185728"/>
        </c:manualLayout>
      </c:layout>
      <c:overlay val="0"/>
    </c:legend>
    <c:plotVisOnly val="1"/>
    <c:dispBlanksAs val="gap"/>
    <c:showDLblsOverMax val="0"/>
  </c:chart>
  <c:spPr>
    <a:ln>
      <a:noFill/>
    </a:ln>
  </c:spPr>
  <c:txPr>
    <a:bodyPr/>
    <a:lstStyle/>
    <a:p>
      <a:pPr>
        <a:defRPr sz="800">
          <a:latin typeface="Times New Roman" pitchFamily="18" charset="0"/>
          <a:cs typeface="Times New Roman"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7756700036712534E-2"/>
          <c:y val="0.10200397556617222"/>
          <c:w val="0.89725488906788531"/>
          <c:h val="0.71684926050336983"/>
        </c:manualLayout>
      </c:layout>
      <c:barChart>
        <c:barDir val="bar"/>
        <c:grouping val="stacked"/>
        <c:varyColors val="0"/>
        <c:ser>
          <c:idx val="0"/>
          <c:order val="0"/>
          <c:tx>
            <c:strRef>
              <c:f>'спрос-предложение'!$B$14</c:f>
              <c:strCache>
                <c:ptCount val="1"/>
                <c:pt idx="0">
                  <c:v>спрос со стороны инвесторов на их условиях</c:v>
                </c:pt>
              </c:strCache>
            </c:strRef>
          </c:tx>
          <c:spPr>
            <a:solidFill>
              <a:schemeClr val="accent6">
                <a:lumMod val="60000"/>
                <a:lumOff val="40000"/>
              </a:schemeClr>
            </a:solidFill>
          </c:spPr>
          <c:invertIfNegative val="0"/>
          <c:dLbls>
            <c:dLblPos val="ctr"/>
            <c:showLegendKey val="0"/>
            <c:showVal val="1"/>
            <c:showCatName val="0"/>
            <c:showSerName val="0"/>
            <c:showPercent val="0"/>
            <c:showBubbleSize val="0"/>
            <c:showLeaderLines val="0"/>
          </c:dLbls>
          <c:cat>
            <c:numRef>
              <c:f>'спрос-предложение'!$A$15:$A$20</c:f>
              <c:numCache>
                <c:formatCode>General</c:formatCode>
                <c:ptCount val="4"/>
                <c:pt idx="0">
                  <c:v>2015</c:v>
                </c:pt>
                <c:pt idx="1">
                  <c:v>2016</c:v>
                </c:pt>
                <c:pt idx="2">
                  <c:v>2017</c:v>
                </c:pt>
                <c:pt idx="3">
                  <c:v>2018</c:v>
                </c:pt>
              </c:numCache>
            </c:numRef>
          </c:cat>
          <c:val>
            <c:numRef>
              <c:f>'спрос-предложение'!$B$15:$B$20</c:f>
              <c:numCache>
                <c:formatCode>#,##0.0</c:formatCode>
                <c:ptCount val="4"/>
                <c:pt idx="0">
                  <c:v>1830.8219051276599</c:v>
                </c:pt>
                <c:pt idx="1">
                  <c:v>2684.4867460337996</c:v>
                </c:pt>
                <c:pt idx="2">
                  <c:v>4004.267045000001</c:v>
                </c:pt>
                <c:pt idx="3">
                  <c:v>2868.3497978714827</c:v>
                </c:pt>
              </c:numCache>
            </c:numRef>
          </c:val>
        </c:ser>
        <c:ser>
          <c:idx val="1"/>
          <c:order val="1"/>
          <c:tx>
            <c:strRef>
              <c:f>'спрос-предложение'!$C$14</c:f>
              <c:strCache>
                <c:ptCount val="1"/>
                <c:pt idx="0">
                  <c:v>предложение Минфина России</c:v>
                </c:pt>
              </c:strCache>
            </c:strRef>
          </c:tx>
          <c:invertIfNegative val="0"/>
          <c:dLbls>
            <c:dLblPos val="ctr"/>
            <c:showLegendKey val="0"/>
            <c:showVal val="1"/>
            <c:showCatName val="0"/>
            <c:showSerName val="0"/>
            <c:showPercent val="0"/>
            <c:showBubbleSize val="0"/>
            <c:showLeaderLines val="0"/>
          </c:dLbls>
          <c:cat>
            <c:numRef>
              <c:f>'спрос-предложение'!$A$15:$A$20</c:f>
              <c:numCache>
                <c:formatCode>General</c:formatCode>
                <c:ptCount val="4"/>
                <c:pt idx="0">
                  <c:v>2015</c:v>
                </c:pt>
                <c:pt idx="1">
                  <c:v>2016</c:v>
                </c:pt>
                <c:pt idx="2">
                  <c:v>2017</c:v>
                </c:pt>
                <c:pt idx="3">
                  <c:v>2018</c:v>
                </c:pt>
              </c:numCache>
            </c:numRef>
          </c:cat>
          <c:val>
            <c:numRef>
              <c:f>'спрос-предложение'!$C$15:$C$20</c:f>
              <c:numCache>
                <c:formatCode>#,##0.0</c:formatCode>
                <c:ptCount val="4"/>
                <c:pt idx="0">
                  <c:v>750.78757999999993</c:v>
                </c:pt>
                <c:pt idx="1">
                  <c:v>1128.4345052015799</c:v>
                </c:pt>
                <c:pt idx="2">
                  <c:v>1784.6677679999998</c:v>
                </c:pt>
                <c:pt idx="3">
                  <c:v>1164.2333889999941</c:v>
                </c:pt>
              </c:numCache>
            </c:numRef>
          </c:val>
        </c:ser>
        <c:dLbls>
          <c:showLegendKey val="0"/>
          <c:showVal val="0"/>
          <c:showCatName val="0"/>
          <c:showSerName val="0"/>
          <c:showPercent val="0"/>
          <c:showBubbleSize val="0"/>
        </c:dLbls>
        <c:gapWidth val="150"/>
        <c:overlap val="100"/>
        <c:axId val="87233024"/>
        <c:axId val="63624256"/>
      </c:barChart>
      <c:lineChart>
        <c:grouping val="standard"/>
        <c:varyColors val="0"/>
        <c:ser>
          <c:idx val="2"/>
          <c:order val="2"/>
          <c:tx>
            <c:v> </c:v>
          </c:tx>
          <c:spPr>
            <a:ln>
              <a:solidFill>
                <a:schemeClr val="bg1"/>
              </a:solidFill>
            </a:ln>
          </c:spPr>
          <c:marker>
            <c:symbol val="none"/>
          </c:marker>
          <c:val>
            <c:numLit>
              <c:formatCode>General</c:formatCode>
              <c:ptCount val="1"/>
              <c:pt idx="0">
                <c:v>1</c:v>
              </c:pt>
            </c:numLit>
          </c:val>
          <c:smooth val="0"/>
        </c:ser>
        <c:dLbls>
          <c:showLegendKey val="0"/>
          <c:showVal val="0"/>
          <c:showCatName val="0"/>
          <c:showSerName val="0"/>
          <c:showPercent val="0"/>
          <c:showBubbleSize val="0"/>
        </c:dLbls>
        <c:marker val="1"/>
        <c:smooth val="0"/>
        <c:axId val="145558528"/>
        <c:axId val="63754752"/>
      </c:lineChart>
      <c:catAx>
        <c:axId val="87233024"/>
        <c:scaling>
          <c:orientation val="maxMin"/>
        </c:scaling>
        <c:delete val="0"/>
        <c:axPos val="l"/>
        <c:title>
          <c:tx>
            <c:rich>
              <a:bodyPr rot="0" vert="horz"/>
              <a:lstStyle/>
              <a:p>
                <a:pPr>
                  <a:defRPr b="0"/>
                </a:pPr>
                <a:r>
                  <a:rPr lang="ru-RU" b="0"/>
                  <a:t>млрд. рублей</a:t>
                </a:r>
              </a:p>
            </c:rich>
          </c:tx>
          <c:layout>
            <c:manualLayout>
              <c:xMode val="edge"/>
              <c:yMode val="edge"/>
              <c:x val="0.82566101678152692"/>
              <c:y val="2.9430542167920583E-3"/>
            </c:manualLayout>
          </c:layout>
          <c:overlay val="0"/>
        </c:title>
        <c:numFmt formatCode="General" sourceLinked="1"/>
        <c:majorTickMark val="out"/>
        <c:minorTickMark val="none"/>
        <c:tickLblPos val="nextTo"/>
        <c:txPr>
          <a:bodyPr/>
          <a:lstStyle/>
          <a:p>
            <a:pPr>
              <a:defRPr sz="1000"/>
            </a:pPr>
            <a:endParaRPr lang="ru-RU"/>
          </a:p>
        </c:txPr>
        <c:crossAx val="63624256"/>
        <c:crosses val="autoZero"/>
        <c:auto val="1"/>
        <c:lblAlgn val="ctr"/>
        <c:lblOffset val="100"/>
        <c:noMultiLvlLbl val="0"/>
      </c:catAx>
      <c:valAx>
        <c:axId val="63624256"/>
        <c:scaling>
          <c:orientation val="minMax"/>
        </c:scaling>
        <c:delete val="0"/>
        <c:axPos val="t"/>
        <c:majorGridlines/>
        <c:numFmt formatCode="#,##0.0" sourceLinked="1"/>
        <c:majorTickMark val="out"/>
        <c:minorTickMark val="none"/>
        <c:tickLblPos val="none"/>
        <c:crossAx val="87233024"/>
        <c:crosses val="autoZero"/>
        <c:crossBetween val="between"/>
      </c:valAx>
      <c:valAx>
        <c:axId val="63754752"/>
        <c:scaling>
          <c:orientation val="minMax"/>
        </c:scaling>
        <c:delete val="1"/>
        <c:axPos val="l"/>
        <c:numFmt formatCode="General" sourceLinked="1"/>
        <c:majorTickMark val="out"/>
        <c:minorTickMark val="none"/>
        <c:tickLblPos val="nextTo"/>
        <c:crossAx val="145558528"/>
        <c:crosses val="autoZero"/>
        <c:crossBetween val="between"/>
      </c:valAx>
      <c:catAx>
        <c:axId val="145558528"/>
        <c:scaling>
          <c:orientation val="minMax"/>
        </c:scaling>
        <c:delete val="1"/>
        <c:axPos val="b"/>
        <c:majorTickMark val="out"/>
        <c:minorTickMark val="none"/>
        <c:tickLblPos val="nextTo"/>
        <c:crossAx val="63754752"/>
        <c:crosses val="autoZero"/>
        <c:auto val="1"/>
        <c:lblAlgn val="ctr"/>
        <c:lblOffset val="100"/>
        <c:noMultiLvlLbl val="0"/>
      </c:catAx>
    </c:plotArea>
    <c:legend>
      <c:legendPos val="b"/>
      <c:layout>
        <c:manualLayout>
          <c:xMode val="edge"/>
          <c:yMode val="edge"/>
          <c:x val="5.2800946854503317E-2"/>
          <c:y val="0.8585613293785882"/>
          <c:w val="0.90388308977035503"/>
          <c:h val="0.14143879248414895"/>
        </c:manualLayout>
      </c:layout>
      <c:overlay val="0"/>
      <c:txPr>
        <a:bodyPr/>
        <a:lstStyle/>
        <a:p>
          <a:pPr>
            <a:defRPr sz="1000"/>
          </a:pPr>
          <a:endParaRPr lang="ru-RU"/>
        </a:p>
      </c:txPr>
    </c:legend>
    <c:plotVisOnly val="1"/>
    <c:dispBlanksAs val="gap"/>
    <c:showDLblsOverMax val="0"/>
  </c:chart>
  <c:spPr>
    <a:ln>
      <a:noFill/>
    </a:ln>
  </c:spPr>
  <c:txPr>
    <a:bodyPr/>
    <a:lstStyle/>
    <a:p>
      <a:pPr>
        <a:defRPr sz="800">
          <a:latin typeface="Times New Roman" pitchFamily="18" charset="0"/>
          <a:cs typeface="Times New Roman"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557362282377425E-2"/>
          <c:y val="0.1653424937917837"/>
          <c:w val="0.67857213207904543"/>
          <c:h val="0.58149446007629879"/>
        </c:manualLayout>
      </c:layout>
      <c:barChart>
        <c:barDir val="col"/>
        <c:grouping val="clustered"/>
        <c:varyColors val="0"/>
        <c:ser>
          <c:idx val="0"/>
          <c:order val="0"/>
          <c:tx>
            <c:strRef>
              <c:f>нерезиденты!$B$2</c:f>
              <c:strCache>
                <c:ptCount val="1"/>
                <c:pt idx="0">
                  <c:v>Номинальный объем ОФЗ, принадлежащих нерезидентам</c:v>
                </c:pt>
              </c:strCache>
            </c:strRef>
          </c:tx>
          <c:invertIfNegative val="0"/>
          <c:dLbls>
            <c:dLbl>
              <c:idx val="2"/>
              <c:layout>
                <c:manualLayout>
                  <c:x val="3.9447731755424065E-3"/>
                  <c:y val="-2.6733500417710943E-2"/>
                </c:manualLayout>
              </c:layout>
              <c:showLegendKey val="0"/>
              <c:showVal val="1"/>
              <c:showCatName val="0"/>
              <c:showSerName val="0"/>
              <c:showPercent val="0"/>
              <c:showBubbleSize val="0"/>
            </c:dLbl>
            <c:dLbl>
              <c:idx val="3"/>
              <c:layout>
                <c:manualLayout>
                  <c:x val="1.1834319526627219E-2"/>
                  <c:y val="-1.6708437761069339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numRef>
              <c:f>нерезиденты!$A$3:$A$15</c:f>
              <c:numCache>
                <c:formatCode>m/d/yyyy</c:formatCode>
                <c:ptCount val="13"/>
                <c:pt idx="0">
                  <c:v>43466</c:v>
                </c:pt>
                <c:pt idx="1">
                  <c:v>43435</c:v>
                </c:pt>
                <c:pt idx="2">
                  <c:v>43405</c:v>
                </c:pt>
                <c:pt idx="3">
                  <c:v>43374</c:v>
                </c:pt>
                <c:pt idx="4">
                  <c:v>43344</c:v>
                </c:pt>
                <c:pt idx="5">
                  <c:v>43313</c:v>
                </c:pt>
                <c:pt idx="6">
                  <c:v>43282</c:v>
                </c:pt>
                <c:pt idx="7">
                  <c:v>43252</c:v>
                </c:pt>
                <c:pt idx="8">
                  <c:v>43221</c:v>
                </c:pt>
                <c:pt idx="9">
                  <c:v>43191</c:v>
                </c:pt>
                <c:pt idx="10">
                  <c:v>43160</c:v>
                </c:pt>
                <c:pt idx="11">
                  <c:v>43132</c:v>
                </c:pt>
                <c:pt idx="12">
                  <c:v>43101</c:v>
                </c:pt>
              </c:numCache>
            </c:numRef>
          </c:cat>
          <c:val>
            <c:numRef>
              <c:f>нерезиденты!$B$3:$B$15</c:f>
              <c:numCache>
                <c:formatCode>#,##0</c:formatCode>
                <c:ptCount val="13"/>
                <c:pt idx="0" formatCode="General">
                  <c:v>1790</c:v>
                </c:pt>
                <c:pt idx="1">
                  <c:v>1798</c:v>
                </c:pt>
                <c:pt idx="2">
                  <c:v>1807</c:v>
                </c:pt>
                <c:pt idx="3">
                  <c:v>1853</c:v>
                </c:pt>
                <c:pt idx="4">
                  <c:v>1908</c:v>
                </c:pt>
                <c:pt idx="5">
                  <c:v>2006</c:v>
                </c:pt>
                <c:pt idx="6">
                  <c:v>1982</c:v>
                </c:pt>
                <c:pt idx="7">
                  <c:v>2123</c:v>
                </c:pt>
                <c:pt idx="8">
                  <c:v>2220</c:v>
                </c:pt>
                <c:pt idx="9">
                  <c:v>2351</c:v>
                </c:pt>
                <c:pt idx="10">
                  <c:v>2334</c:v>
                </c:pt>
                <c:pt idx="11">
                  <c:v>2270</c:v>
                </c:pt>
                <c:pt idx="12">
                  <c:v>2230</c:v>
                </c:pt>
              </c:numCache>
            </c:numRef>
          </c:val>
        </c:ser>
        <c:dLbls>
          <c:showLegendKey val="0"/>
          <c:showVal val="0"/>
          <c:showCatName val="0"/>
          <c:showSerName val="0"/>
          <c:showPercent val="0"/>
          <c:showBubbleSize val="0"/>
        </c:dLbls>
        <c:gapWidth val="150"/>
        <c:axId val="145932800"/>
        <c:axId val="82790080"/>
      </c:barChart>
      <c:lineChart>
        <c:grouping val="standard"/>
        <c:varyColors val="0"/>
        <c:ser>
          <c:idx val="2"/>
          <c:order val="1"/>
          <c:tx>
            <c:strRef>
              <c:f>нерезиденты!$C$2</c:f>
              <c:strCache>
                <c:ptCount val="1"/>
                <c:pt idx="0">
                  <c:v>Доля нерезидентов на рынке ОФЗ</c:v>
                </c:pt>
              </c:strCache>
            </c:strRef>
          </c:tx>
          <c:dLbls>
            <c:dLbl>
              <c:idx val="0"/>
              <c:layout>
                <c:manualLayout>
                  <c:x val="-9.5072752698053264E-3"/>
                  <c:y val="7.265797388219071E-2"/>
                </c:manualLayout>
              </c:layout>
              <c:dLblPos val="r"/>
              <c:showLegendKey val="0"/>
              <c:showVal val="1"/>
              <c:showCatName val="0"/>
              <c:showSerName val="0"/>
              <c:showPercent val="0"/>
              <c:showBubbleSize val="0"/>
            </c:dLbl>
            <c:dLbl>
              <c:idx val="1"/>
              <c:layout>
                <c:manualLayout>
                  <c:x val="-1.1620003107539844E-2"/>
                  <c:y val="8.5185210758430482E-2"/>
                </c:manualLayout>
              </c:layout>
              <c:dLblPos val="r"/>
              <c:showLegendKey val="0"/>
              <c:showVal val="1"/>
              <c:showCatName val="0"/>
              <c:showSerName val="0"/>
              <c:showPercent val="0"/>
              <c:showBubbleSize val="0"/>
            </c:dLbl>
            <c:dLbl>
              <c:idx val="2"/>
              <c:layout>
                <c:manualLayout>
                  <c:x val="-5.2818195943362921E-3"/>
                  <c:y val="8.5185210758430538E-2"/>
                </c:manualLayout>
              </c:layout>
              <c:dLblPos val="r"/>
              <c:showLegendKey val="0"/>
              <c:showVal val="1"/>
              <c:showCatName val="0"/>
              <c:showSerName val="0"/>
              <c:showPercent val="0"/>
              <c:showBubbleSize val="0"/>
            </c:dLbl>
            <c:dLbl>
              <c:idx val="3"/>
              <c:layout>
                <c:manualLayout>
                  <c:x val="-7.3945474320708483E-3"/>
                  <c:y val="8.5185210758430482E-2"/>
                </c:manualLayout>
              </c:layout>
              <c:dLblPos val="r"/>
              <c:showLegendKey val="0"/>
              <c:showVal val="1"/>
              <c:showCatName val="0"/>
              <c:showSerName val="0"/>
              <c:showPercent val="0"/>
              <c:showBubbleSize val="0"/>
            </c:dLbl>
            <c:dLbl>
              <c:idx val="4"/>
              <c:layout>
                <c:manualLayout>
                  <c:x val="-7.3947137885934655E-3"/>
                  <c:y val="7.265797388219071E-2"/>
                </c:manualLayout>
              </c:layout>
              <c:dLblPos val="r"/>
              <c:showLegendKey val="0"/>
              <c:showVal val="1"/>
              <c:showCatName val="0"/>
              <c:showSerName val="0"/>
              <c:showPercent val="0"/>
              <c:showBubbleSize val="0"/>
            </c:dLbl>
            <c:dLbl>
              <c:idx val="5"/>
              <c:layout>
                <c:manualLayout>
                  <c:x val="-7.3945474320707321E-3"/>
                  <c:y val="8.518471756012827E-2"/>
                </c:manualLayout>
              </c:layout>
              <c:dLblPos val="r"/>
              <c:showLegendKey val="0"/>
              <c:showVal val="1"/>
              <c:showCatName val="0"/>
              <c:showSerName val="0"/>
              <c:showPercent val="0"/>
              <c:showBubbleSize val="0"/>
            </c:dLbl>
            <c:dLbl>
              <c:idx val="6"/>
              <c:layout>
                <c:manualLayout>
                  <c:x val="-1.162000310753992E-2"/>
                  <c:y val="8.5185210758430427E-2"/>
                </c:manualLayout>
              </c:layout>
              <c:dLblPos val="r"/>
              <c:showLegendKey val="0"/>
              <c:showVal val="1"/>
              <c:showCatName val="0"/>
              <c:showSerName val="0"/>
              <c:showPercent val="0"/>
              <c:showBubbleSize val="0"/>
            </c:dLbl>
            <c:dLbl>
              <c:idx val="7"/>
              <c:layout>
                <c:manualLayout>
                  <c:x val="-1.1620003107539844E-2"/>
                  <c:y val="0.10397606607279015"/>
                </c:manualLayout>
              </c:layout>
              <c:dLblPos val="r"/>
              <c:showLegendKey val="0"/>
              <c:showVal val="1"/>
              <c:showCatName val="0"/>
              <c:showSerName val="0"/>
              <c:showPercent val="0"/>
              <c:showBubbleSize val="0"/>
            </c:dLbl>
            <c:dLbl>
              <c:idx val="8"/>
              <c:layout>
                <c:manualLayout>
                  <c:x val="-7.3945474320708093E-3"/>
                  <c:y val="8.5185210758430427E-2"/>
                </c:manualLayout>
              </c:layout>
              <c:dLblPos val="r"/>
              <c:showLegendKey val="0"/>
              <c:showVal val="1"/>
              <c:showCatName val="0"/>
              <c:showSerName val="0"/>
              <c:showPercent val="0"/>
              <c:showBubbleSize val="0"/>
            </c:dLbl>
            <c:dLbl>
              <c:idx val="9"/>
              <c:layout>
                <c:manualLayout>
                  <c:x val="-1.162000310753992E-2"/>
                  <c:y val="9.1448829196550438E-2"/>
                </c:manualLayout>
              </c:layout>
              <c:dLblPos val="r"/>
              <c:showLegendKey val="0"/>
              <c:showVal val="1"/>
              <c:showCatName val="0"/>
              <c:showSerName val="0"/>
              <c:showPercent val="0"/>
              <c:showBubbleSize val="0"/>
            </c:dLbl>
            <c:dLbl>
              <c:idx val="10"/>
              <c:layout>
                <c:manualLayout>
                  <c:x val="-7.3945474320708093E-3"/>
                  <c:y val="8.5185210758430427E-2"/>
                </c:manualLayout>
              </c:layout>
              <c:dLblPos val="r"/>
              <c:showLegendKey val="0"/>
              <c:showVal val="1"/>
              <c:showCatName val="0"/>
              <c:showSerName val="0"/>
              <c:showPercent val="0"/>
              <c:showBubbleSize val="0"/>
            </c:dLbl>
            <c:dLbl>
              <c:idx val="11"/>
              <c:layout>
                <c:manualLayout>
                  <c:x val="-3.1690917566017753E-3"/>
                  <c:y val="8.5185210758430482E-2"/>
                </c:manualLayout>
              </c:layout>
              <c:dLblPos val="r"/>
              <c:showLegendKey val="0"/>
              <c:showVal val="1"/>
              <c:showCatName val="0"/>
              <c:showSerName val="0"/>
              <c:showPercent val="0"/>
              <c:showBubbleSize val="0"/>
            </c:dLbl>
            <c:dLbl>
              <c:idx val="12"/>
              <c:layout>
                <c:manualLayout>
                  <c:x val="-7.3945474320708093E-3"/>
                  <c:y val="8.5185210758430427E-2"/>
                </c:manualLayout>
              </c:layout>
              <c:dLblPos val="r"/>
              <c:showLegendKey val="0"/>
              <c:showVal val="1"/>
              <c:showCatName val="0"/>
              <c:showSerName val="0"/>
              <c:showPercent val="0"/>
              <c:showBubbleSize val="0"/>
            </c:dLbl>
            <c:dLblPos val="b"/>
            <c:showLegendKey val="0"/>
            <c:showVal val="1"/>
            <c:showCatName val="0"/>
            <c:showSerName val="0"/>
            <c:showPercent val="0"/>
            <c:showBubbleSize val="0"/>
            <c:showLeaderLines val="0"/>
          </c:dLbls>
          <c:cat>
            <c:numRef>
              <c:f>нерезиденты!$A$3:$A$15</c:f>
              <c:numCache>
                <c:formatCode>m/d/yyyy</c:formatCode>
                <c:ptCount val="13"/>
                <c:pt idx="0">
                  <c:v>43466</c:v>
                </c:pt>
                <c:pt idx="1">
                  <c:v>43435</c:v>
                </c:pt>
                <c:pt idx="2">
                  <c:v>43405</c:v>
                </c:pt>
                <c:pt idx="3">
                  <c:v>43374</c:v>
                </c:pt>
                <c:pt idx="4">
                  <c:v>43344</c:v>
                </c:pt>
                <c:pt idx="5">
                  <c:v>43313</c:v>
                </c:pt>
                <c:pt idx="6">
                  <c:v>43282</c:v>
                </c:pt>
                <c:pt idx="7">
                  <c:v>43252</c:v>
                </c:pt>
                <c:pt idx="8">
                  <c:v>43221</c:v>
                </c:pt>
                <c:pt idx="9">
                  <c:v>43191</c:v>
                </c:pt>
                <c:pt idx="10">
                  <c:v>43160</c:v>
                </c:pt>
                <c:pt idx="11">
                  <c:v>43132</c:v>
                </c:pt>
                <c:pt idx="12">
                  <c:v>43101</c:v>
                </c:pt>
              </c:numCache>
            </c:numRef>
          </c:cat>
          <c:val>
            <c:numRef>
              <c:f>нерезиденты!$C$3:$C$15</c:f>
              <c:numCache>
                <c:formatCode>General</c:formatCode>
                <c:ptCount val="13"/>
                <c:pt idx="0">
                  <c:v>24.4</c:v>
                </c:pt>
                <c:pt idx="1">
                  <c:v>24.7</c:v>
                </c:pt>
                <c:pt idx="2">
                  <c:v>25</c:v>
                </c:pt>
                <c:pt idx="3">
                  <c:v>25.8</c:v>
                </c:pt>
                <c:pt idx="4">
                  <c:v>26.6</c:v>
                </c:pt>
                <c:pt idx="5">
                  <c:v>27.9</c:v>
                </c:pt>
                <c:pt idx="6">
                  <c:v>28.2</c:v>
                </c:pt>
                <c:pt idx="7">
                  <c:v>30.5</c:v>
                </c:pt>
                <c:pt idx="8">
                  <c:v>32.299999999999997</c:v>
                </c:pt>
                <c:pt idx="9">
                  <c:v>34.5</c:v>
                </c:pt>
                <c:pt idx="10">
                  <c:v>34.200000000000003</c:v>
                </c:pt>
                <c:pt idx="11">
                  <c:v>33.9</c:v>
                </c:pt>
                <c:pt idx="12">
                  <c:v>33.1</c:v>
                </c:pt>
              </c:numCache>
            </c:numRef>
          </c:val>
          <c:smooth val="0"/>
        </c:ser>
        <c:dLbls>
          <c:showLegendKey val="0"/>
          <c:showVal val="0"/>
          <c:showCatName val="0"/>
          <c:showSerName val="0"/>
          <c:showPercent val="0"/>
          <c:showBubbleSize val="0"/>
        </c:dLbls>
        <c:marker val="1"/>
        <c:smooth val="0"/>
        <c:axId val="145934848"/>
        <c:axId val="82795264"/>
      </c:lineChart>
      <c:dateAx>
        <c:axId val="145932800"/>
        <c:scaling>
          <c:orientation val="minMax"/>
        </c:scaling>
        <c:delete val="0"/>
        <c:axPos val="b"/>
        <c:numFmt formatCode="m/d/yyyy" sourceLinked="1"/>
        <c:majorTickMark val="out"/>
        <c:minorTickMark val="none"/>
        <c:tickLblPos val="nextTo"/>
        <c:txPr>
          <a:bodyPr/>
          <a:lstStyle/>
          <a:p>
            <a:pPr>
              <a:defRPr sz="700"/>
            </a:pPr>
            <a:endParaRPr lang="ru-RU"/>
          </a:p>
        </c:txPr>
        <c:crossAx val="82790080"/>
        <c:crosses val="autoZero"/>
        <c:auto val="1"/>
        <c:lblOffset val="100"/>
        <c:baseTimeUnit val="months"/>
      </c:dateAx>
      <c:valAx>
        <c:axId val="82790080"/>
        <c:scaling>
          <c:orientation val="minMax"/>
        </c:scaling>
        <c:delete val="0"/>
        <c:axPos val="l"/>
        <c:majorGridlines/>
        <c:numFmt formatCode="#,##0" sourceLinked="0"/>
        <c:majorTickMark val="out"/>
        <c:minorTickMark val="none"/>
        <c:tickLblPos val="nextTo"/>
        <c:crossAx val="145932800"/>
        <c:crosses val="autoZero"/>
        <c:crossBetween val="between"/>
      </c:valAx>
      <c:valAx>
        <c:axId val="82795264"/>
        <c:scaling>
          <c:orientation val="minMax"/>
        </c:scaling>
        <c:delete val="0"/>
        <c:axPos val="r"/>
        <c:title>
          <c:tx>
            <c:rich>
              <a:bodyPr rot="0" vert="horz"/>
              <a:lstStyle/>
              <a:p>
                <a:pPr>
                  <a:defRPr b="0"/>
                </a:pPr>
                <a:r>
                  <a:rPr lang="en-US" b="0"/>
                  <a:t>%</a:t>
                </a:r>
              </a:p>
            </c:rich>
          </c:tx>
          <c:layout>
            <c:manualLayout>
              <c:xMode val="edge"/>
              <c:yMode val="edge"/>
              <c:x val="0.75830726249362435"/>
              <c:y val="2.6282887517231346E-2"/>
            </c:manualLayout>
          </c:layout>
          <c:overlay val="0"/>
        </c:title>
        <c:numFmt formatCode="General" sourceLinked="1"/>
        <c:majorTickMark val="out"/>
        <c:minorTickMark val="none"/>
        <c:tickLblPos val="nextTo"/>
        <c:crossAx val="145934848"/>
        <c:crosses val="max"/>
        <c:crossBetween val="between"/>
      </c:valAx>
      <c:dateAx>
        <c:axId val="145934848"/>
        <c:scaling>
          <c:orientation val="minMax"/>
        </c:scaling>
        <c:delete val="1"/>
        <c:axPos val="b"/>
        <c:title>
          <c:tx>
            <c:rich>
              <a:bodyPr/>
              <a:lstStyle/>
              <a:p>
                <a:pPr>
                  <a:defRPr b="0"/>
                </a:pPr>
                <a:r>
                  <a:rPr lang="ru-RU" b="0"/>
                  <a:t>млрд. рублей</a:t>
                </a:r>
              </a:p>
            </c:rich>
          </c:tx>
          <c:layout>
            <c:manualLayout>
              <c:xMode val="edge"/>
              <c:yMode val="edge"/>
              <c:x val="9.023177788875606E-4"/>
              <c:y val="5.2753192885026537E-3"/>
            </c:manualLayout>
          </c:layout>
          <c:overlay val="0"/>
        </c:title>
        <c:numFmt formatCode="m/d/yyyy" sourceLinked="1"/>
        <c:majorTickMark val="out"/>
        <c:minorTickMark val="none"/>
        <c:tickLblPos val="nextTo"/>
        <c:crossAx val="82795264"/>
        <c:crosses val="autoZero"/>
        <c:auto val="1"/>
        <c:lblOffset val="100"/>
        <c:baseTimeUnit val="months"/>
      </c:dateAx>
    </c:plotArea>
    <c:legend>
      <c:legendPos val="r"/>
      <c:layout>
        <c:manualLayout>
          <c:xMode val="edge"/>
          <c:yMode val="edge"/>
          <c:x val="0.78800540365377902"/>
          <c:y val="9.5334245421393543E-2"/>
          <c:w val="0.19915028305659024"/>
          <c:h val="0.48392962652065369"/>
        </c:manualLayout>
      </c:layout>
      <c:overlay val="0"/>
    </c:legend>
    <c:plotVisOnly val="1"/>
    <c:dispBlanksAs val="gap"/>
    <c:showDLblsOverMax val="0"/>
  </c:chart>
  <c:spPr>
    <a:ln>
      <a:noFill/>
    </a:ln>
  </c:spPr>
  <c:txPr>
    <a:bodyPr/>
    <a:lstStyle/>
    <a:p>
      <a:pPr>
        <a:defRPr sz="800">
          <a:latin typeface="Times New Roman" pitchFamily="18" charset="0"/>
          <a:cs typeface="Times New Roman"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417019571315634E-2"/>
          <c:y val="0.12472157440060458"/>
          <c:w val="0.54311964099398169"/>
          <c:h val="0.73037364305365449"/>
        </c:manualLayout>
      </c:layout>
      <c:barChart>
        <c:barDir val="col"/>
        <c:grouping val="clustered"/>
        <c:varyColors val="0"/>
        <c:ser>
          <c:idx val="0"/>
          <c:order val="0"/>
          <c:tx>
            <c:strRef>
              <c:f>'нерезиденты (2)'!$B$2</c:f>
              <c:strCache>
                <c:ptCount val="1"/>
                <c:pt idx="0">
                  <c:v>Номинальный объем ОФЗ, принадлежащих нерезидентам</c:v>
                </c:pt>
              </c:strCache>
            </c:strRef>
          </c:tx>
          <c:invertIfNegative val="0"/>
          <c:dLbls>
            <c:dLbl>
              <c:idx val="3"/>
              <c:layout>
                <c:manualLayout>
                  <c:x val="0"/>
                  <c:y val="0.10326871223644794"/>
                </c:manualLayout>
              </c:layout>
              <c:showLegendKey val="0"/>
              <c:showVal val="1"/>
              <c:showCatName val="0"/>
              <c:showSerName val="0"/>
              <c:showPercent val="0"/>
              <c:showBubbleSize val="0"/>
            </c:dLbl>
            <c:dLbl>
              <c:idx val="4"/>
              <c:layout>
                <c:manualLayout>
                  <c:x val="0"/>
                  <c:y val="0.19276826284136944"/>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'нерезиденты (2)'!$A$3:$A$10</c:f>
              <c:strCache>
                <c:ptCount val="5"/>
                <c:pt idx="0">
                  <c:v>01.01.2015</c:v>
                </c:pt>
                <c:pt idx="1">
                  <c:v>01.01.2016</c:v>
                </c:pt>
                <c:pt idx="2">
                  <c:v>01.01.2017</c:v>
                </c:pt>
                <c:pt idx="3">
                  <c:v>01.01.2018</c:v>
                </c:pt>
                <c:pt idx="4">
                  <c:v>01.01.2019</c:v>
                </c:pt>
              </c:strCache>
            </c:strRef>
          </c:cat>
          <c:val>
            <c:numRef>
              <c:f>'нерезиденты (2)'!$B$3:$B$10</c:f>
              <c:numCache>
                <c:formatCode>#,##0</c:formatCode>
                <c:ptCount val="5"/>
                <c:pt idx="0">
                  <c:v>877</c:v>
                </c:pt>
                <c:pt idx="1">
                  <c:v>1071</c:v>
                </c:pt>
                <c:pt idx="2">
                  <c:v>1517</c:v>
                </c:pt>
                <c:pt idx="3">
                  <c:v>2230</c:v>
                </c:pt>
                <c:pt idx="4">
                  <c:v>1790</c:v>
                </c:pt>
              </c:numCache>
            </c:numRef>
          </c:val>
        </c:ser>
        <c:dLbls>
          <c:showLegendKey val="0"/>
          <c:showVal val="0"/>
          <c:showCatName val="0"/>
          <c:showSerName val="0"/>
          <c:showPercent val="0"/>
          <c:showBubbleSize val="0"/>
        </c:dLbls>
        <c:gapWidth val="150"/>
        <c:axId val="145935360"/>
        <c:axId val="82821696"/>
      </c:barChart>
      <c:lineChart>
        <c:grouping val="standard"/>
        <c:varyColors val="0"/>
        <c:ser>
          <c:idx val="1"/>
          <c:order val="1"/>
          <c:tx>
            <c:strRef>
              <c:f>'нерезиденты (2)'!$C$2</c:f>
              <c:strCache>
                <c:ptCount val="1"/>
                <c:pt idx="0">
                  <c:v>Доля нерезидентов на рынке ОФЗ</c:v>
                </c:pt>
              </c:strCache>
            </c:strRef>
          </c:tx>
          <c:spPr>
            <a:ln>
              <a:solidFill>
                <a:schemeClr val="accent3">
                  <a:lumMod val="60000"/>
                  <a:lumOff val="40000"/>
                </a:schemeClr>
              </a:solidFill>
            </a:ln>
          </c:spPr>
          <c:marker>
            <c:spPr>
              <a:solidFill>
                <a:schemeClr val="accent3">
                  <a:lumMod val="75000"/>
                </a:schemeClr>
              </a:solidFill>
              <a:ln>
                <a:solidFill>
                  <a:schemeClr val="accent3">
                    <a:lumMod val="75000"/>
                  </a:schemeClr>
                </a:solidFill>
              </a:ln>
            </c:spPr>
          </c:marker>
          <c:dLbls>
            <c:dLbl>
              <c:idx val="4"/>
              <c:layout>
                <c:manualLayout>
                  <c:x val="-3.4270861663967915E-2"/>
                  <c:y val="-0.10740000281888348"/>
                </c:manualLayout>
              </c:layout>
              <c:dLblPos val="r"/>
              <c:showLegendKey val="0"/>
              <c:showVal val="1"/>
              <c:showCatName val="0"/>
              <c:showSerName val="0"/>
              <c:showPercent val="0"/>
              <c:showBubbleSize val="0"/>
            </c:dLbl>
            <c:dLblPos val="t"/>
            <c:showLegendKey val="0"/>
            <c:showVal val="1"/>
            <c:showCatName val="0"/>
            <c:showSerName val="0"/>
            <c:showPercent val="0"/>
            <c:showBubbleSize val="0"/>
            <c:showLeaderLines val="0"/>
          </c:dLbls>
          <c:cat>
            <c:strRef>
              <c:f>'нерезиденты (2)'!$A$3:$A$10</c:f>
              <c:strCache>
                <c:ptCount val="5"/>
                <c:pt idx="0">
                  <c:v>01.01.2015</c:v>
                </c:pt>
                <c:pt idx="1">
                  <c:v>01.01.2016</c:v>
                </c:pt>
                <c:pt idx="2">
                  <c:v>01.01.2017</c:v>
                </c:pt>
                <c:pt idx="3">
                  <c:v>01.01.2018</c:v>
                </c:pt>
                <c:pt idx="4">
                  <c:v>01.01.2019</c:v>
                </c:pt>
              </c:strCache>
            </c:strRef>
          </c:cat>
          <c:val>
            <c:numRef>
              <c:f>'нерезиденты (2)'!$C$3:$C$10</c:f>
              <c:numCache>
                <c:formatCode>General</c:formatCode>
                <c:ptCount val="5"/>
                <c:pt idx="0">
                  <c:v>18.7</c:v>
                </c:pt>
                <c:pt idx="1">
                  <c:v>21.5</c:v>
                </c:pt>
                <c:pt idx="2">
                  <c:v>26.9</c:v>
                </c:pt>
                <c:pt idx="3">
                  <c:v>33.1</c:v>
                </c:pt>
                <c:pt idx="4">
                  <c:v>24.4</c:v>
                </c:pt>
              </c:numCache>
            </c:numRef>
          </c:val>
          <c:smooth val="0"/>
        </c:ser>
        <c:dLbls>
          <c:showLegendKey val="0"/>
          <c:showVal val="0"/>
          <c:showCatName val="0"/>
          <c:showSerName val="0"/>
          <c:showPercent val="0"/>
          <c:showBubbleSize val="0"/>
        </c:dLbls>
        <c:marker val="1"/>
        <c:smooth val="0"/>
        <c:axId val="161800704"/>
        <c:axId val="82822272"/>
      </c:lineChart>
      <c:catAx>
        <c:axId val="145935360"/>
        <c:scaling>
          <c:orientation val="minMax"/>
        </c:scaling>
        <c:delete val="0"/>
        <c:axPos val="b"/>
        <c:title>
          <c:tx>
            <c:rich>
              <a:bodyPr/>
              <a:lstStyle/>
              <a:p>
                <a:pPr>
                  <a:defRPr b="0"/>
                </a:pPr>
                <a:r>
                  <a:rPr lang="ru-RU" b="0"/>
                  <a:t>млрд. рублей</a:t>
                </a:r>
              </a:p>
            </c:rich>
          </c:tx>
          <c:layout>
            <c:manualLayout>
              <c:xMode val="edge"/>
              <c:yMode val="edge"/>
              <c:x val="1.7658880506048281E-4"/>
              <c:y val="2.2274047951634035E-3"/>
            </c:manualLayout>
          </c:layout>
          <c:overlay val="0"/>
        </c:title>
        <c:numFmt formatCode="@" sourceLinked="1"/>
        <c:majorTickMark val="out"/>
        <c:minorTickMark val="none"/>
        <c:tickLblPos val="nextTo"/>
        <c:crossAx val="82821696"/>
        <c:crosses val="autoZero"/>
        <c:auto val="1"/>
        <c:lblAlgn val="ctr"/>
        <c:lblOffset val="100"/>
        <c:noMultiLvlLbl val="0"/>
      </c:catAx>
      <c:valAx>
        <c:axId val="82821696"/>
        <c:scaling>
          <c:orientation val="minMax"/>
        </c:scaling>
        <c:delete val="0"/>
        <c:axPos val="l"/>
        <c:majorGridlines/>
        <c:numFmt formatCode="#,##0" sourceLinked="1"/>
        <c:majorTickMark val="out"/>
        <c:minorTickMark val="none"/>
        <c:tickLblPos val="nextTo"/>
        <c:crossAx val="145935360"/>
        <c:crosses val="autoZero"/>
        <c:crossBetween val="between"/>
      </c:valAx>
      <c:valAx>
        <c:axId val="82822272"/>
        <c:scaling>
          <c:orientation val="minMax"/>
        </c:scaling>
        <c:delete val="0"/>
        <c:axPos val="r"/>
        <c:numFmt formatCode="General" sourceLinked="1"/>
        <c:majorTickMark val="out"/>
        <c:minorTickMark val="none"/>
        <c:tickLblPos val="nextTo"/>
        <c:crossAx val="161800704"/>
        <c:crosses val="max"/>
        <c:crossBetween val="between"/>
      </c:valAx>
      <c:catAx>
        <c:axId val="161800704"/>
        <c:scaling>
          <c:orientation val="minMax"/>
        </c:scaling>
        <c:delete val="1"/>
        <c:axPos val="b"/>
        <c:title>
          <c:tx>
            <c:rich>
              <a:bodyPr/>
              <a:lstStyle/>
              <a:p>
                <a:pPr>
                  <a:defRPr b="0"/>
                </a:pPr>
                <a:r>
                  <a:rPr lang="ru-RU" b="0"/>
                  <a:t>%</a:t>
                </a:r>
              </a:p>
            </c:rich>
          </c:tx>
          <c:layout>
            <c:manualLayout>
              <c:xMode val="edge"/>
              <c:yMode val="edge"/>
              <c:x val="0.6203902394827554"/>
              <c:y val="5.1971214441568301E-3"/>
            </c:manualLayout>
          </c:layout>
          <c:overlay val="0"/>
        </c:title>
        <c:numFmt formatCode="@" sourceLinked="1"/>
        <c:majorTickMark val="out"/>
        <c:minorTickMark val="none"/>
        <c:tickLblPos val="nextTo"/>
        <c:crossAx val="82822272"/>
        <c:crosses val="autoZero"/>
        <c:auto val="1"/>
        <c:lblAlgn val="ctr"/>
        <c:lblOffset val="100"/>
        <c:noMultiLvlLbl val="0"/>
      </c:catAx>
      <c:spPr>
        <a:noFill/>
        <a:ln w="25400">
          <a:noFill/>
        </a:ln>
      </c:spPr>
    </c:plotArea>
    <c:legend>
      <c:legendPos val="r"/>
      <c:layout>
        <c:manualLayout>
          <c:xMode val="edge"/>
          <c:yMode val="edge"/>
          <c:x val="0.67569583581988746"/>
          <c:y val="6.2537303319012832E-2"/>
          <c:w val="0.30561844428289536"/>
          <c:h val="0.4480832134404365"/>
        </c:manualLayout>
      </c:layout>
      <c:overlay val="0"/>
    </c:legend>
    <c:plotVisOnly val="1"/>
    <c:dispBlanksAs val="gap"/>
    <c:showDLblsOverMax val="0"/>
  </c:chart>
  <c:spPr>
    <a:ln>
      <a:noFill/>
    </a:ln>
  </c:spPr>
  <c:txPr>
    <a:bodyPr/>
    <a:lstStyle/>
    <a:p>
      <a:pPr>
        <a:defRPr sz="800">
          <a:latin typeface="Times New Roman" pitchFamily="18" charset="0"/>
          <a:cs typeface="Times New Roman" pitchFamily="18" charset="0"/>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256160688247302"/>
          <c:y val="4.3596631606278413E-2"/>
          <c:w val="0.88082235937770104"/>
          <c:h val="0.6080234988868054"/>
        </c:manualLayout>
      </c:layout>
      <c:barChart>
        <c:barDir val="col"/>
        <c:grouping val="clustered"/>
        <c:varyColors val="0"/>
        <c:ser>
          <c:idx val="0"/>
          <c:order val="0"/>
          <c:tx>
            <c:strRef>
              <c:f>Лист1!$B$1</c:f>
              <c:strCache>
                <c:ptCount val="1"/>
                <c:pt idx="0">
                  <c:v>Остатки средств федерального бюджета</c:v>
                </c:pt>
              </c:strCache>
            </c:strRef>
          </c:tx>
          <c:invertIfNegative val="0"/>
          <c:dLbls>
            <c:dLbl>
              <c:idx val="4"/>
              <c:layout>
                <c:manualLayout>
                  <c:x val="0"/>
                  <c:y val="1.9658118996631054E-2"/>
                </c:manualLayout>
              </c:layout>
              <c:dLblPos val="outEnd"/>
              <c:showLegendKey val="0"/>
              <c:showVal val="1"/>
              <c:showCatName val="0"/>
              <c:showSerName val="0"/>
              <c:showPercent val="0"/>
              <c:showBubbleSize val="0"/>
            </c:dLbl>
            <c:txPr>
              <a:bodyPr/>
              <a:lstStyle/>
              <a:p>
                <a:pPr>
                  <a:defRPr sz="900"/>
                </a:pPr>
                <a:endParaRPr lang="ru-RU"/>
              </a:p>
            </c:txPr>
            <c:dLblPos val="outEnd"/>
            <c:showLegendKey val="0"/>
            <c:showVal val="1"/>
            <c:showCatName val="0"/>
            <c:showSerName val="0"/>
            <c:showPercent val="0"/>
            <c:showBubbleSize val="0"/>
            <c:showLeaderLines val="0"/>
          </c:dLbls>
          <c:cat>
            <c:numRef>
              <c:f>Лист1!$A$2:$A$9</c:f>
              <c:numCache>
                <c:formatCode>General</c:formatCode>
                <c:ptCount val="4"/>
                <c:pt idx="0">
                  <c:v>2015</c:v>
                </c:pt>
                <c:pt idx="1">
                  <c:v>2016</c:v>
                </c:pt>
                <c:pt idx="2">
                  <c:v>2017</c:v>
                </c:pt>
                <c:pt idx="3">
                  <c:v>2018</c:v>
                </c:pt>
              </c:numCache>
            </c:numRef>
          </c:cat>
          <c:val>
            <c:numRef>
              <c:f>Лист1!$B$2:$B$9</c:f>
              <c:numCache>
                <c:formatCode>_-* #,##0.0_р_._-;\-* #,##0.0_р_._-;_-* "-"??_р_._-;_-@_-</c:formatCode>
                <c:ptCount val="4"/>
                <c:pt idx="0">
                  <c:v>9154.4</c:v>
                </c:pt>
                <c:pt idx="1">
                  <c:v>5557</c:v>
                </c:pt>
                <c:pt idx="2">
                  <c:v>6190.9859999999999</c:v>
                </c:pt>
                <c:pt idx="3">
                  <c:v>10193.200000000001</c:v>
                </c:pt>
              </c:numCache>
            </c:numRef>
          </c:val>
        </c:ser>
        <c:ser>
          <c:idx val="1"/>
          <c:order val="1"/>
          <c:tx>
            <c:strRef>
              <c:f>Лист1!$C$1</c:f>
              <c:strCache>
                <c:ptCount val="1"/>
                <c:pt idx="0">
                  <c:v>Остатки средств федерального бюджета без учета средств Резервного фонда и ФНБ, а также иностранной валюты, приобретенной за счет дополнительных нефтегазовых доходов</c:v>
                </c:pt>
              </c:strCache>
            </c:strRef>
          </c:tx>
          <c:spPr>
            <a:pattFill prst="smCheck">
              <a:fgClr>
                <a:schemeClr val="accent2"/>
              </a:fgClr>
              <a:bgClr>
                <a:schemeClr val="bg1"/>
              </a:bgClr>
            </a:pattFill>
          </c:spPr>
          <c:invertIfNegative val="0"/>
          <c:dLbls>
            <c:dLbl>
              <c:idx val="0"/>
              <c:layout>
                <c:manualLayout>
                  <c:x val="1.3888888888888888E-2"/>
                  <c:y val="-7.2660213300146305E-17"/>
                </c:manualLayout>
              </c:layout>
              <c:dLblPos val="outEnd"/>
              <c:showLegendKey val="0"/>
              <c:showVal val="1"/>
              <c:showCatName val="0"/>
              <c:showSerName val="0"/>
              <c:showPercent val="0"/>
              <c:showBubbleSize val="0"/>
            </c:dLbl>
            <c:dLbl>
              <c:idx val="1"/>
              <c:layout>
                <c:manualLayout>
                  <c:x val="1.3888888888888846E-2"/>
                  <c:y val="-1.585332058410124E-2"/>
                </c:manualLayout>
              </c:layout>
              <c:dLblPos val="outEnd"/>
              <c:showLegendKey val="0"/>
              <c:showVal val="1"/>
              <c:showCatName val="0"/>
              <c:showSerName val="0"/>
              <c:showPercent val="0"/>
              <c:showBubbleSize val="0"/>
            </c:dLbl>
            <c:dLbl>
              <c:idx val="2"/>
              <c:layout>
                <c:manualLayout>
                  <c:x val="1.1574074074074073E-2"/>
                  <c:y val="-3.1207323984451261E-7"/>
                </c:manualLayout>
              </c:layout>
              <c:dLblPos val="outEnd"/>
              <c:showLegendKey val="0"/>
              <c:showVal val="1"/>
              <c:showCatName val="0"/>
              <c:showSerName val="0"/>
              <c:showPercent val="0"/>
              <c:showBubbleSize val="0"/>
            </c:dLbl>
            <c:dLbl>
              <c:idx val="3"/>
              <c:layout>
                <c:manualLayout>
                  <c:x val="1.3651183310259444E-2"/>
                  <c:y val="2.1720595321259455E-2"/>
                </c:manualLayout>
              </c:layout>
              <c:dLblPos val="outEnd"/>
              <c:showLegendKey val="0"/>
              <c:showVal val="1"/>
              <c:showCatName val="0"/>
              <c:showSerName val="0"/>
              <c:showPercent val="0"/>
              <c:showBubbleSize val="0"/>
            </c:dLbl>
            <c:dLbl>
              <c:idx val="4"/>
              <c:layout>
                <c:manualLayout>
                  <c:x val="1.1811820095434614E-2"/>
                  <c:y val="2.2670300064933709E-2"/>
                </c:manualLayout>
              </c:layout>
              <c:dLblPos val="outEnd"/>
              <c:showLegendKey val="0"/>
              <c:showVal val="1"/>
              <c:showCatName val="0"/>
              <c:showSerName val="0"/>
              <c:showPercent val="0"/>
              <c:showBubbleSize val="0"/>
            </c:dLbl>
            <c:dLbl>
              <c:idx val="5"/>
              <c:layout>
                <c:manualLayout>
                  <c:x val="1.3651038759497219E-2"/>
                  <c:y val="1.9658118996631033E-2"/>
                </c:manualLayout>
              </c:layout>
              <c:dLblPos val="outEnd"/>
              <c:showLegendKey val="0"/>
              <c:showVal val="1"/>
              <c:showCatName val="0"/>
              <c:showSerName val="0"/>
              <c:showPercent val="0"/>
              <c:showBubbleSize val="0"/>
            </c:dLbl>
            <c:dLbl>
              <c:idx val="6"/>
              <c:layout>
                <c:manualLayout>
                  <c:x val="1.3888888888888888E-2"/>
                  <c:y val="1.1889990438075931E-2"/>
                </c:manualLayout>
              </c:layout>
              <c:dLblPos val="outEnd"/>
              <c:showLegendKey val="0"/>
              <c:showVal val="1"/>
              <c:showCatName val="0"/>
              <c:showSerName val="0"/>
              <c:showPercent val="0"/>
              <c:showBubbleSize val="0"/>
            </c:dLbl>
            <c:dLbl>
              <c:idx val="7"/>
              <c:layout>
                <c:manualLayout>
                  <c:x val="1.8757217412294896E-2"/>
                  <c:y val="0"/>
                </c:manualLayout>
              </c:layout>
              <c:dLblPos val="outEnd"/>
              <c:showLegendKey val="0"/>
              <c:showVal val="1"/>
              <c:showCatName val="0"/>
              <c:showSerName val="0"/>
              <c:showPercent val="0"/>
              <c:showBubbleSize val="0"/>
            </c:dLbl>
            <c:txPr>
              <a:bodyPr/>
              <a:lstStyle/>
              <a:p>
                <a:pPr>
                  <a:defRPr sz="900"/>
                </a:pPr>
                <a:endParaRPr lang="ru-RU"/>
              </a:p>
            </c:txPr>
            <c:dLblPos val="outEnd"/>
            <c:showLegendKey val="0"/>
            <c:showVal val="1"/>
            <c:showCatName val="0"/>
            <c:showSerName val="0"/>
            <c:showPercent val="0"/>
            <c:showBubbleSize val="0"/>
            <c:showLeaderLines val="0"/>
          </c:dLbls>
          <c:cat>
            <c:numRef>
              <c:f>Лист1!$A$2:$A$9</c:f>
              <c:numCache>
                <c:formatCode>General</c:formatCode>
                <c:ptCount val="4"/>
                <c:pt idx="0">
                  <c:v>2015</c:v>
                </c:pt>
                <c:pt idx="1">
                  <c:v>2016</c:v>
                </c:pt>
                <c:pt idx="2">
                  <c:v>2017</c:v>
                </c:pt>
                <c:pt idx="3">
                  <c:v>2018</c:v>
                </c:pt>
              </c:numCache>
            </c:numRef>
          </c:cat>
          <c:val>
            <c:numRef>
              <c:f>Лист1!$C$2:$C$9</c:f>
              <c:numCache>
                <c:formatCode>_-* #,##0.0_р_._-;\-* #,##0.0_р_._-;_-* "-"??_р_._-;_-@_-</c:formatCode>
                <c:ptCount val="4"/>
                <c:pt idx="0">
                  <c:v>1197</c:v>
                </c:pt>
                <c:pt idx="1">
                  <c:v>1048.9000000000001</c:v>
                </c:pt>
                <c:pt idx="2">
                  <c:v>2397.6</c:v>
                </c:pt>
                <c:pt idx="3">
                  <c:v>2637.6</c:v>
                </c:pt>
              </c:numCache>
            </c:numRef>
          </c:val>
        </c:ser>
        <c:dLbls>
          <c:dLblPos val="outEnd"/>
          <c:showLegendKey val="0"/>
          <c:showVal val="1"/>
          <c:showCatName val="0"/>
          <c:showSerName val="0"/>
          <c:showPercent val="0"/>
          <c:showBubbleSize val="0"/>
        </c:dLbls>
        <c:gapWidth val="150"/>
        <c:axId val="145935872"/>
        <c:axId val="82825152"/>
      </c:barChart>
      <c:catAx>
        <c:axId val="145935872"/>
        <c:scaling>
          <c:orientation val="minMax"/>
        </c:scaling>
        <c:delete val="0"/>
        <c:axPos val="b"/>
        <c:numFmt formatCode="General" sourceLinked="1"/>
        <c:majorTickMark val="out"/>
        <c:minorTickMark val="none"/>
        <c:tickLblPos val="nextTo"/>
        <c:crossAx val="82825152"/>
        <c:crosses val="autoZero"/>
        <c:auto val="1"/>
        <c:lblAlgn val="ctr"/>
        <c:lblOffset val="100"/>
        <c:noMultiLvlLbl val="0"/>
      </c:catAx>
      <c:valAx>
        <c:axId val="82825152"/>
        <c:scaling>
          <c:orientation val="minMax"/>
          <c:max val="11000"/>
          <c:min val="0"/>
        </c:scaling>
        <c:delete val="0"/>
        <c:axPos val="l"/>
        <c:majorGridlines/>
        <c:numFmt formatCode="_-* #,##0.0_р_._-;\-* #,##0.0_р_._-;_-* &quot;-&quot;??_р_._-;_-@_-" sourceLinked="1"/>
        <c:majorTickMark val="out"/>
        <c:minorTickMark val="none"/>
        <c:tickLblPos val="nextTo"/>
        <c:txPr>
          <a:bodyPr/>
          <a:lstStyle/>
          <a:p>
            <a:pPr>
              <a:defRPr sz="900"/>
            </a:pPr>
            <a:endParaRPr lang="ru-RU"/>
          </a:p>
        </c:txPr>
        <c:crossAx val="145935872"/>
        <c:crosses val="autoZero"/>
        <c:crossBetween val="between"/>
        <c:majorUnit val="2000"/>
        <c:minorUnit val="1000"/>
      </c:valAx>
    </c:plotArea>
    <c:legend>
      <c:legendPos val="b"/>
      <c:layout>
        <c:manualLayout>
          <c:xMode val="edge"/>
          <c:yMode val="edge"/>
          <c:x val="1.4688115388720698E-3"/>
          <c:y val="0.76897258119813117"/>
          <c:w val="0.98924170960690927"/>
          <c:h val="0.22911940793295044"/>
        </c:manualLayout>
      </c:layout>
      <c:overlay val="0"/>
      <c:txPr>
        <a:bodyPr/>
        <a:lstStyle/>
        <a:p>
          <a:pPr algn="just">
            <a:defRPr sz="700"/>
          </a:pPr>
          <a:endParaRPr lang="ru-RU"/>
        </a:p>
      </c:txPr>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5549722951297744E-2"/>
          <c:y val="2.9312856220131491E-2"/>
          <c:w val="0.88898731408573928"/>
          <c:h val="0.71155589450469969"/>
        </c:manualLayout>
      </c:layout>
      <c:barChart>
        <c:barDir val="col"/>
        <c:grouping val="clustered"/>
        <c:varyColors val="0"/>
        <c:ser>
          <c:idx val="0"/>
          <c:order val="0"/>
          <c:tx>
            <c:strRef>
              <c:f>Лист1!$B$1</c:f>
              <c:strCache>
                <c:ptCount val="1"/>
                <c:pt idx="0">
                  <c:v>Первоначальная  редакция федерального закона о федеральном  бюджете</c:v>
                </c:pt>
              </c:strCache>
            </c:strRef>
          </c:tx>
          <c:invertIfNegative val="0"/>
          <c:dLbls>
            <c:dLbl>
              <c:idx val="1"/>
              <c:layout>
                <c:manualLayout>
                  <c:x val="1.967592664318776E-3"/>
                  <c:y val="1.904332102900563E-2"/>
                </c:manualLayout>
              </c:layout>
              <c:showLegendKey val="0"/>
              <c:showVal val="1"/>
              <c:showCatName val="0"/>
              <c:showSerName val="0"/>
              <c:showPercent val="0"/>
              <c:showBubbleSize val="0"/>
            </c:dLbl>
            <c:txPr>
              <a:bodyPr/>
              <a:lstStyle/>
              <a:p>
                <a:pPr>
                  <a:defRPr sz="1000"/>
                </a:pPr>
                <a:endParaRPr lang="ru-RU"/>
              </a:p>
            </c:txPr>
            <c:showLegendKey val="0"/>
            <c:showVal val="1"/>
            <c:showCatName val="0"/>
            <c:showSerName val="0"/>
            <c:showPercent val="0"/>
            <c:showBubbleSize val="0"/>
            <c:showLeaderLines val="0"/>
          </c:dLbls>
          <c:cat>
            <c:numRef>
              <c:f>Лист1!$A$2:$A$7</c:f>
              <c:numCache>
                <c:formatCode>General</c:formatCode>
                <c:ptCount val="4"/>
                <c:pt idx="0">
                  <c:v>2015</c:v>
                </c:pt>
                <c:pt idx="1">
                  <c:v>2016</c:v>
                </c:pt>
                <c:pt idx="2">
                  <c:v>2017</c:v>
                </c:pt>
                <c:pt idx="3">
                  <c:v>2018</c:v>
                </c:pt>
              </c:numCache>
            </c:numRef>
          </c:cat>
          <c:val>
            <c:numRef>
              <c:f>Лист1!$B$2:$B$7</c:f>
              <c:numCache>
                <c:formatCode>#,##0.0</c:formatCode>
                <c:ptCount val="4"/>
                <c:pt idx="0">
                  <c:v>158.5</c:v>
                </c:pt>
                <c:pt idx="1">
                  <c:v>33.200000000000003</c:v>
                </c:pt>
                <c:pt idx="2">
                  <c:v>138.19999999999999</c:v>
                </c:pt>
                <c:pt idx="3">
                  <c:v>13</c:v>
                </c:pt>
              </c:numCache>
            </c:numRef>
          </c:val>
        </c:ser>
        <c:ser>
          <c:idx val="1"/>
          <c:order val="1"/>
          <c:tx>
            <c:strRef>
              <c:f>Лист1!$C$1</c:f>
              <c:strCache>
                <c:ptCount val="1"/>
                <c:pt idx="0">
                  <c:v>Последняя редакция федерального закона о федеральном  бюджете</c:v>
                </c:pt>
              </c:strCache>
            </c:strRef>
          </c:tx>
          <c:spPr>
            <a:pattFill prst="pct40">
              <a:fgClr>
                <a:schemeClr val="accent2"/>
              </a:fgClr>
              <a:bgClr>
                <a:schemeClr val="bg1"/>
              </a:bgClr>
            </a:pattFill>
          </c:spPr>
          <c:invertIfNegative val="0"/>
          <c:dLbls>
            <c:dLbl>
              <c:idx val="2"/>
              <c:layout>
                <c:manualLayout>
                  <c:x val="0"/>
                  <c:y val="6.3945170289260089E-3"/>
                </c:manualLayout>
              </c:layout>
              <c:showLegendKey val="0"/>
              <c:showVal val="1"/>
              <c:showCatName val="0"/>
              <c:showSerName val="0"/>
              <c:showPercent val="0"/>
              <c:showBubbleSize val="0"/>
            </c:dLbl>
            <c:dLbl>
              <c:idx val="4"/>
              <c:layout>
                <c:manualLayout>
                  <c:x val="-5.898452794032066E-3"/>
                  <c:y val="6.3945170289261269E-3"/>
                </c:manualLayout>
              </c:layout>
              <c:showLegendKey val="0"/>
              <c:showVal val="1"/>
              <c:showCatName val="0"/>
              <c:showSerName val="0"/>
              <c:showPercent val="0"/>
              <c:showBubbleSize val="0"/>
            </c:dLbl>
            <c:txPr>
              <a:bodyPr/>
              <a:lstStyle/>
              <a:p>
                <a:pPr>
                  <a:defRPr sz="1000"/>
                </a:pPr>
                <a:endParaRPr lang="ru-RU"/>
              </a:p>
            </c:txPr>
            <c:showLegendKey val="0"/>
            <c:showVal val="1"/>
            <c:showCatName val="0"/>
            <c:showSerName val="0"/>
            <c:showPercent val="0"/>
            <c:showBubbleSize val="0"/>
            <c:showLeaderLines val="0"/>
          </c:dLbls>
          <c:cat>
            <c:numRef>
              <c:f>Лист1!$A$2:$A$7</c:f>
              <c:numCache>
                <c:formatCode>General</c:formatCode>
                <c:ptCount val="4"/>
                <c:pt idx="0">
                  <c:v>2015</c:v>
                </c:pt>
                <c:pt idx="1">
                  <c:v>2016</c:v>
                </c:pt>
                <c:pt idx="2">
                  <c:v>2017</c:v>
                </c:pt>
                <c:pt idx="3">
                  <c:v>2018</c:v>
                </c:pt>
              </c:numCache>
            </c:numRef>
          </c:cat>
          <c:val>
            <c:numRef>
              <c:f>Лист1!$C$2:$C$7</c:f>
              <c:numCache>
                <c:formatCode>#,##0.0</c:formatCode>
                <c:ptCount val="4"/>
                <c:pt idx="0">
                  <c:v>5</c:v>
                </c:pt>
                <c:pt idx="1">
                  <c:v>405.3</c:v>
                </c:pt>
                <c:pt idx="2">
                  <c:v>18.399999999999999</c:v>
                </c:pt>
                <c:pt idx="3">
                  <c:v>15.8</c:v>
                </c:pt>
              </c:numCache>
            </c:numRef>
          </c:val>
        </c:ser>
        <c:ser>
          <c:idx val="2"/>
          <c:order val="2"/>
          <c:tx>
            <c:strRef>
              <c:f>Лист1!$D$1</c:f>
              <c:strCache>
                <c:ptCount val="1"/>
                <c:pt idx="0">
                  <c:v>Фактические поступления в бюджет</c:v>
                </c:pt>
              </c:strCache>
            </c:strRef>
          </c:tx>
          <c:spPr>
            <a:pattFill prst="dkUpDiag">
              <a:fgClr>
                <a:schemeClr val="accent3">
                  <a:lumMod val="75000"/>
                </a:schemeClr>
              </a:fgClr>
              <a:bgClr>
                <a:schemeClr val="bg1"/>
              </a:bgClr>
            </a:pattFill>
            <a:ln>
              <a:solidFill>
                <a:schemeClr val="tx1"/>
              </a:solidFill>
            </a:ln>
          </c:spPr>
          <c:invertIfNegative val="0"/>
          <c:dLbls>
            <c:dLbl>
              <c:idx val="2"/>
              <c:layout>
                <c:manualLayout>
                  <c:x val="3.9323018626880443E-3"/>
                  <c:y val="-3.1972585144630634E-3"/>
                </c:manualLayout>
              </c:layout>
              <c:showLegendKey val="0"/>
              <c:showVal val="1"/>
              <c:showCatName val="0"/>
              <c:showSerName val="0"/>
              <c:showPercent val="0"/>
              <c:showBubbleSize val="0"/>
            </c:dLbl>
            <c:dLbl>
              <c:idx val="4"/>
              <c:layout>
                <c:manualLayout>
                  <c:x val="1.1796905588063988E-2"/>
                  <c:y val="-6.3945170289261269E-3"/>
                </c:manualLayout>
              </c:layout>
              <c:showLegendKey val="0"/>
              <c:showVal val="1"/>
              <c:showCatName val="0"/>
              <c:showSerName val="0"/>
              <c:showPercent val="0"/>
              <c:showBubbleSize val="0"/>
            </c:dLbl>
            <c:dLbl>
              <c:idx val="5"/>
              <c:layout>
                <c:manualLayout>
                  <c:x val="0"/>
                  <c:y val="9.5917755433891898E-3"/>
                </c:manualLayout>
              </c:layout>
              <c:showLegendKey val="0"/>
              <c:showVal val="1"/>
              <c:showCatName val="0"/>
              <c:showSerName val="0"/>
              <c:showPercent val="0"/>
              <c:showBubbleSize val="0"/>
            </c:dLbl>
            <c:dLbl>
              <c:idx val="10"/>
              <c:layout>
                <c:manualLayout>
                  <c:x val="-3.0570501603966172E-2"/>
                  <c:y val="-3.9827111477873413E-2"/>
                </c:manualLayout>
              </c:layout>
              <c:dLblPos val="outEnd"/>
              <c:showLegendKey val="0"/>
              <c:showVal val="1"/>
              <c:showCatName val="0"/>
              <c:showSerName val="0"/>
              <c:showPercent val="0"/>
              <c:showBubbleSize val="0"/>
            </c:dLbl>
            <c:txPr>
              <a:bodyPr/>
              <a:lstStyle/>
              <a:p>
                <a:pPr>
                  <a:defRPr sz="1000"/>
                </a:pPr>
                <a:endParaRPr lang="ru-RU"/>
              </a:p>
            </c:txPr>
            <c:showLegendKey val="0"/>
            <c:showVal val="1"/>
            <c:showCatName val="0"/>
            <c:showSerName val="0"/>
            <c:showPercent val="0"/>
            <c:showBubbleSize val="0"/>
            <c:showLeaderLines val="0"/>
          </c:dLbls>
          <c:cat>
            <c:numRef>
              <c:f>Лист1!$A$2:$A$7</c:f>
              <c:numCache>
                <c:formatCode>General</c:formatCode>
                <c:ptCount val="4"/>
                <c:pt idx="0">
                  <c:v>2015</c:v>
                </c:pt>
                <c:pt idx="1">
                  <c:v>2016</c:v>
                </c:pt>
                <c:pt idx="2">
                  <c:v>2017</c:v>
                </c:pt>
                <c:pt idx="3">
                  <c:v>2018</c:v>
                </c:pt>
              </c:numCache>
            </c:numRef>
          </c:cat>
          <c:val>
            <c:numRef>
              <c:f>Лист1!$D$2:$D$7</c:f>
              <c:numCache>
                <c:formatCode>#,##0.0</c:formatCode>
                <c:ptCount val="4"/>
                <c:pt idx="0">
                  <c:v>6.3</c:v>
                </c:pt>
                <c:pt idx="1">
                  <c:v>406.8</c:v>
                </c:pt>
                <c:pt idx="2">
                  <c:v>14.3</c:v>
                </c:pt>
                <c:pt idx="3">
                  <c:v>12.8</c:v>
                </c:pt>
              </c:numCache>
            </c:numRef>
          </c:val>
        </c:ser>
        <c:dLbls>
          <c:showLegendKey val="0"/>
          <c:showVal val="0"/>
          <c:showCatName val="0"/>
          <c:showSerName val="0"/>
          <c:showPercent val="0"/>
          <c:showBubbleSize val="0"/>
        </c:dLbls>
        <c:gapWidth val="100"/>
        <c:axId val="145933312"/>
        <c:axId val="83268096"/>
      </c:barChart>
      <c:catAx>
        <c:axId val="145933312"/>
        <c:scaling>
          <c:orientation val="minMax"/>
        </c:scaling>
        <c:delete val="0"/>
        <c:axPos val="b"/>
        <c:numFmt formatCode="General" sourceLinked="1"/>
        <c:majorTickMark val="out"/>
        <c:minorTickMark val="none"/>
        <c:tickLblPos val="nextTo"/>
        <c:txPr>
          <a:bodyPr/>
          <a:lstStyle/>
          <a:p>
            <a:pPr>
              <a:defRPr sz="1000"/>
            </a:pPr>
            <a:endParaRPr lang="ru-RU"/>
          </a:p>
        </c:txPr>
        <c:crossAx val="83268096"/>
        <c:crosses val="autoZero"/>
        <c:auto val="1"/>
        <c:lblAlgn val="ctr"/>
        <c:lblOffset val="100"/>
        <c:noMultiLvlLbl val="0"/>
      </c:catAx>
      <c:valAx>
        <c:axId val="83268096"/>
        <c:scaling>
          <c:orientation val="minMax"/>
        </c:scaling>
        <c:delete val="0"/>
        <c:axPos val="l"/>
        <c:title>
          <c:tx>
            <c:rich>
              <a:bodyPr rot="0" vert="horz"/>
              <a:lstStyle/>
              <a:p>
                <a:pPr>
                  <a:defRPr sz="900" b="0"/>
                </a:pPr>
                <a:r>
                  <a:rPr lang="ru-RU" sz="900" b="0"/>
                  <a:t>млрд. рублей</a:t>
                </a:r>
              </a:p>
            </c:rich>
          </c:tx>
          <c:layout>
            <c:manualLayout>
              <c:xMode val="edge"/>
              <c:yMode val="edge"/>
              <c:x val="6.4059711048669241E-3"/>
              <c:y val="0.81685788884130084"/>
            </c:manualLayout>
          </c:layout>
          <c:overlay val="0"/>
        </c:title>
        <c:numFmt formatCode="#,##0.0" sourceLinked="1"/>
        <c:majorTickMark val="out"/>
        <c:minorTickMark val="none"/>
        <c:tickLblPos val="nextTo"/>
        <c:txPr>
          <a:bodyPr/>
          <a:lstStyle/>
          <a:p>
            <a:pPr>
              <a:defRPr sz="1000"/>
            </a:pPr>
            <a:endParaRPr lang="ru-RU"/>
          </a:p>
        </c:txPr>
        <c:crossAx val="145933312"/>
        <c:crosses val="autoZero"/>
        <c:crossBetween val="between"/>
      </c:valAx>
    </c:plotArea>
    <c:legend>
      <c:legendPos val="b"/>
      <c:layout>
        <c:manualLayout>
          <c:xMode val="edge"/>
          <c:yMode val="edge"/>
          <c:x val="0.15101266187880361"/>
          <c:y val="0.82170663573692304"/>
          <c:w val="0.60509886813598857"/>
          <c:h val="0.17829336426307707"/>
        </c:manualLayout>
      </c:layout>
      <c:overlay val="0"/>
    </c:legend>
    <c:plotVisOnly val="1"/>
    <c:dispBlanksAs val="gap"/>
    <c:showDLblsOverMax val="0"/>
  </c:chart>
  <c:spPr>
    <a:ln>
      <a:noFill/>
    </a:ln>
  </c:spPr>
  <c:txPr>
    <a:bodyPr/>
    <a:lstStyle/>
    <a:p>
      <a:pPr>
        <a:defRPr sz="800">
          <a:latin typeface="Times New Roman" pitchFamily="18" charset="0"/>
          <a:cs typeface="Times New Roman" pitchFamily="18" charset="0"/>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075868820362211"/>
          <c:y val="9.5368816267014864E-2"/>
          <c:w val="0.80112093917775706"/>
          <c:h val="0.69094122284025183"/>
        </c:manualLayout>
      </c:layout>
      <c:barChart>
        <c:barDir val="col"/>
        <c:grouping val="clustered"/>
        <c:varyColors val="0"/>
        <c:ser>
          <c:idx val="0"/>
          <c:order val="0"/>
          <c:tx>
            <c:strRef>
              <c:f>'12.7 депозиты и репо'!$A$68:$E$68</c:f>
              <c:strCache>
                <c:ptCount val="1"/>
                <c:pt idx="0">
                  <c:v>Объем размещенных средств на конец отчетного периода в валюте Российской Феерации</c:v>
                </c:pt>
              </c:strCache>
            </c:strRef>
          </c:tx>
          <c:invertIfNegative val="0"/>
          <c:dLbls>
            <c:dLbl>
              <c:idx val="2"/>
              <c:layout>
                <c:manualLayout>
                  <c:x val="0"/>
                  <c:y val="2.3627546519290311E-2"/>
                </c:manualLayout>
              </c:layout>
              <c:dLblPos val="outEnd"/>
              <c:showLegendKey val="0"/>
              <c:showVal val="1"/>
              <c:showCatName val="0"/>
              <c:showSerName val="0"/>
              <c:showPercent val="0"/>
              <c:showBubbleSize val="0"/>
            </c:dLbl>
            <c:dLbl>
              <c:idx val="3"/>
              <c:layout>
                <c:manualLayout>
                  <c:x val="-1.9478321471751295E-3"/>
                  <c:y val="2.5777095121525598E-2"/>
                </c:manualLayout>
              </c:layout>
              <c:dLblPos val="outEnd"/>
              <c:showLegendKey val="0"/>
              <c:showVal val="1"/>
              <c:showCatName val="0"/>
              <c:showSerName val="0"/>
              <c:showPercent val="0"/>
              <c:showBubbleSize val="0"/>
            </c:dLbl>
            <c:txPr>
              <a:bodyPr/>
              <a:lstStyle/>
              <a:p>
                <a:pPr>
                  <a:defRPr sz="1200"/>
                </a:pPr>
                <a:endParaRPr lang="ru-RU"/>
              </a:p>
            </c:txPr>
            <c:dLblPos val="outEnd"/>
            <c:showLegendKey val="0"/>
            <c:showVal val="1"/>
            <c:showCatName val="0"/>
            <c:showSerName val="0"/>
            <c:showPercent val="0"/>
            <c:showBubbleSize val="0"/>
            <c:showLeaderLines val="0"/>
          </c:dLbls>
          <c:cat>
            <c:numRef>
              <c:f>'12.7 депозиты и репо'!$F$67:$I$67</c:f>
              <c:numCache>
                <c:formatCode>General</c:formatCode>
                <c:ptCount val="4"/>
                <c:pt idx="0">
                  <c:v>2015</c:v>
                </c:pt>
                <c:pt idx="1">
                  <c:v>2016</c:v>
                </c:pt>
                <c:pt idx="2">
                  <c:v>2017</c:v>
                </c:pt>
                <c:pt idx="3">
                  <c:v>2018</c:v>
                </c:pt>
              </c:numCache>
            </c:numRef>
          </c:cat>
          <c:val>
            <c:numRef>
              <c:f>'12.7 депозиты и репо'!$F$68:$I$68</c:f>
              <c:numCache>
                <c:formatCode>#,##0.0</c:formatCode>
                <c:ptCount val="4"/>
                <c:pt idx="0">
                  <c:v>250</c:v>
                </c:pt>
                <c:pt idx="1">
                  <c:v>141</c:v>
                </c:pt>
                <c:pt idx="2">
                  <c:v>859.3</c:v>
                </c:pt>
                <c:pt idx="3">
                  <c:v>1497.8</c:v>
                </c:pt>
              </c:numCache>
            </c:numRef>
          </c:val>
        </c:ser>
        <c:dLbls>
          <c:showLegendKey val="0"/>
          <c:showVal val="0"/>
          <c:showCatName val="0"/>
          <c:showSerName val="0"/>
          <c:showPercent val="0"/>
          <c:showBubbleSize val="0"/>
        </c:dLbls>
        <c:gapWidth val="150"/>
        <c:axId val="166540288"/>
        <c:axId val="83269824"/>
      </c:barChart>
      <c:lineChart>
        <c:grouping val="standard"/>
        <c:varyColors val="0"/>
        <c:ser>
          <c:idx val="1"/>
          <c:order val="1"/>
          <c:tx>
            <c:strRef>
              <c:f>'12.7 депозиты и репо'!$A$69:$E$69</c:f>
              <c:strCache>
                <c:ptCount val="1"/>
                <c:pt idx="0">
                  <c:v>Объем размещенных средств на конец отчетного периода в иностранной валюте</c:v>
                </c:pt>
              </c:strCache>
            </c:strRef>
          </c:tx>
          <c:marker>
            <c:spPr>
              <a:ln cap="sq"/>
            </c:spPr>
          </c:marker>
          <c:dLbls>
            <c:dLbl>
              <c:idx val="0"/>
              <c:layout>
                <c:manualLayout>
                  <c:x val="2.9725931835613058E-2"/>
                  <c:y val="-4.1750816873847081E-2"/>
                </c:manualLayout>
              </c:layout>
              <c:dLblPos val="r"/>
              <c:showLegendKey val="0"/>
              <c:showVal val="1"/>
              <c:showCatName val="0"/>
              <c:showSerName val="0"/>
              <c:showPercent val="0"/>
              <c:showBubbleSize val="0"/>
            </c:dLbl>
            <c:dLbl>
              <c:idx val="1"/>
              <c:layout>
                <c:manualLayout>
                  <c:x val="-4.4113336837386233E-2"/>
                  <c:y val="-6.2505837120252303E-2"/>
                </c:manualLayout>
              </c:layout>
              <c:dLblPos val="r"/>
              <c:showLegendKey val="0"/>
              <c:showVal val="1"/>
              <c:showCatName val="0"/>
              <c:showSerName val="0"/>
              <c:showPercent val="0"/>
              <c:showBubbleSize val="0"/>
            </c:dLbl>
            <c:dLbl>
              <c:idx val="2"/>
              <c:layout>
                <c:manualLayout>
                  <c:x val="2.4762565472267579E-2"/>
                  <c:y val="-2.4502005072508843E-2"/>
                </c:manualLayout>
              </c:layout>
              <c:dLblPos val="r"/>
              <c:showLegendKey val="0"/>
              <c:showVal val="1"/>
              <c:showCatName val="0"/>
              <c:showSerName val="0"/>
              <c:showPercent val="0"/>
              <c:showBubbleSize val="0"/>
            </c:dLbl>
            <c:dLbl>
              <c:idx val="3"/>
              <c:layout>
                <c:manualLayout>
                  <c:x val="2.3595302442351453E-2"/>
                  <c:y val="-3.574940810205314E-2"/>
                </c:manualLayout>
              </c:layout>
              <c:dLblPos val="r"/>
              <c:showLegendKey val="0"/>
              <c:showVal val="1"/>
              <c:showCatName val="0"/>
              <c:showSerName val="0"/>
              <c:showPercent val="0"/>
              <c:showBubbleSize val="0"/>
            </c:dLbl>
            <c:txPr>
              <a:bodyPr/>
              <a:lstStyle/>
              <a:p>
                <a:pPr>
                  <a:defRPr sz="1050"/>
                </a:pPr>
                <a:endParaRPr lang="ru-RU"/>
              </a:p>
            </c:txPr>
            <c:dLblPos val="t"/>
            <c:showLegendKey val="0"/>
            <c:showVal val="1"/>
            <c:showCatName val="0"/>
            <c:showSerName val="0"/>
            <c:showPercent val="0"/>
            <c:showBubbleSize val="0"/>
            <c:showLeaderLines val="0"/>
          </c:dLbls>
          <c:val>
            <c:numRef>
              <c:f>'12.7 депозиты и репо'!$F$69:$I$69</c:f>
              <c:numCache>
                <c:formatCode>#,##0.0</c:formatCode>
                <c:ptCount val="4"/>
                <c:pt idx="0">
                  <c:v>0</c:v>
                </c:pt>
                <c:pt idx="1">
                  <c:v>1500</c:v>
                </c:pt>
                <c:pt idx="2">
                  <c:v>200</c:v>
                </c:pt>
                <c:pt idx="3">
                  <c:v>1000</c:v>
                </c:pt>
              </c:numCache>
            </c:numRef>
          </c:val>
          <c:smooth val="0"/>
        </c:ser>
        <c:dLbls>
          <c:showLegendKey val="0"/>
          <c:showVal val="0"/>
          <c:showCatName val="0"/>
          <c:showSerName val="0"/>
          <c:showPercent val="0"/>
          <c:showBubbleSize val="0"/>
        </c:dLbls>
        <c:marker val="1"/>
        <c:smooth val="0"/>
        <c:axId val="145555456"/>
        <c:axId val="83270400"/>
      </c:lineChart>
      <c:catAx>
        <c:axId val="166540288"/>
        <c:scaling>
          <c:orientation val="minMax"/>
        </c:scaling>
        <c:delete val="0"/>
        <c:axPos val="b"/>
        <c:numFmt formatCode="General" sourceLinked="1"/>
        <c:majorTickMark val="out"/>
        <c:minorTickMark val="none"/>
        <c:tickLblPos val="nextTo"/>
        <c:crossAx val="83269824"/>
        <c:crosses val="autoZero"/>
        <c:auto val="1"/>
        <c:lblAlgn val="ctr"/>
        <c:lblOffset val="100"/>
        <c:noMultiLvlLbl val="0"/>
      </c:catAx>
      <c:valAx>
        <c:axId val="83269824"/>
        <c:scaling>
          <c:orientation val="minMax"/>
        </c:scaling>
        <c:delete val="0"/>
        <c:axPos val="l"/>
        <c:majorGridlines/>
        <c:title>
          <c:tx>
            <c:rich>
              <a:bodyPr rot="0" vert="horz"/>
              <a:lstStyle/>
              <a:p>
                <a:pPr>
                  <a:defRPr sz="1000" b="0"/>
                </a:pPr>
                <a:r>
                  <a:rPr lang="ru-RU" sz="1000" b="0"/>
                  <a:t>млрд. рублей</a:t>
                </a:r>
              </a:p>
            </c:rich>
          </c:tx>
          <c:layout>
            <c:manualLayout>
              <c:xMode val="edge"/>
              <c:yMode val="edge"/>
              <c:x val="1.5663240332843859E-2"/>
              <c:y val="1.8571673430826698E-3"/>
            </c:manualLayout>
          </c:layout>
          <c:overlay val="0"/>
        </c:title>
        <c:numFmt formatCode="#,##0.0" sourceLinked="1"/>
        <c:majorTickMark val="out"/>
        <c:minorTickMark val="none"/>
        <c:tickLblPos val="nextTo"/>
        <c:txPr>
          <a:bodyPr/>
          <a:lstStyle/>
          <a:p>
            <a:pPr>
              <a:defRPr sz="1050"/>
            </a:pPr>
            <a:endParaRPr lang="ru-RU"/>
          </a:p>
        </c:txPr>
        <c:crossAx val="166540288"/>
        <c:crosses val="autoZero"/>
        <c:crossBetween val="between"/>
      </c:valAx>
      <c:valAx>
        <c:axId val="83270400"/>
        <c:scaling>
          <c:orientation val="minMax"/>
        </c:scaling>
        <c:delete val="0"/>
        <c:axPos val="r"/>
        <c:title>
          <c:tx>
            <c:rich>
              <a:bodyPr rot="0" vert="horz"/>
              <a:lstStyle/>
              <a:p>
                <a:pPr>
                  <a:defRPr b="0"/>
                </a:pPr>
                <a:r>
                  <a:rPr lang="ru-RU" b="0"/>
                  <a:t>млн. долларов США</a:t>
                </a:r>
              </a:p>
            </c:rich>
          </c:tx>
          <c:layout>
            <c:manualLayout>
              <c:xMode val="edge"/>
              <c:yMode val="edge"/>
              <c:x val="0.80550171316691144"/>
              <c:y val="8.7566920636179633E-3"/>
            </c:manualLayout>
          </c:layout>
          <c:overlay val="0"/>
        </c:title>
        <c:numFmt formatCode="#,##0.0" sourceLinked="1"/>
        <c:majorTickMark val="out"/>
        <c:minorTickMark val="none"/>
        <c:tickLblPos val="nextTo"/>
        <c:txPr>
          <a:bodyPr/>
          <a:lstStyle/>
          <a:p>
            <a:pPr>
              <a:defRPr sz="1050"/>
            </a:pPr>
            <a:endParaRPr lang="ru-RU"/>
          </a:p>
        </c:txPr>
        <c:crossAx val="145555456"/>
        <c:crosses val="max"/>
        <c:crossBetween val="between"/>
      </c:valAx>
      <c:catAx>
        <c:axId val="145555456"/>
        <c:scaling>
          <c:orientation val="minMax"/>
        </c:scaling>
        <c:delete val="1"/>
        <c:axPos val="b"/>
        <c:majorTickMark val="out"/>
        <c:minorTickMark val="none"/>
        <c:tickLblPos val="nextTo"/>
        <c:crossAx val="83270400"/>
        <c:crosses val="autoZero"/>
        <c:auto val="1"/>
        <c:lblAlgn val="ctr"/>
        <c:lblOffset val="100"/>
        <c:noMultiLvlLbl val="0"/>
      </c:catAx>
    </c:plotArea>
    <c:legend>
      <c:legendPos val="b"/>
      <c:layout>
        <c:manualLayout>
          <c:xMode val="edge"/>
          <c:yMode val="edge"/>
          <c:x val="0.16986124031661717"/>
          <c:y val="0.85896767039280775"/>
          <c:w val="0.70702411278162858"/>
          <c:h val="0.13953311609724142"/>
        </c:manualLayout>
      </c:layout>
      <c:overlay val="0"/>
      <c:txPr>
        <a:bodyPr/>
        <a:lstStyle/>
        <a:p>
          <a:pPr>
            <a:defRPr sz="800"/>
          </a:pPr>
          <a:endParaRPr lang="ru-RU"/>
        </a:p>
      </c:txPr>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cdr:x>
      <cdr:y>0.02665</cdr:y>
    </cdr:from>
    <cdr:to>
      <cdr:x>0.14509</cdr:x>
      <cdr:y>0.07856</cdr:y>
    </cdr:to>
    <cdr:sp macro="" textlink="">
      <cdr:nvSpPr>
        <cdr:cNvPr id="1025" name="Text Box 1"/>
        <cdr:cNvSpPr txBox="1">
          <a:spLocks xmlns:a="http://schemas.openxmlformats.org/drawingml/2006/main" noChangeArrowheads="1"/>
        </cdr:cNvSpPr>
      </cdr:nvSpPr>
      <cdr:spPr bwMode="auto">
        <a:xfrm xmlns:a="http://schemas.openxmlformats.org/drawingml/2006/main">
          <a:off x="0" y="91112"/>
          <a:ext cx="900960" cy="177472"/>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2860" rIns="0" bIns="0" anchor="t" upright="1"/>
        <a:lstStyle xmlns:a="http://schemas.openxmlformats.org/drawingml/2006/main"/>
        <a:p xmlns:a="http://schemas.openxmlformats.org/drawingml/2006/main">
          <a:pPr algn="l" rtl="0">
            <a:defRPr sz="1000"/>
          </a:pPr>
          <a:r>
            <a:rPr lang="ru-RU" sz="800" b="0" i="0" u="none" strike="noStrike" baseline="0">
              <a:solidFill>
                <a:srgbClr val="000000"/>
              </a:solidFill>
              <a:latin typeface="Times New Roman" pitchFamily="18" charset="0"/>
              <a:cs typeface="Times New Roman" pitchFamily="18" charset="0"/>
            </a:rPr>
            <a:t>млрд</a:t>
          </a:r>
          <a:r>
            <a:rPr lang="ru-RU" sz="800" b="0" i="0" u="none" strike="noStrike" baseline="0">
              <a:solidFill>
                <a:srgbClr val="000000"/>
              </a:solidFill>
              <a:latin typeface="Times New Roman" pitchFamily="18" charset="0"/>
              <a:ea typeface="+mn-ea"/>
              <a:cs typeface="Times New Roman" pitchFamily="18" charset="0"/>
            </a:rPr>
            <a:t>. рублей</a:t>
          </a:r>
          <a:endParaRPr lang="ru-RU" sz="1000" b="0" i="0" u="none" strike="noStrike" baseline="0">
            <a:solidFill>
              <a:srgbClr val="000000"/>
            </a:solidFill>
            <a:latin typeface="Times New Roman" pitchFamily="18" charset="0"/>
            <a:ea typeface="+mn-ea"/>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CE59B-7F55-4205-9820-7AFFB7862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11</Pages>
  <Words>3003</Words>
  <Characters>17121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Зяблова М.М.</dc:creator>
  <cp:lastModifiedBy>Захарова С.В.</cp:lastModifiedBy>
  <cp:revision>7</cp:revision>
  <cp:lastPrinted>2019-08-28T15:22:00Z</cp:lastPrinted>
  <dcterms:created xsi:type="dcterms:W3CDTF">2019-08-28T00:02:00Z</dcterms:created>
  <dcterms:modified xsi:type="dcterms:W3CDTF">2019-08-30T09:19:00Z</dcterms:modified>
</cp:coreProperties>
</file>