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494"/>
        <w:gridCol w:w="4076"/>
      </w:tblGrid>
      <w:tr w:rsidR="00ED3D67" w:rsidTr="000A7F7C">
        <w:trPr>
          <w:jc w:val="center"/>
        </w:trPr>
        <w:tc>
          <w:tcPr>
            <w:tcW w:w="3284" w:type="dxa"/>
          </w:tcPr>
          <w:p w:rsidR="00ED3D67" w:rsidRDefault="00ED3D67" w:rsidP="000A7F7C">
            <w:pPr>
              <w:jc w:val="right"/>
              <w:rPr>
                <w:sz w:val="20"/>
                <w:szCs w:val="20"/>
              </w:rPr>
            </w:pPr>
          </w:p>
        </w:tc>
        <w:tc>
          <w:tcPr>
            <w:tcW w:w="2494" w:type="dxa"/>
          </w:tcPr>
          <w:p w:rsidR="00ED3D67" w:rsidRDefault="00ED3D67" w:rsidP="000A7F7C">
            <w:pPr>
              <w:jc w:val="right"/>
              <w:rPr>
                <w:sz w:val="20"/>
                <w:szCs w:val="20"/>
              </w:rPr>
            </w:pPr>
          </w:p>
        </w:tc>
        <w:tc>
          <w:tcPr>
            <w:tcW w:w="4076" w:type="dxa"/>
          </w:tcPr>
          <w:p w:rsidR="00ED3D67" w:rsidRPr="00ED3D67" w:rsidRDefault="00ED3D67" w:rsidP="000A7F7C">
            <w:pPr>
              <w:widowControl w:val="0"/>
              <w:shd w:val="clear" w:color="auto" w:fill="FFFFFF"/>
              <w:jc w:val="both"/>
              <w:rPr>
                <w:sz w:val="20"/>
                <w:szCs w:val="20"/>
              </w:rPr>
            </w:pPr>
            <w:r w:rsidRPr="00ED3D67">
              <w:rPr>
                <w:rFonts w:ascii="Times New Roman" w:hAnsi="Times New Roman" w:cs="Times New Roman"/>
                <w:color w:val="000000" w:themeColor="text1"/>
                <w:sz w:val="20"/>
                <w:szCs w:val="20"/>
              </w:rPr>
              <w:t>Приложение к подразделу 17 «Результаты проверки и анализа государственного долга Российской Федерации и расходов на его обслуживание, внешних долговых требований Российской Федерации» Заключения Счетной палаты</w:t>
            </w:r>
          </w:p>
        </w:tc>
      </w:tr>
    </w:tbl>
    <w:p w:rsidR="00A0203E" w:rsidRPr="007F352D" w:rsidRDefault="00A0203E" w:rsidP="00A0203E">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244A17" w:rsidRDefault="00A0203E" w:rsidP="00A0203E">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t>Диаграмма № 1</w:t>
      </w:r>
    </w:p>
    <w:p w:rsidR="00856E80" w:rsidRPr="007F352D" w:rsidRDefault="00856E80" w:rsidP="00A0203E">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A0203E" w:rsidRPr="007F352D" w:rsidRDefault="00A0203E"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t xml:space="preserve">Динамика объема и структуры государственного долга </w:t>
      </w:r>
    </w:p>
    <w:p w:rsidR="00A0203E" w:rsidRDefault="00A0203E"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t>Российской Федерации в 20</w:t>
      </w:r>
      <w:r w:rsidR="002121AF">
        <w:rPr>
          <w:rFonts w:ascii="Times New Roman" w:eastAsia="Times New Roman" w:hAnsi="Times New Roman" w:cs="Times New Roman"/>
          <w:snapToGrid w:val="0"/>
          <w:color w:val="000000" w:themeColor="text1"/>
          <w:sz w:val="24"/>
          <w:szCs w:val="24"/>
          <w:lang w:eastAsia="ru-RU"/>
        </w:rPr>
        <w:t>15</w:t>
      </w:r>
      <w:r w:rsidRPr="007F352D">
        <w:rPr>
          <w:rFonts w:ascii="Times New Roman" w:eastAsia="Times New Roman" w:hAnsi="Times New Roman" w:cs="Times New Roman"/>
          <w:snapToGrid w:val="0"/>
          <w:color w:val="000000" w:themeColor="text1"/>
          <w:sz w:val="24"/>
          <w:szCs w:val="24"/>
          <w:lang w:eastAsia="ru-RU"/>
        </w:rPr>
        <w:t xml:space="preserve"> – 2018 годах</w:t>
      </w:r>
    </w:p>
    <w:p w:rsidR="005451DD" w:rsidRDefault="005451DD"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p>
    <w:p w:rsidR="005451DD" w:rsidRDefault="005451DD"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r w:rsidRPr="005451DD">
        <w:rPr>
          <w:rFonts w:ascii="Times New Roman" w:eastAsia="Times New Roman" w:hAnsi="Times New Roman" w:cs="Times New Roman"/>
          <w:noProof/>
          <w:snapToGrid w:val="0"/>
          <w:color w:val="000000" w:themeColor="text1"/>
          <w:sz w:val="24"/>
          <w:szCs w:val="24"/>
          <w:lang w:eastAsia="ru-RU"/>
        </w:rPr>
        <w:drawing>
          <wp:inline distT="0" distB="0" distL="0" distR="0" wp14:anchorId="0990F025" wp14:editId="18596FAB">
            <wp:extent cx="6353093" cy="3951798"/>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51DD" w:rsidRDefault="005451DD"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p>
    <w:p w:rsidR="005451DD" w:rsidRDefault="005451DD" w:rsidP="00A0203E">
      <w:pPr>
        <w:spacing w:after="0" w:line="240" w:lineRule="auto"/>
        <w:jc w:val="center"/>
        <w:rPr>
          <w:rFonts w:ascii="Times New Roman" w:eastAsia="Times New Roman" w:hAnsi="Times New Roman" w:cs="Times New Roman"/>
          <w:noProof/>
          <w:color w:val="FF0000"/>
          <w:sz w:val="24"/>
          <w:szCs w:val="24"/>
          <w:lang w:eastAsia="ru-RU"/>
        </w:rPr>
      </w:pPr>
    </w:p>
    <w:p w:rsidR="005451DD" w:rsidRPr="007F352D" w:rsidRDefault="005451DD"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p>
    <w:p w:rsidR="00727BA1" w:rsidRPr="007F352D" w:rsidRDefault="00727BA1" w:rsidP="00A0203E">
      <w:pPr>
        <w:spacing w:after="0" w:line="240" w:lineRule="auto"/>
        <w:jc w:val="center"/>
        <w:rPr>
          <w:rFonts w:ascii="Times New Roman" w:eastAsia="Times New Roman" w:hAnsi="Times New Roman" w:cs="Times New Roman"/>
          <w:snapToGrid w:val="0"/>
          <w:color w:val="000000" w:themeColor="text1"/>
          <w:sz w:val="24"/>
          <w:szCs w:val="24"/>
          <w:lang w:eastAsia="ru-RU"/>
        </w:rPr>
      </w:pPr>
    </w:p>
    <w:p w:rsidR="00A0203E" w:rsidRPr="007F352D" w:rsidRDefault="00A0203E" w:rsidP="00727BA1">
      <w:pPr>
        <w:spacing w:after="120" w:line="240" w:lineRule="auto"/>
        <w:ind w:left="-993"/>
        <w:jc w:val="right"/>
        <w:rPr>
          <w:rFonts w:ascii="Times New Roman" w:eastAsia="Times New Roman" w:hAnsi="Times New Roman" w:cs="Times New Roman"/>
          <w:snapToGrid w:val="0"/>
          <w:color w:val="000000" w:themeColor="text1"/>
          <w:sz w:val="24"/>
          <w:szCs w:val="24"/>
          <w:lang w:eastAsia="ru-RU"/>
        </w:rPr>
      </w:pPr>
    </w:p>
    <w:p w:rsidR="00A0203E" w:rsidRPr="007F352D" w:rsidRDefault="00A0203E" w:rsidP="0035262F">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506AA9" w:rsidRPr="007F352D" w:rsidRDefault="00506AA9">
      <w:pPr>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br w:type="page"/>
      </w:r>
    </w:p>
    <w:p w:rsidR="0035262F" w:rsidRPr="007F352D" w:rsidRDefault="0035262F" w:rsidP="0035262F">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lastRenderedPageBreak/>
        <w:t xml:space="preserve">Таблица № </w:t>
      </w:r>
      <w:r w:rsidR="000E3394" w:rsidRPr="007F352D">
        <w:rPr>
          <w:rFonts w:ascii="Times New Roman" w:eastAsia="Times New Roman" w:hAnsi="Times New Roman" w:cs="Times New Roman"/>
          <w:snapToGrid w:val="0"/>
          <w:color w:val="000000" w:themeColor="text1"/>
          <w:sz w:val="24"/>
          <w:szCs w:val="24"/>
          <w:lang w:eastAsia="ru-RU"/>
        </w:rPr>
        <w:t>1</w:t>
      </w:r>
    </w:p>
    <w:p w:rsidR="00956E7B" w:rsidRPr="007F352D" w:rsidRDefault="003955BF" w:rsidP="00244A17">
      <w:pPr>
        <w:spacing w:after="0" w:line="240" w:lineRule="auto"/>
        <w:jc w:val="center"/>
        <w:rPr>
          <w:rFonts w:ascii="Times New Roman" w:hAnsi="Times New Roman" w:cs="Times New Roman"/>
          <w:color w:val="000000" w:themeColor="text1"/>
          <w:sz w:val="28"/>
          <w:szCs w:val="28"/>
        </w:rPr>
      </w:pPr>
      <w:r w:rsidRPr="007F352D">
        <w:rPr>
          <w:rFonts w:ascii="Times New Roman" w:eastAsia="Times New Roman" w:hAnsi="Times New Roman" w:cs="Times New Roman"/>
          <w:snapToGrid w:val="0"/>
          <w:color w:val="000000" w:themeColor="text1"/>
          <w:sz w:val="24"/>
          <w:szCs w:val="24"/>
          <w:lang w:eastAsia="ru-RU"/>
        </w:rPr>
        <w:t>Информация</w:t>
      </w:r>
      <w:r w:rsidR="00956E7B" w:rsidRPr="007F352D">
        <w:rPr>
          <w:rFonts w:ascii="Times New Roman" w:eastAsia="Times New Roman" w:hAnsi="Times New Roman" w:cs="Times New Roman"/>
          <w:snapToGrid w:val="0"/>
          <w:color w:val="000000" w:themeColor="text1"/>
          <w:sz w:val="24"/>
          <w:szCs w:val="24"/>
          <w:lang w:eastAsia="ru-RU"/>
        </w:rPr>
        <w:t xml:space="preserve"> об изменении объема и структуры государственного внутреннего долга Российской Федерации в 2018 году</w:t>
      </w:r>
    </w:p>
    <w:p w:rsidR="00956E7B" w:rsidRPr="007F352D" w:rsidRDefault="00956E7B"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color w:val="000000" w:themeColor="text1"/>
          <w:sz w:val="20"/>
          <w:szCs w:val="20"/>
          <w:lang w:eastAsia="ru-RU"/>
        </w:rPr>
      </w:pPr>
      <w:r w:rsidRPr="007F352D">
        <w:rPr>
          <w:rFonts w:ascii="Times New Roman" w:eastAsia="Times New Roman" w:hAnsi="Times New Roman" w:cs="Times New Roman"/>
          <w:snapToGrid w:val="0"/>
          <w:color w:val="000000" w:themeColor="text1"/>
          <w:sz w:val="20"/>
          <w:szCs w:val="20"/>
          <w:lang w:eastAsia="ru-RU"/>
        </w:rPr>
        <w:t>(млн. рублей)</w:t>
      </w:r>
    </w:p>
    <w:tbl>
      <w:tblPr>
        <w:tblW w:w="9923" w:type="dxa"/>
        <w:jc w:val="center"/>
        <w:tblLayout w:type="fixed"/>
        <w:tblLook w:val="0000" w:firstRow="0" w:lastRow="0" w:firstColumn="0" w:lastColumn="0" w:noHBand="0" w:noVBand="0"/>
      </w:tblPr>
      <w:tblGrid>
        <w:gridCol w:w="3969"/>
        <w:gridCol w:w="1276"/>
        <w:gridCol w:w="709"/>
        <w:gridCol w:w="1134"/>
        <w:gridCol w:w="708"/>
        <w:gridCol w:w="1133"/>
        <w:gridCol w:w="994"/>
      </w:tblGrid>
      <w:tr w:rsidR="00956E7B" w:rsidRPr="007F352D" w:rsidTr="00647CD3">
        <w:trPr>
          <w:trHeight w:val="381"/>
          <w:tblHeader/>
          <w:jc w:val="center"/>
        </w:trPr>
        <w:tc>
          <w:tcPr>
            <w:tcW w:w="396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r w:rsidRPr="007F352D">
              <w:rPr>
                <w:rFonts w:ascii="Times New Roman" w:eastAsia="Times New Roman" w:hAnsi="Times New Roman" w:cs="Times New Roman"/>
                <w:b/>
                <w:color w:val="000000" w:themeColor="text1"/>
                <w:sz w:val="17"/>
                <w:szCs w:val="17"/>
                <w:lang w:eastAsia="ru-RU"/>
              </w:rPr>
              <w:t>Показатели</w:t>
            </w:r>
          </w:p>
        </w:tc>
        <w:tc>
          <w:tcPr>
            <w:tcW w:w="3827" w:type="dxa"/>
            <w:gridSpan w:val="4"/>
            <w:tcBorders>
              <w:top w:val="single" w:sz="4" w:space="0" w:color="auto"/>
              <w:left w:val="nil"/>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r w:rsidRPr="007F352D">
              <w:rPr>
                <w:rFonts w:ascii="Times New Roman" w:eastAsia="Times New Roman" w:hAnsi="Times New Roman" w:cs="Times New Roman"/>
                <w:b/>
                <w:color w:val="000000" w:themeColor="text1"/>
                <w:sz w:val="17"/>
                <w:szCs w:val="17"/>
                <w:lang w:eastAsia="ru-RU"/>
              </w:rPr>
              <w:t>Объем государственного внутреннего долга Российской Федерации</w:t>
            </w:r>
          </w:p>
        </w:tc>
        <w:tc>
          <w:tcPr>
            <w:tcW w:w="2127" w:type="dxa"/>
            <w:gridSpan w:val="2"/>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r w:rsidRPr="007F352D">
              <w:rPr>
                <w:rFonts w:ascii="Times New Roman" w:eastAsia="Times New Roman" w:hAnsi="Times New Roman" w:cs="Times New Roman"/>
                <w:b/>
                <w:color w:val="000000" w:themeColor="text1"/>
                <w:sz w:val="17"/>
                <w:szCs w:val="17"/>
                <w:lang w:eastAsia="ru-RU"/>
              </w:rPr>
              <w:t xml:space="preserve">Изменение </w:t>
            </w:r>
          </w:p>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r w:rsidRPr="007F352D">
              <w:rPr>
                <w:rFonts w:ascii="Times New Roman" w:eastAsia="Times New Roman" w:hAnsi="Times New Roman" w:cs="Times New Roman"/>
                <w:b/>
                <w:color w:val="000000" w:themeColor="text1"/>
                <w:sz w:val="17"/>
                <w:szCs w:val="17"/>
                <w:lang w:eastAsia="ru-RU"/>
              </w:rPr>
              <w:t>за 2018 год</w:t>
            </w:r>
            <w:proofErr w:type="gramStart"/>
            <w:r w:rsidRPr="007F352D">
              <w:rPr>
                <w:rFonts w:ascii="Times New Roman" w:eastAsia="Times New Roman" w:hAnsi="Times New Roman" w:cs="Times New Roman"/>
                <w:b/>
                <w:color w:val="000000" w:themeColor="text1"/>
                <w:sz w:val="17"/>
                <w:szCs w:val="17"/>
                <w:lang w:eastAsia="ru-RU"/>
              </w:rPr>
              <w:t xml:space="preserve"> (+, -)</w:t>
            </w:r>
            <w:proofErr w:type="gramEnd"/>
          </w:p>
        </w:tc>
      </w:tr>
      <w:tr w:rsidR="00956E7B" w:rsidRPr="007F352D" w:rsidTr="00647CD3">
        <w:trPr>
          <w:trHeight w:val="274"/>
          <w:tblHeader/>
          <w:jc w:val="center"/>
        </w:trPr>
        <w:tc>
          <w:tcPr>
            <w:tcW w:w="3969" w:type="dxa"/>
            <w:vMerge/>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p>
        </w:tc>
        <w:tc>
          <w:tcPr>
            <w:tcW w:w="1985" w:type="dxa"/>
            <w:gridSpan w:val="2"/>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на 1 января 2018 года</w:t>
            </w:r>
          </w:p>
        </w:tc>
        <w:tc>
          <w:tcPr>
            <w:tcW w:w="1842" w:type="dxa"/>
            <w:gridSpan w:val="2"/>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на 1 января 2019 года</w:t>
            </w:r>
          </w:p>
        </w:tc>
        <w:tc>
          <w:tcPr>
            <w:tcW w:w="1133" w:type="dxa"/>
            <w:vMerge w:val="restart"/>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сумма</w:t>
            </w:r>
          </w:p>
        </w:tc>
        <w:tc>
          <w:tcPr>
            <w:tcW w:w="994" w:type="dxa"/>
            <w:vMerge w:val="restart"/>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w:t>
            </w:r>
          </w:p>
        </w:tc>
      </w:tr>
      <w:tr w:rsidR="00956E7B" w:rsidRPr="007F352D" w:rsidTr="00647CD3">
        <w:trPr>
          <w:trHeight w:val="375"/>
          <w:tblHeader/>
          <w:jc w:val="center"/>
        </w:trPr>
        <w:tc>
          <w:tcPr>
            <w:tcW w:w="3969" w:type="dxa"/>
            <w:vMerge/>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7"/>
                <w:szCs w:val="17"/>
                <w:lang w:eastAsia="ru-RU"/>
              </w:rPr>
            </w:pPr>
          </w:p>
        </w:tc>
        <w:tc>
          <w:tcPr>
            <w:tcW w:w="1276" w:type="dxa"/>
            <w:tcBorders>
              <w:top w:val="single" w:sz="4" w:space="0" w:color="auto"/>
              <w:left w:val="nil"/>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сумма</w:t>
            </w:r>
          </w:p>
        </w:tc>
        <w:tc>
          <w:tcPr>
            <w:tcW w:w="709" w:type="dxa"/>
            <w:tcBorders>
              <w:top w:val="single" w:sz="4" w:space="0" w:color="auto"/>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proofErr w:type="spellStart"/>
            <w:proofErr w:type="gramStart"/>
            <w:r w:rsidRPr="007F352D">
              <w:rPr>
                <w:rFonts w:ascii="Times New Roman" w:eastAsia="Times New Roman" w:hAnsi="Times New Roman" w:cs="Times New Roman"/>
                <w:b/>
                <w:color w:val="000000" w:themeColor="text1"/>
                <w:sz w:val="16"/>
                <w:szCs w:val="16"/>
                <w:lang w:eastAsia="ru-RU"/>
              </w:rPr>
              <w:t>струк</w:t>
            </w:r>
            <w:proofErr w:type="spellEnd"/>
            <w:r w:rsidRPr="007F352D">
              <w:rPr>
                <w:rFonts w:ascii="Times New Roman" w:eastAsia="Times New Roman" w:hAnsi="Times New Roman" w:cs="Times New Roman"/>
                <w:b/>
                <w:color w:val="000000" w:themeColor="text1"/>
                <w:sz w:val="16"/>
                <w:szCs w:val="16"/>
                <w:lang w:eastAsia="ru-RU"/>
              </w:rPr>
              <w:t>-тура</w:t>
            </w:r>
            <w:proofErr w:type="gramEnd"/>
            <w:r w:rsidRPr="007F352D">
              <w:rPr>
                <w:rFonts w:ascii="Times New Roman" w:eastAsia="Times New Roman" w:hAnsi="Times New Roman" w:cs="Times New Roman"/>
                <w:b/>
                <w:color w:val="000000" w:themeColor="text1"/>
                <w:sz w:val="16"/>
                <w:szCs w:val="16"/>
                <w:lang w:eastAsia="ru-RU"/>
              </w:rPr>
              <w:t>, %</w:t>
            </w:r>
          </w:p>
        </w:tc>
        <w:tc>
          <w:tcPr>
            <w:tcW w:w="1134"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сумма</w:t>
            </w:r>
          </w:p>
        </w:tc>
        <w:tc>
          <w:tcPr>
            <w:tcW w:w="708" w:type="dxa"/>
            <w:tcBorders>
              <w:top w:val="single" w:sz="4" w:space="0" w:color="auto"/>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proofErr w:type="spellStart"/>
            <w:proofErr w:type="gramStart"/>
            <w:r w:rsidRPr="007F352D">
              <w:rPr>
                <w:rFonts w:ascii="Times New Roman" w:eastAsia="Times New Roman" w:hAnsi="Times New Roman" w:cs="Times New Roman"/>
                <w:b/>
                <w:color w:val="000000" w:themeColor="text1"/>
                <w:sz w:val="16"/>
                <w:szCs w:val="16"/>
                <w:lang w:eastAsia="ru-RU"/>
              </w:rPr>
              <w:t>струк</w:t>
            </w:r>
            <w:proofErr w:type="spellEnd"/>
            <w:r w:rsidRPr="007F352D">
              <w:rPr>
                <w:rFonts w:ascii="Times New Roman" w:eastAsia="Times New Roman" w:hAnsi="Times New Roman" w:cs="Times New Roman"/>
                <w:b/>
                <w:color w:val="000000" w:themeColor="text1"/>
                <w:sz w:val="16"/>
                <w:szCs w:val="16"/>
                <w:lang w:eastAsia="ru-RU"/>
              </w:rPr>
              <w:t>-тура</w:t>
            </w:r>
            <w:proofErr w:type="gramEnd"/>
            <w:r w:rsidRPr="007F352D">
              <w:rPr>
                <w:rFonts w:ascii="Times New Roman" w:eastAsia="Times New Roman" w:hAnsi="Times New Roman" w:cs="Times New Roman"/>
                <w:b/>
                <w:color w:val="000000" w:themeColor="text1"/>
                <w:sz w:val="16"/>
                <w:szCs w:val="16"/>
                <w:lang w:eastAsia="ru-RU"/>
              </w:rPr>
              <w:t>, %</w:t>
            </w:r>
          </w:p>
        </w:tc>
        <w:tc>
          <w:tcPr>
            <w:tcW w:w="1133" w:type="dxa"/>
            <w:vMerge/>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6"/>
                <w:szCs w:val="16"/>
                <w:lang w:eastAsia="ru-RU"/>
              </w:rPr>
            </w:pPr>
          </w:p>
        </w:tc>
      </w:tr>
      <w:tr w:rsidR="00956E7B" w:rsidRPr="007F352D" w:rsidTr="00647CD3">
        <w:trPr>
          <w:trHeight w:val="412"/>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 Государственные ценные бумаги Российской Федерации – всего</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7 247 123,9</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83,40</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7 749 474,1</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84,45</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502 350,2</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6,9</w:t>
            </w:r>
          </w:p>
        </w:tc>
      </w:tr>
      <w:tr w:rsidR="00956E7B" w:rsidRPr="007F352D" w:rsidTr="00647CD3">
        <w:trPr>
          <w:trHeight w:val="142"/>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в том числе:</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r>
      <w:tr w:rsidR="00956E7B" w:rsidRPr="007F352D" w:rsidTr="00647CD3">
        <w:trPr>
          <w:trHeight w:val="418"/>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облигации федерального займа с постоянным купонным доходом (ОФЗ-ПД)</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4 283 621,2</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49,30</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4 929 433,8</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53,72</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645 812,6</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15,1</w:t>
            </w:r>
          </w:p>
        </w:tc>
      </w:tr>
      <w:tr w:rsidR="00956E7B" w:rsidRPr="007F352D" w:rsidTr="00647CD3">
        <w:trPr>
          <w:trHeight w:val="272"/>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облигации федерального займа с амортизацией долга (ОФЗ-АД)</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539 838,2</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6,21</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416 868,2</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4,54</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- 122 970,0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- 22,8</w:t>
            </w:r>
          </w:p>
        </w:tc>
      </w:tr>
      <w:tr w:rsidR="00956E7B" w:rsidRPr="007F352D" w:rsidTr="00647CD3">
        <w:trPr>
          <w:trHeight w:val="272"/>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облигации федерального займа с переменным купонным доходом (ОФЗ-ПК)</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1 748 438,9</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20,12</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1 731 778,8</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18,87</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- 16 660,2</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- 1,0</w:t>
            </w:r>
          </w:p>
        </w:tc>
      </w:tr>
      <w:tr w:rsidR="00956E7B" w:rsidRPr="007F352D" w:rsidTr="00647CD3">
        <w:trPr>
          <w:trHeight w:val="272"/>
          <w:jc w:val="center"/>
        </w:trPr>
        <w:tc>
          <w:tcPr>
            <w:tcW w:w="3969" w:type="dxa"/>
            <w:tcBorders>
              <w:top w:val="nil"/>
              <w:left w:val="single" w:sz="4" w:space="0" w:color="auto"/>
              <w:bottom w:val="single" w:sz="4" w:space="0" w:color="auto"/>
              <w:right w:val="single" w:sz="4" w:space="0" w:color="auto"/>
            </w:tcBorders>
            <w:vAlign w:val="center"/>
          </w:tcPr>
          <w:p w:rsidR="00956E7B" w:rsidRPr="007F352D" w:rsidRDefault="00D44DED"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w:t>
            </w:r>
            <w:r w:rsidR="00956E7B" w:rsidRPr="007F352D">
              <w:rPr>
                <w:rFonts w:ascii="Times New Roman" w:eastAsia="Times New Roman" w:hAnsi="Times New Roman" w:cs="Times New Roman"/>
                <w:color w:val="000000" w:themeColor="text1"/>
                <w:sz w:val="18"/>
                <w:szCs w:val="18"/>
                <w:lang w:eastAsia="ru-RU"/>
              </w:rPr>
              <w:t>блигации федерального займа с индексируемым номиналом (ОФЗ-ИН)</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168 519,0</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1,94</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253 451,3</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2,76</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84 932,3</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50,4</w:t>
            </w:r>
          </w:p>
        </w:tc>
      </w:tr>
      <w:tr w:rsidR="00956E7B" w:rsidRPr="007F352D" w:rsidTr="00647CD3">
        <w:trPr>
          <w:trHeight w:val="272"/>
          <w:jc w:val="center"/>
        </w:trPr>
        <w:tc>
          <w:tcPr>
            <w:tcW w:w="3969" w:type="dxa"/>
            <w:tcBorders>
              <w:top w:val="nil"/>
              <w:left w:val="single" w:sz="4" w:space="0" w:color="auto"/>
              <w:bottom w:val="single" w:sz="4" w:space="0" w:color="auto"/>
              <w:right w:val="single" w:sz="4" w:space="0" w:color="auto"/>
            </w:tcBorders>
            <w:vAlign w:val="center"/>
          </w:tcPr>
          <w:p w:rsidR="00956E7B" w:rsidRPr="007F352D" w:rsidRDefault="00D44DED"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w:t>
            </w:r>
            <w:r w:rsidR="00956E7B" w:rsidRPr="007F352D">
              <w:rPr>
                <w:rFonts w:ascii="Times New Roman" w:eastAsia="Times New Roman" w:hAnsi="Times New Roman" w:cs="Times New Roman"/>
                <w:color w:val="000000" w:themeColor="text1"/>
                <w:sz w:val="18"/>
                <w:szCs w:val="18"/>
                <w:lang w:eastAsia="ru-RU"/>
              </w:rPr>
              <w:t>блигации федерального займа для физических лиц (ОФЗ-н)</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39 156,5</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0,45</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55 641,9</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0,61</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16 485,4</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42,1</w:t>
            </w:r>
          </w:p>
        </w:tc>
      </w:tr>
      <w:tr w:rsidR="00956E7B" w:rsidRPr="007F352D" w:rsidTr="00647CD3">
        <w:trPr>
          <w:trHeight w:val="254"/>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xml:space="preserve">государственные сберегательные облигации </w:t>
            </w:r>
          </w:p>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(ГСО) – всего</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377 550,0</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4,34</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362 300,0</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3,95</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- 15 250,0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- 4,0</w:t>
            </w:r>
          </w:p>
        </w:tc>
      </w:tr>
      <w:tr w:rsidR="00956E7B" w:rsidRPr="007F352D" w:rsidTr="00647CD3">
        <w:trPr>
          <w:trHeight w:val="246"/>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7"/>
                <w:szCs w:val="17"/>
                <w:lang w:eastAsia="ru-RU"/>
              </w:rPr>
            </w:pPr>
            <w:r w:rsidRPr="007F352D">
              <w:rPr>
                <w:rFonts w:ascii="Times New Roman" w:eastAsia="Times New Roman" w:hAnsi="Times New Roman" w:cs="Times New Roman"/>
                <w:color w:val="000000" w:themeColor="text1"/>
                <w:sz w:val="17"/>
                <w:szCs w:val="17"/>
                <w:lang w:eastAsia="ru-RU"/>
              </w:rPr>
              <w:t>в том числе:</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before="100" w:beforeAutospacing="1" w:after="100" w:afterAutospacing="1" w:line="240" w:lineRule="auto"/>
              <w:jc w:val="center"/>
              <w:textAlignment w:val="baseline"/>
              <w:rPr>
                <w:rFonts w:ascii="Times New Roman" w:eastAsia="Times New Roman" w:hAnsi="Times New Roman" w:cs="Times New Roman"/>
                <w:color w:val="000000" w:themeColor="text1"/>
                <w:sz w:val="18"/>
                <w:szCs w:val="18"/>
                <w:lang w:eastAsia="ru-RU"/>
              </w:rPr>
            </w:pPr>
          </w:p>
        </w:tc>
      </w:tr>
      <w:tr w:rsidR="00956E7B" w:rsidRPr="007F352D" w:rsidTr="00647CD3">
        <w:trPr>
          <w:trHeight w:val="416"/>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D44DED">
            <w:pPr>
              <w:overflowPunct w:val="0"/>
              <w:autoSpaceDE w:val="0"/>
              <w:autoSpaceDN w:val="0"/>
              <w:adjustRightInd w:val="0"/>
              <w:spacing w:after="0" w:line="240" w:lineRule="auto"/>
              <w:ind w:left="318"/>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государственные сберегательные облигации с постоянной процентной ставкой купонного дохода (ГСО-ППС)</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245 550,0</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2,82</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230 300,0</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2,51</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- 15 250,0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- 6,2</w:t>
            </w:r>
          </w:p>
        </w:tc>
      </w:tr>
      <w:tr w:rsidR="00956E7B" w:rsidRPr="007F352D" w:rsidTr="00647CD3">
        <w:trPr>
          <w:trHeight w:val="407"/>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D44DED">
            <w:pPr>
              <w:overflowPunct w:val="0"/>
              <w:autoSpaceDE w:val="0"/>
              <w:autoSpaceDN w:val="0"/>
              <w:adjustRightInd w:val="0"/>
              <w:spacing w:after="0" w:line="240" w:lineRule="auto"/>
              <w:ind w:left="318"/>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государственные сберегательные облигации с фиксированной процентной ставкой купонного дохода (ГСО-ФПС)</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132 000,0</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1,52</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132 000,0</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1,44</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r>
      <w:tr w:rsidR="00956E7B" w:rsidRPr="007F352D" w:rsidTr="00647CD3">
        <w:trPr>
          <w:trHeight w:val="200"/>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облигации внутренних облигационных займов (ОВОЗ)</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90 000,0</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1,04</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- 90 000,0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- 100,0</w:t>
            </w:r>
          </w:p>
        </w:tc>
      </w:tr>
      <w:tr w:rsidR="00956E7B" w:rsidRPr="007F352D" w:rsidTr="00647CD3">
        <w:trPr>
          <w:trHeight w:val="200"/>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государственный внутренний заем Российской Федерации 1991 года</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0,1</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0,1</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0,0</w:t>
            </w:r>
          </w:p>
        </w:tc>
      </w:tr>
      <w:tr w:rsidR="00956E7B" w:rsidRPr="007F352D" w:rsidTr="00647CD3">
        <w:trPr>
          <w:trHeight w:val="412"/>
          <w:jc w:val="center"/>
        </w:trPr>
        <w:tc>
          <w:tcPr>
            <w:tcW w:w="3969" w:type="dxa"/>
            <w:tcBorders>
              <w:top w:val="nil"/>
              <w:left w:val="single" w:sz="4" w:space="0" w:color="auto"/>
              <w:bottom w:val="single" w:sz="4" w:space="0" w:color="auto"/>
              <w:right w:val="single" w:sz="4" w:space="0" w:color="auto"/>
            </w:tcBorders>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2. Государственные гарантии Российской Федерации в валюте Российской Федерации</w:t>
            </w:r>
            <w:r w:rsidR="009F0275" w:rsidRPr="007F352D">
              <w:rPr>
                <w:rFonts w:ascii="Times New Roman" w:eastAsia="Times New Roman" w:hAnsi="Times New Roman" w:cs="Times New Roman"/>
                <w:b/>
                <w:color w:val="000000" w:themeColor="text1"/>
                <w:sz w:val="18"/>
                <w:szCs w:val="18"/>
                <w:lang w:eastAsia="ru-RU"/>
              </w:rPr>
              <w:t>*</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1 442 514,6</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16,6</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1 426 922,1</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15,55</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- 15 592,5</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F87089"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Pr>
                <w:rFonts w:ascii="Times New Roman" w:eastAsia="Times New Roman" w:hAnsi="Times New Roman" w:cs="Times New Roman"/>
                <w:b/>
                <w:color w:val="000000" w:themeColor="text1"/>
                <w:sz w:val="18"/>
                <w:szCs w:val="18"/>
                <w:lang w:eastAsia="ru-RU"/>
              </w:rPr>
              <w:t xml:space="preserve">- </w:t>
            </w:r>
            <w:r w:rsidR="00956E7B" w:rsidRPr="007F352D">
              <w:rPr>
                <w:rFonts w:ascii="Times New Roman" w:eastAsia="Times New Roman" w:hAnsi="Times New Roman" w:cs="Times New Roman"/>
                <w:b/>
                <w:color w:val="000000" w:themeColor="text1"/>
                <w:sz w:val="18"/>
                <w:szCs w:val="18"/>
                <w:lang w:eastAsia="ru-RU"/>
              </w:rPr>
              <w:t>1,1</w:t>
            </w:r>
          </w:p>
        </w:tc>
      </w:tr>
      <w:tr w:rsidR="00956E7B" w:rsidRPr="007F352D" w:rsidTr="00647CD3">
        <w:trPr>
          <w:trHeight w:val="74"/>
          <w:jc w:val="center"/>
        </w:trPr>
        <w:tc>
          <w:tcPr>
            <w:tcW w:w="3969" w:type="dxa"/>
            <w:tcBorders>
              <w:top w:val="nil"/>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ИТОГО</w:t>
            </w:r>
          </w:p>
        </w:tc>
        <w:tc>
          <w:tcPr>
            <w:tcW w:w="1276" w:type="dxa"/>
            <w:tcBorders>
              <w:top w:val="single" w:sz="4" w:space="0" w:color="auto"/>
              <w:left w:val="nil"/>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8 689 638,5</w:t>
            </w:r>
          </w:p>
        </w:tc>
        <w:tc>
          <w:tcPr>
            <w:tcW w:w="709"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100,0</w:t>
            </w:r>
          </w:p>
        </w:tc>
        <w:tc>
          <w:tcPr>
            <w:tcW w:w="113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9 176 396,2</w:t>
            </w:r>
          </w:p>
        </w:tc>
        <w:tc>
          <w:tcPr>
            <w:tcW w:w="708" w:type="dxa"/>
            <w:tcBorders>
              <w:top w:val="single" w:sz="4" w:space="0" w:color="auto"/>
              <w:left w:val="single" w:sz="4" w:space="0" w:color="auto"/>
              <w:bottom w:val="single" w:sz="4" w:space="0" w:color="auto"/>
              <w:right w:val="single" w:sz="4" w:space="0" w:color="auto"/>
            </w:tcBorders>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100,0</w:t>
            </w:r>
          </w:p>
        </w:tc>
        <w:tc>
          <w:tcPr>
            <w:tcW w:w="1133"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486 757,7</w:t>
            </w:r>
          </w:p>
        </w:tc>
        <w:tc>
          <w:tcPr>
            <w:tcW w:w="994" w:type="dxa"/>
            <w:tcBorders>
              <w:top w:val="single" w:sz="4" w:space="0" w:color="auto"/>
              <w:left w:val="single" w:sz="4" w:space="0" w:color="auto"/>
              <w:bottom w:val="single" w:sz="4" w:space="0" w:color="auto"/>
              <w:right w:val="single" w:sz="4" w:space="0" w:color="auto"/>
            </w:tcBorders>
            <w:noWrap/>
            <w:vAlign w:val="center"/>
          </w:tcPr>
          <w:p w:rsidR="00956E7B" w:rsidRPr="007F352D" w:rsidRDefault="00956E7B"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7F352D">
              <w:rPr>
                <w:rFonts w:ascii="Times New Roman" w:eastAsia="Times New Roman" w:hAnsi="Times New Roman" w:cs="Times New Roman"/>
                <w:b/>
                <w:color w:val="000000" w:themeColor="text1"/>
                <w:sz w:val="18"/>
                <w:szCs w:val="18"/>
                <w:lang w:eastAsia="ru-RU"/>
              </w:rPr>
              <w:t>5,6</w:t>
            </w:r>
          </w:p>
        </w:tc>
      </w:tr>
    </w:tbl>
    <w:p w:rsidR="001D4951" w:rsidRPr="007F352D" w:rsidRDefault="009F0275" w:rsidP="001D4951">
      <w:pPr>
        <w:widowControl w:val="0"/>
        <w:shd w:val="clear" w:color="auto" w:fill="FFFFFF" w:themeFill="background1"/>
        <w:overflowPunct w:val="0"/>
        <w:autoSpaceDE w:val="0"/>
        <w:autoSpaceDN w:val="0"/>
        <w:adjustRightInd w:val="0"/>
        <w:spacing w:after="0" w:line="23" w:lineRule="atLeast"/>
        <w:ind w:right="-2" w:firstLine="709"/>
        <w:contextualSpacing/>
        <w:jc w:val="both"/>
        <w:textAlignment w:val="baseline"/>
        <w:rPr>
          <w:rFonts w:ascii="Times New Roman" w:hAnsi="Times New Roman" w:cs="Times New Roman"/>
          <w:color w:val="000000" w:themeColor="text1"/>
          <w:sz w:val="16"/>
          <w:szCs w:val="16"/>
        </w:rPr>
      </w:pPr>
      <w:r w:rsidRPr="007F352D">
        <w:rPr>
          <w:rFonts w:ascii="Times New Roman" w:eastAsia="Times New Roman" w:hAnsi="Times New Roman" w:cs="Times New Roman"/>
          <w:snapToGrid w:val="0"/>
          <w:color w:val="000000" w:themeColor="text1"/>
          <w:sz w:val="16"/>
          <w:szCs w:val="16"/>
          <w:lang w:eastAsia="ru-RU"/>
        </w:rPr>
        <w:t>*</w:t>
      </w:r>
      <w:r w:rsidR="001D4951" w:rsidRPr="007F352D">
        <w:rPr>
          <w:rFonts w:ascii="Times New Roman" w:eastAsia="Times New Roman" w:hAnsi="Times New Roman" w:cs="Times New Roman"/>
          <w:color w:val="000000" w:themeColor="text1"/>
          <w:sz w:val="16"/>
          <w:szCs w:val="16"/>
          <w:lang w:eastAsia="ru-RU"/>
        </w:rPr>
        <w:t xml:space="preserve"> В 2018 году </w:t>
      </w:r>
      <w:r w:rsidR="001D4951" w:rsidRPr="007F352D">
        <w:rPr>
          <w:rFonts w:ascii="Times New Roman" w:eastAsia="Times New Roman" w:hAnsi="Times New Roman" w:cs="Times New Roman"/>
          <w:b/>
          <w:color w:val="000000" w:themeColor="text1"/>
          <w:sz w:val="16"/>
          <w:szCs w:val="16"/>
          <w:lang w:eastAsia="ru-RU"/>
        </w:rPr>
        <w:t>списана задолженность</w:t>
      </w:r>
      <w:r w:rsidR="001D4951" w:rsidRPr="007F352D">
        <w:rPr>
          <w:rStyle w:val="a4"/>
          <w:rFonts w:ascii="Times New Roman" w:eastAsia="Times New Roman" w:hAnsi="Times New Roman" w:cs="Times New Roman"/>
          <w:b/>
          <w:color w:val="000000" w:themeColor="text1"/>
          <w:sz w:val="16"/>
          <w:szCs w:val="16"/>
          <w:lang w:eastAsia="ru-RU"/>
        </w:rPr>
        <w:footnoteReference w:id="1"/>
      </w:r>
      <w:r w:rsidR="001D4951" w:rsidRPr="007F352D">
        <w:rPr>
          <w:rFonts w:ascii="Times New Roman" w:eastAsia="Times New Roman" w:hAnsi="Times New Roman" w:cs="Times New Roman"/>
          <w:color w:val="000000" w:themeColor="text1"/>
          <w:sz w:val="16"/>
          <w:szCs w:val="16"/>
          <w:lang w:eastAsia="ru-RU"/>
        </w:rPr>
        <w:t xml:space="preserve"> </w:t>
      </w:r>
      <w:r w:rsidR="001D4951" w:rsidRPr="007F352D">
        <w:rPr>
          <w:rFonts w:ascii="Times New Roman" w:eastAsia="Times New Roman" w:hAnsi="Times New Roman" w:cs="Times New Roman"/>
          <w:b/>
          <w:color w:val="000000" w:themeColor="text1"/>
          <w:sz w:val="16"/>
          <w:szCs w:val="16"/>
          <w:lang w:eastAsia="ru-RU"/>
        </w:rPr>
        <w:t>по 103 государственным гарантиям на общую сумму 115 666,2</w:t>
      </w:r>
      <w:r w:rsidR="001D4951" w:rsidRPr="007F352D">
        <w:rPr>
          <w:rFonts w:ascii="Times New Roman" w:hAnsi="Times New Roman" w:cs="Times New Roman"/>
          <w:b/>
          <w:color w:val="000000" w:themeColor="text1"/>
          <w:sz w:val="16"/>
          <w:szCs w:val="16"/>
        </w:rPr>
        <w:t xml:space="preserve"> млн. рублей</w:t>
      </w:r>
      <w:r w:rsidR="001D4951" w:rsidRPr="007F352D">
        <w:rPr>
          <w:color w:val="000000" w:themeColor="text1"/>
          <w:sz w:val="16"/>
          <w:szCs w:val="16"/>
        </w:rPr>
        <w:t xml:space="preserve"> </w:t>
      </w:r>
      <w:r w:rsidR="001D4951" w:rsidRPr="007F352D">
        <w:rPr>
          <w:rFonts w:ascii="Times New Roman" w:hAnsi="Times New Roman" w:cs="Times New Roman"/>
          <w:color w:val="000000" w:themeColor="text1"/>
          <w:sz w:val="16"/>
          <w:szCs w:val="16"/>
        </w:rPr>
        <w:t>в связи с частичным или полным исполнением принципалами обязательств перед бенефициарами и истечением срока, на который предоставлена государственная гарантия Российской Федерации.</w:t>
      </w:r>
    </w:p>
    <w:p w:rsidR="0035262F" w:rsidRPr="007F352D" w:rsidRDefault="001D4951" w:rsidP="001D4951">
      <w:pPr>
        <w:widowControl w:val="0"/>
        <w:shd w:val="clear" w:color="auto" w:fill="FFFFFF" w:themeFill="background1"/>
        <w:overflowPunct w:val="0"/>
        <w:autoSpaceDE w:val="0"/>
        <w:autoSpaceDN w:val="0"/>
        <w:adjustRightInd w:val="0"/>
        <w:spacing w:after="0" w:line="23" w:lineRule="atLeast"/>
        <w:ind w:right="-2" w:firstLine="709"/>
        <w:contextualSpacing/>
        <w:jc w:val="both"/>
        <w:textAlignment w:val="baseline"/>
        <w:rPr>
          <w:rFonts w:ascii="Times New Roman" w:eastAsia="Times New Roman" w:hAnsi="Times New Roman" w:cs="Times New Roman"/>
          <w:snapToGrid w:val="0"/>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При этом в 2018 году в состав государственного внутреннего долга Российской Федерации были </w:t>
      </w:r>
      <w:r w:rsidRPr="007F352D">
        <w:rPr>
          <w:rFonts w:ascii="Times New Roman" w:eastAsia="Times New Roman" w:hAnsi="Times New Roman" w:cs="Times New Roman"/>
          <w:b/>
          <w:color w:val="000000" w:themeColor="text1"/>
          <w:sz w:val="16"/>
          <w:szCs w:val="16"/>
          <w:lang w:eastAsia="ru-RU"/>
        </w:rPr>
        <w:t>включены</w:t>
      </w:r>
      <w:r w:rsidRPr="007F352D">
        <w:rPr>
          <w:rFonts w:ascii="Times New Roman" w:eastAsia="Times New Roman" w:hAnsi="Times New Roman" w:cs="Times New Roman"/>
          <w:color w:val="000000" w:themeColor="text1"/>
          <w:sz w:val="16"/>
          <w:szCs w:val="16"/>
          <w:lang w:eastAsia="ru-RU"/>
        </w:rPr>
        <w:t xml:space="preserve"> возникшие обязательства в общей </w:t>
      </w:r>
      <w:r w:rsidRPr="007F352D">
        <w:rPr>
          <w:rFonts w:ascii="Times New Roman" w:eastAsia="Times New Roman" w:hAnsi="Times New Roman" w:cs="Times New Roman"/>
          <w:b/>
          <w:color w:val="000000" w:themeColor="text1"/>
          <w:sz w:val="16"/>
          <w:szCs w:val="16"/>
          <w:lang w:eastAsia="ru-RU"/>
        </w:rPr>
        <w:t>сумме 100 073,7 млн. рублей</w:t>
      </w:r>
      <w:r w:rsidRPr="007F352D">
        <w:rPr>
          <w:rFonts w:ascii="Times New Roman" w:eastAsia="Times New Roman" w:hAnsi="Times New Roman" w:cs="Times New Roman"/>
          <w:color w:val="000000" w:themeColor="text1"/>
          <w:sz w:val="16"/>
          <w:szCs w:val="16"/>
          <w:lang w:eastAsia="ru-RU"/>
        </w:rPr>
        <w:t xml:space="preserve">, вытекающие из </w:t>
      </w:r>
      <w:r w:rsidRPr="007F352D">
        <w:rPr>
          <w:rFonts w:ascii="Times New Roman" w:eastAsia="Times New Roman" w:hAnsi="Times New Roman" w:cs="Times New Roman"/>
          <w:b/>
          <w:color w:val="000000" w:themeColor="text1"/>
          <w:sz w:val="16"/>
          <w:szCs w:val="16"/>
          <w:lang w:eastAsia="ru-RU"/>
        </w:rPr>
        <w:t>63 государственных гарантий Российской Федерации</w:t>
      </w:r>
      <w:r w:rsidRPr="007F352D">
        <w:rPr>
          <w:rFonts w:ascii="Times New Roman" w:eastAsia="Times New Roman" w:hAnsi="Times New Roman" w:cs="Times New Roman"/>
          <w:color w:val="000000" w:themeColor="text1"/>
          <w:sz w:val="16"/>
          <w:szCs w:val="16"/>
          <w:lang w:eastAsia="ru-RU"/>
        </w:rPr>
        <w:t>.</w:t>
      </w:r>
    </w:p>
    <w:p w:rsidR="0032586B" w:rsidRPr="007F352D" w:rsidRDefault="0032586B" w:rsidP="00D44DED">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2045F7" w:rsidRPr="007F352D" w:rsidRDefault="002045F7">
      <w:pPr>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br w:type="page"/>
      </w:r>
    </w:p>
    <w:p w:rsidR="00D44DED" w:rsidRPr="007F352D" w:rsidRDefault="00D44DED" w:rsidP="00D44DED">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lastRenderedPageBreak/>
        <w:t>Таблица № 2</w:t>
      </w:r>
    </w:p>
    <w:p w:rsidR="00D44DED" w:rsidRPr="007F352D" w:rsidRDefault="00D44DED" w:rsidP="00D44DED">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t>Информация об изменении структуры государственного внутреннего долга Российской Федерации</w:t>
      </w:r>
      <w:r w:rsidRPr="007F352D">
        <w:rPr>
          <w:rFonts w:ascii="Times New Roman" w:eastAsia="Times New Roman" w:hAnsi="Times New Roman" w:cs="Times New Roman"/>
          <w:color w:val="000000" w:themeColor="text1"/>
          <w:sz w:val="24"/>
          <w:szCs w:val="20"/>
          <w:lang w:eastAsia="ru-RU"/>
        </w:rPr>
        <w:t>, выраженного в государственных ценных бумагах Российской Федерации,</w:t>
      </w:r>
      <w:r w:rsidRPr="007F352D">
        <w:rPr>
          <w:rFonts w:ascii="Times New Roman" w:eastAsia="Times New Roman" w:hAnsi="Times New Roman" w:cs="Times New Roman"/>
          <w:snapToGrid w:val="0"/>
          <w:color w:val="000000" w:themeColor="text1"/>
          <w:sz w:val="24"/>
          <w:szCs w:val="24"/>
          <w:lang w:eastAsia="ru-RU"/>
        </w:rPr>
        <w:t xml:space="preserve"> в 2018 году</w:t>
      </w:r>
    </w:p>
    <w:p w:rsidR="00D44DED" w:rsidRPr="007F352D" w:rsidRDefault="00D44DED" w:rsidP="00D44DED">
      <w:pPr>
        <w:overflowPunct w:val="0"/>
        <w:autoSpaceDE w:val="0"/>
        <w:autoSpaceDN w:val="0"/>
        <w:adjustRightInd w:val="0"/>
        <w:spacing w:after="0" w:line="360" w:lineRule="auto"/>
        <w:ind w:firstLine="709"/>
        <w:jc w:val="right"/>
        <w:textAlignment w:val="baseline"/>
        <w:rPr>
          <w:rFonts w:ascii="Times New Roman" w:eastAsia="Times New Roman" w:hAnsi="Times New Roman" w:cs="Times New Roman"/>
          <w:color w:val="000000" w:themeColor="text1"/>
          <w:sz w:val="18"/>
          <w:szCs w:val="18"/>
          <w:lang w:eastAsia="ru-RU"/>
        </w:rPr>
      </w:pPr>
      <w:r w:rsidRPr="007F352D">
        <w:rPr>
          <w:rFonts w:ascii="Times New Roman" w:eastAsia="Times New Roman" w:hAnsi="Times New Roman" w:cs="Times New Roman"/>
          <w:color w:val="000000" w:themeColor="text1"/>
          <w:sz w:val="18"/>
          <w:szCs w:val="18"/>
          <w:lang w:eastAsia="ru-RU"/>
        </w:rPr>
        <w:t>(млн. рублей)</w:t>
      </w:r>
    </w:p>
    <w:tbl>
      <w:tblPr>
        <w:tblW w:w="5113" w:type="pct"/>
        <w:tblLook w:val="04A0" w:firstRow="1" w:lastRow="0" w:firstColumn="1" w:lastColumn="0" w:noHBand="0" w:noVBand="1"/>
      </w:tblPr>
      <w:tblGrid>
        <w:gridCol w:w="4117"/>
        <w:gridCol w:w="1915"/>
        <w:gridCol w:w="1913"/>
        <w:gridCol w:w="2133"/>
      </w:tblGrid>
      <w:tr w:rsidR="007F352D" w:rsidRPr="007F352D" w:rsidTr="006F3506">
        <w:trPr>
          <w:trHeight w:val="251"/>
          <w:tblHeader/>
        </w:trPr>
        <w:tc>
          <w:tcPr>
            <w:tcW w:w="204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7"/>
                <w:szCs w:val="17"/>
              </w:rPr>
            </w:pPr>
            <w:r w:rsidRPr="007F352D">
              <w:rPr>
                <w:rFonts w:ascii="Times New Roman" w:eastAsia="Times New Roman" w:hAnsi="Times New Roman" w:cs="Times New Roman"/>
                <w:b/>
                <w:color w:val="000000" w:themeColor="text1"/>
                <w:sz w:val="17"/>
                <w:szCs w:val="17"/>
              </w:rPr>
              <w:t>Показатели</w:t>
            </w:r>
          </w:p>
        </w:tc>
        <w:tc>
          <w:tcPr>
            <w:tcW w:w="1899" w:type="pct"/>
            <w:gridSpan w:val="2"/>
            <w:tcBorders>
              <w:top w:val="single" w:sz="4" w:space="0" w:color="auto"/>
              <w:left w:val="nil"/>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7"/>
                <w:szCs w:val="17"/>
              </w:rPr>
            </w:pPr>
            <w:r w:rsidRPr="007F352D">
              <w:rPr>
                <w:rFonts w:ascii="Times New Roman" w:eastAsia="Times New Roman" w:hAnsi="Times New Roman" w:cs="Times New Roman"/>
                <w:b/>
                <w:color w:val="000000" w:themeColor="text1"/>
                <w:sz w:val="17"/>
                <w:szCs w:val="17"/>
              </w:rPr>
              <w:t>Структура, %</w:t>
            </w:r>
          </w:p>
        </w:tc>
        <w:tc>
          <w:tcPr>
            <w:tcW w:w="1058" w:type="pct"/>
            <w:tcBorders>
              <w:top w:val="single" w:sz="4" w:space="0" w:color="auto"/>
              <w:left w:val="nil"/>
              <w:bottom w:val="single" w:sz="4" w:space="0" w:color="auto"/>
              <w:right w:val="single" w:sz="4" w:space="0" w:color="auto"/>
            </w:tcBorders>
            <w:vAlign w:val="center"/>
            <w:hideMark/>
          </w:tcPr>
          <w:p w:rsidR="00D44DED" w:rsidRPr="007F352D" w:rsidRDefault="00D44DED" w:rsidP="006F3506">
            <w:pPr>
              <w:spacing w:after="0" w:line="240" w:lineRule="auto"/>
              <w:jc w:val="center"/>
              <w:rPr>
                <w:rFonts w:ascii="Times New Roman" w:eastAsia="Times New Roman" w:hAnsi="Times New Roman" w:cs="Times New Roman"/>
                <w:b/>
                <w:color w:val="000000" w:themeColor="text1"/>
                <w:sz w:val="17"/>
                <w:szCs w:val="17"/>
              </w:rPr>
            </w:pPr>
            <w:r w:rsidRPr="007F352D">
              <w:rPr>
                <w:rFonts w:ascii="Times New Roman" w:eastAsia="Times New Roman" w:hAnsi="Times New Roman" w:cs="Times New Roman"/>
                <w:b/>
                <w:color w:val="000000" w:themeColor="text1"/>
                <w:sz w:val="17"/>
                <w:szCs w:val="17"/>
              </w:rPr>
              <w:t>Изменение</w:t>
            </w:r>
            <w:proofErr w:type="gramStart"/>
            <w:r w:rsidRPr="007F352D">
              <w:rPr>
                <w:rFonts w:ascii="Times New Roman" w:eastAsia="Times New Roman" w:hAnsi="Times New Roman" w:cs="Times New Roman"/>
                <w:b/>
                <w:color w:val="000000" w:themeColor="text1"/>
                <w:sz w:val="17"/>
                <w:szCs w:val="17"/>
              </w:rPr>
              <w:t xml:space="preserve"> (+, -), </w:t>
            </w:r>
            <w:proofErr w:type="gramEnd"/>
            <w:r w:rsidRPr="007F352D">
              <w:rPr>
                <w:rFonts w:ascii="Times New Roman" w:eastAsia="Times New Roman" w:hAnsi="Times New Roman" w:cs="Times New Roman"/>
                <w:b/>
                <w:color w:val="000000" w:themeColor="text1"/>
                <w:sz w:val="17"/>
                <w:szCs w:val="17"/>
              </w:rPr>
              <w:t>процентные пункты</w:t>
            </w:r>
          </w:p>
        </w:tc>
      </w:tr>
      <w:tr w:rsidR="007F352D" w:rsidRPr="007F352D" w:rsidTr="006F3506">
        <w:trPr>
          <w:trHeight w:val="6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rPr>
                <w:rFonts w:ascii="Times New Roman" w:eastAsia="Times New Roman" w:hAnsi="Times New Roman" w:cs="Times New Roman"/>
                <w:b/>
                <w:color w:val="000000" w:themeColor="text1"/>
                <w:sz w:val="17"/>
                <w:szCs w:val="17"/>
              </w:rPr>
            </w:pPr>
          </w:p>
        </w:tc>
        <w:tc>
          <w:tcPr>
            <w:tcW w:w="950" w:type="pct"/>
            <w:tcBorders>
              <w:top w:val="single" w:sz="4" w:space="0" w:color="auto"/>
              <w:left w:val="nil"/>
              <w:bottom w:val="nil"/>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b/>
                <w:color w:val="000000" w:themeColor="text1"/>
                <w:sz w:val="16"/>
                <w:szCs w:val="16"/>
              </w:rPr>
            </w:pPr>
            <w:r w:rsidRPr="007F352D">
              <w:rPr>
                <w:rFonts w:ascii="Times New Roman" w:eastAsia="Times New Roman" w:hAnsi="Times New Roman" w:cs="Times New Roman"/>
                <w:b/>
                <w:color w:val="000000" w:themeColor="text1"/>
                <w:sz w:val="16"/>
                <w:szCs w:val="16"/>
              </w:rPr>
              <w:t>на 1 января 2018 года</w:t>
            </w:r>
          </w:p>
        </w:tc>
        <w:tc>
          <w:tcPr>
            <w:tcW w:w="949" w:type="pct"/>
            <w:tcBorders>
              <w:top w:val="single" w:sz="4" w:space="0" w:color="auto"/>
              <w:left w:val="nil"/>
              <w:bottom w:val="nil"/>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b/>
                <w:color w:val="000000" w:themeColor="text1"/>
                <w:sz w:val="16"/>
                <w:szCs w:val="16"/>
              </w:rPr>
            </w:pPr>
            <w:r w:rsidRPr="007F352D">
              <w:rPr>
                <w:rFonts w:ascii="Times New Roman" w:eastAsia="Times New Roman" w:hAnsi="Times New Roman" w:cs="Times New Roman"/>
                <w:b/>
                <w:color w:val="000000" w:themeColor="text1"/>
                <w:sz w:val="16"/>
                <w:szCs w:val="16"/>
              </w:rPr>
              <w:t>на 1 января 2019 года</w:t>
            </w:r>
          </w:p>
        </w:tc>
        <w:tc>
          <w:tcPr>
            <w:tcW w:w="1058" w:type="pct"/>
            <w:tcBorders>
              <w:top w:val="single" w:sz="4" w:space="0" w:color="auto"/>
              <w:left w:val="nil"/>
              <w:bottom w:val="single" w:sz="4" w:space="0" w:color="auto"/>
              <w:right w:val="single" w:sz="4" w:space="0" w:color="auto"/>
            </w:tcBorders>
            <w:vAlign w:val="center"/>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16"/>
                <w:szCs w:val="16"/>
              </w:rPr>
            </w:pPr>
          </w:p>
        </w:tc>
      </w:tr>
      <w:tr w:rsidR="007F352D" w:rsidRPr="007F352D" w:rsidTr="006F3506">
        <w:trPr>
          <w:trHeight w:val="412"/>
        </w:trPr>
        <w:tc>
          <w:tcPr>
            <w:tcW w:w="2043" w:type="pct"/>
            <w:tcBorders>
              <w:top w:val="nil"/>
              <w:left w:val="single" w:sz="4" w:space="0" w:color="auto"/>
              <w:bottom w:val="single" w:sz="4" w:space="0" w:color="auto"/>
              <w:right w:val="single" w:sz="4" w:space="0" w:color="auto"/>
            </w:tcBorders>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Государственные ценные бумаги Российской Федерации – всего</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100,0</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100,0</w:t>
            </w:r>
          </w:p>
        </w:tc>
        <w:tc>
          <w:tcPr>
            <w:tcW w:w="1058" w:type="pct"/>
            <w:tcBorders>
              <w:top w:val="single" w:sz="4" w:space="0" w:color="auto"/>
              <w:left w:val="single" w:sz="4" w:space="0" w:color="auto"/>
              <w:bottom w:val="single" w:sz="4" w:space="0" w:color="auto"/>
              <w:right w:val="single" w:sz="4" w:space="0" w:color="auto"/>
            </w:tcBorders>
            <w:noWrap/>
            <w:vAlign w:val="center"/>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7F352D" w:rsidRPr="007F352D" w:rsidTr="006F3506">
        <w:trPr>
          <w:trHeight w:val="142"/>
        </w:trPr>
        <w:tc>
          <w:tcPr>
            <w:tcW w:w="2043" w:type="pct"/>
            <w:tcBorders>
              <w:top w:val="nil"/>
              <w:left w:val="single" w:sz="4" w:space="0" w:color="auto"/>
              <w:bottom w:val="single" w:sz="4" w:space="0" w:color="auto"/>
              <w:right w:val="single" w:sz="4" w:space="0" w:color="auto"/>
            </w:tcBorders>
            <w:hideMark/>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в том числе:</w:t>
            </w:r>
          </w:p>
        </w:tc>
        <w:tc>
          <w:tcPr>
            <w:tcW w:w="950" w:type="pct"/>
            <w:tcBorders>
              <w:top w:val="single" w:sz="4" w:space="0" w:color="auto"/>
              <w:left w:val="single" w:sz="4" w:space="0" w:color="auto"/>
              <w:bottom w:val="single" w:sz="4" w:space="0" w:color="auto"/>
              <w:right w:val="single" w:sz="4" w:space="0" w:color="auto"/>
            </w:tcBorders>
            <w:vAlign w:val="center"/>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949" w:type="pct"/>
            <w:tcBorders>
              <w:top w:val="single" w:sz="4" w:space="0" w:color="auto"/>
              <w:left w:val="single" w:sz="4" w:space="0" w:color="auto"/>
              <w:bottom w:val="single" w:sz="4" w:space="0" w:color="auto"/>
              <w:right w:val="single" w:sz="4" w:space="0" w:color="auto"/>
            </w:tcBorders>
            <w:vAlign w:val="center"/>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c>
          <w:tcPr>
            <w:tcW w:w="1058" w:type="pct"/>
            <w:tcBorders>
              <w:top w:val="single" w:sz="4" w:space="0" w:color="auto"/>
              <w:left w:val="single" w:sz="4" w:space="0" w:color="auto"/>
              <w:bottom w:val="single" w:sz="4" w:space="0" w:color="auto"/>
              <w:right w:val="single" w:sz="4" w:space="0" w:color="auto"/>
            </w:tcBorders>
            <w:noWrap/>
            <w:vAlign w:val="center"/>
          </w:tcPr>
          <w:p w:rsidR="00D44DED" w:rsidRPr="007F352D" w:rsidRDefault="00D44DED" w:rsidP="006F350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18"/>
                <w:szCs w:val="18"/>
              </w:rPr>
            </w:pP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ОФЗ-ПД</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59,11</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63,61</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+4,5</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ОФЗ-ПК</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24,13</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22,35</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-1,78</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ОФЗ-АД</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7,45</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5,38</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-2,07</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ОФЗ-ИН</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2,33</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3,27</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+0,94</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ГСО-ППС</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3,39</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2,97</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-0,42</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ГСО-ФПС</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1,82</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1,7</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-0,12</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ОФЗ-н</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0,54</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0,72</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+0,18</w:t>
            </w:r>
          </w:p>
        </w:tc>
      </w:tr>
      <w:tr w:rsidR="007F352D" w:rsidRPr="007F352D" w:rsidTr="006F3506">
        <w:trPr>
          <w:trHeight w:val="170"/>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ОВОЗ</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1,24</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-1,24</w:t>
            </w:r>
          </w:p>
        </w:tc>
      </w:tr>
      <w:tr w:rsidR="007F352D" w:rsidRPr="007F352D" w:rsidTr="006F3506">
        <w:trPr>
          <w:trHeight w:val="113"/>
        </w:trPr>
        <w:tc>
          <w:tcPr>
            <w:tcW w:w="2043" w:type="pct"/>
            <w:tcBorders>
              <w:top w:val="nil"/>
              <w:left w:val="single" w:sz="4" w:space="0" w:color="auto"/>
              <w:bottom w:val="single" w:sz="4" w:space="0" w:color="auto"/>
              <w:right w:val="single" w:sz="4" w:space="0" w:color="auto"/>
            </w:tcBorders>
            <w:vAlign w:val="center"/>
            <w:hideMark/>
          </w:tcPr>
          <w:p w:rsidR="00D44DED" w:rsidRPr="007F352D" w:rsidRDefault="00D44DED" w:rsidP="006F350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государственный внутренний заем Российской Федерации 1991 года</w:t>
            </w:r>
          </w:p>
        </w:tc>
        <w:tc>
          <w:tcPr>
            <w:tcW w:w="950"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0,000001</w:t>
            </w:r>
          </w:p>
        </w:tc>
        <w:tc>
          <w:tcPr>
            <w:tcW w:w="949" w:type="pct"/>
            <w:tcBorders>
              <w:top w:val="single" w:sz="4" w:space="0" w:color="auto"/>
              <w:left w:val="single" w:sz="4" w:space="0" w:color="auto"/>
              <w:bottom w:val="single" w:sz="4" w:space="0" w:color="auto"/>
              <w:right w:val="single" w:sz="4" w:space="0" w:color="auto"/>
            </w:tcBorders>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0,000001</w:t>
            </w:r>
          </w:p>
        </w:tc>
        <w:tc>
          <w:tcPr>
            <w:tcW w:w="1058" w:type="pct"/>
            <w:tcBorders>
              <w:top w:val="single" w:sz="4" w:space="0" w:color="auto"/>
              <w:left w:val="single" w:sz="4" w:space="0" w:color="auto"/>
              <w:bottom w:val="single" w:sz="4" w:space="0" w:color="auto"/>
              <w:right w:val="single" w:sz="4" w:space="0" w:color="auto"/>
            </w:tcBorders>
            <w:noWrap/>
            <w:vAlign w:val="center"/>
            <w:hideMark/>
          </w:tcPr>
          <w:p w:rsidR="00D44DED" w:rsidRPr="007F352D" w:rsidRDefault="00D44DED" w:rsidP="006F3506">
            <w:pPr>
              <w:spacing w:after="0" w:line="240" w:lineRule="auto"/>
              <w:ind w:left="34" w:hanging="34"/>
              <w:jc w:val="center"/>
              <w:rPr>
                <w:rFonts w:ascii="Times New Roman" w:eastAsia="Times New Roman" w:hAnsi="Times New Roman" w:cs="Times New Roman"/>
                <w:color w:val="000000" w:themeColor="text1"/>
                <w:sz w:val="18"/>
                <w:szCs w:val="18"/>
              </w:rPr>
            </w:pPr>
            <w:r w:rsidRPr="007F352D">
              <w:rPr>
                <w:rFonts w:ascii="Times New Roman" w:eastAsia="Times New Roman" w:hAnsi="Times New Roman" w:cs="Times New Roman"/>
                <w:color w:val="000000" w:themeColor="text1"/>
                <w:sz w:val="18"/>
                <w:szCs w:val="18"/>
              </w:rPr>
              <w:t>0,0</w:t>
            </w:r>
          </w:p>
        </w:tc>
      </w:tr>
    </w:tbl>
    <w:p w:rsidR="00D44DED" w:rsidRPr="007F352D" w:rsidRDefault="00D44DED" w:rsidP="0035262F">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2045F7" w:rsidRPr="007F352D" w:rsidRDefault="002045F7">
      <w:pPr>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br w:type="page"/>
      </w:r>
    </w:p>
    <w:p w:rsidR="005060D2" w:rsidRPr="007F352D" w:rsidRDefault="005060D2" w:rsidP="005060D2">
      <w:pPr>
        <w:spacing w:before="120"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lastRenderedPageBreak/>
        <w:t xml:space="preserve">Таблица  № </w:t>
      </w:r>
      <w:r w:rsidR="001F4164" w:rsidRPr="007F352D">
        <w:rPr>
          <w:rFonts w:ascii="Times New Roman" w:eastAsia="Times New Roman" w:hAnsi="Times New Roman" w:cs="Times New Roman"/>
          <w:snapToGrid w:val="0"/>
          <w:color w:val="000000" w:themeColor="text1"/>
          <w:sz w:val="24"/>
          <w:szCs w:val="24"/>
          <w:lang w:eastAsia="ru-RU"/>
        </w:rPr>
        <w:t>3</w:t>
      </w:r>
    </w:p>
    <w:p w:rsidR="005060D2" w:rsidRPr="007F352D" w:rsidRDefault="005060D2" w:rsidP="005060D2">
      <w:pPr>
        <w:widowControl w:val="0"/>
        <w:spacing w:after="0" w:line="240" w:lineRule="auto"/>
        <w:jc w:val="center"/>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Выполнение Программы государственных гарантий Российской Федерации в валюте Российской Федерации на 2018 год и на плановый период 2019 и 2020 годов по состоянию на 1 января 2019 года</w:t>
      </w:r>
    </w:p>
    <w:p w:rsidR="006A1D0D" w:rsidRPr="007F352D" w:rsidRDefault="006A1D0D" w:rsidP="005060D2">
      <w:pPr>
        <w:widowControl w:val="0"/>
        <w:spacing w:after="0" w:line="240" w:lineRule="auto"/>
        <w:jc w:val="center"/>
        <w:rPr>
          <w:rFonts w:ascii="Times New Roman" w:hAnsi="Times New Roman" w:cs="Times New Roman"/>
          <w:color w:val="000000" w:themeColor="text1"/>
          <w:sz w:val="24"/>
          <w:szCs w:val="24"/>
        </w:rPr>
      </w:pPr>
    </w:p>
    <w:tbl>
      <w:tblPr>
        <w:tblW w:w="102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3326"/>
        <w:gridCol w:w="1532"/>
        <w:gridCol w:w="1446"/>
        <w:gridCol w:w="1404"/>
        <w:gridCol w:w="2132"/>
      </w:tblGrid>
      <w:tr w:rsidR="005060D2" w:rsidRPr="007F352D" w:rsidTr="00582CF9">
        <w:trPr>
          <w:trHeight w:val="666"/>
          <w:tblHeader/>
        </w:trPr>
        <w:tc>
          <w:tcPr>
            <w:tcW w:w="445" w:type="dxa"/>
            <w:vAlign w:val="center"/>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 </w:t>
            </w:r>
            <w:proofErr w:type="gramStart"/>
            <w:r w:rsidRPr="007F352D">
              <w:rPr>
                <w:rFonts w:ascii="Times New Roman" w:hAnsi="Times New Roman" w:cs="Times New Roman"/>
                <w:b/>
                <w:bCs/>
                <w:color w:val="000000" w:themeColor="text1"/>
                <w:sz w:val="16"/>
                <w:szCs w:val="16"/>
              </w:rPr>
              <w:t>п</w:t>
            </w:r>
            <w:proofErr w:type="gramEnd"/>
            <w:r w:rsidRPr="007F352D">
              <w:rPr>
                <w:rFonts w:ascii="Times New Roman" w:hAnsi="Times New Roman" w:cs="Times New Roman"/>
                <w:b/>
                <w:bCs/>
                <w:color w:val="000000" w:themeColor="text1"/>
                <w:sz w:val="16"/>
                <w:szCs w:val="16"/>
              </w:rPr>
              <w:t>/п</w:t>
            </w:r>
          </w:p>
        </w:tc>
        <w:tc>
          <w:tcPr>
            <w:tcW w:w="3326"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Цель гарантирования</w:t>
            </w:r>
          </w:p>
        </w:tc>
        <w:tc>
          <w:tcPr>
            <w:tcW w:w="1532"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Предусмотрено Федеральным законом № 362-ФЗ с изменениями,</w:t>
            </w:r>
          </w:p>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рублей</w:t>
            </w:r>
          </w:p>
        </w:tc>
        <w:tc>
          <w:tcPr>
            <w:tcW w:w="1446" w:type="dxa"/>
            <w:vAlign w:val="center"/>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Исполнение</w:t>
            </w:r>
            <w:r w:rsidRPr="007F352D">
              <w:rPr>
                <w:rFonts w:ascii="Times New Roman" w:hAnsi="Times New Roman" w:cs="Times New Roman"/>
                <w:b/>
                <w:bCs/>
                <w:color w:val="000000" w:themeColor="text1"/>
                <w:sz w:val="16"/>
                <w:szCs w:val="16"/>
              </w:rPr>
              <w:br/>
              <w:t xml:space="preserve"> на 1 января 2019 года,</w:t>
            </w:r>
          </w:p>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рублей</w:t>
            </w:r>
          </w:p>
        </w:tc>
        <w:tc>
          <w:tcPr>
            <w:tcW w:w="1404" w:type="dxa"/>
            <w:vAlign w:val="center"/>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Исполнение,</w:t>
            </w:r>
          </w:p>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w:t>
            </w:r>
          </w:p>
        </w:tc>
        <w:tc>
          <w:tcPr>
            <w:tcW w:w="2132" w:type="dxa"/>
            <w:vAlign w:val="center"/>
          </w:tcPr>
          <w:p w:rsidR="005060D2" w:rsidRPr="007F352D" w:rsidRDefault="005060D2" w:rsidP="00407246">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Предоставленные государственные гарантии</w:t>
            </w:r>
          </w:p>
        </w:tc>
      </w:tr>
      <w:tr w:rsidR="005060D2" w:rsidRPr="007F352D" w:rsidTr="00582CF9">
        <w:trPr>
          <w:trHeight w:val="156"/>
        </w:trPr>
        <w:tc>
          <w:tcPr>
            <w:tcW w:w="445" w:type="dxa"/>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w:t>
            </w: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кредитам либо облигационным займам, привлекаемым юридическими лицами на цели, установленные Правительством Российской Федерации</w:t>
            </w:r>
          </w:p>
        </w:tc>
        <w:tc>
          <w:tcPr>
            <w:tcW w:w="1532"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30 000,0</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16 100,0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53,7</w:t>
            </w:r>
          </w:p>
        </w:tc>
        <w:tc>
          <w:tcPr>
            <w:tcW w:w="2132" w:type="dxa"/>
            <w:vAlign w:val="center"/>
          </w:tcPr>
          <w:p w:rsidR="005060D2" w:rsidRPr="007F352D" w:rsidRDefault="005060D2" w:rsidP="00407246">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одна государственная гарантия от 29 декабря 2018 г. № ГГ-18-2/Е00000</w:t>
            </w:r>
          </w:p>
          <w:p w:rsidR="001B6F01" w:rsidRPr="007F352D" w:rsidRDefault="001B6F01" w:rsidP="00407246">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обязательствам АО «РСК «МиГ» с наличием права регрессного требования</w:t>
            </w:r>
          </w:p>
        </w:tc>
      </w:tr>
      <w:tr w:rsidR="005060D2" w:rsidRPr="007F352D" w:rsidTr="00582CF9">
        <w:trPr>
          <w:trHeight w:val="599"/>
        </w:trPr>
        <w:tc>
          <w:tcPr>
            <w:tcW w:w="445" w:type="dxa"/>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2</w:t>
            </w: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кредитам, привлекаемым юридическими лицами, зарегистрированными и осуществляющими свою основную уставную деятельность на территории Северо-Кавказского федерального округа, на реализацию инвестиционных проектов на территории Северо</w:t>
            </w:r>
            <w:r w:rsidR="005555D9" w:rsidRPr="007F352D">
              <w:rPr>
                <w:rFonts w:ascii="Times New Roman" w:hAnsi="Times New Roman" w:cs="Times New Roman"/>
                <w:color w:val="000000" w:themeColor="text1"/>
                <w:sz w:val="16"/>
                <w:szCs w:val="16"/>
              </w:rPr>
              <w:t>-Кавказского федерального округа</w:t>
            </w:r>
          </w:p>
        </w:tc>
        <w:tc>
          <w:tcPr>
            <w:tcW w:w="1532"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 xml:space="preserve">10 000,0 </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w:t>
            </w:r>
          </w:p>
        </w:tc>
        <w:tc>
          <w:tcPr>
            <w:tcW w:w="2132" w:type="dxa"/>
            <w:vAlign w:val="center"/>
          </w:tcPr>
          <w:p w:rsidR="005060D2" w:rsidRPr="007F352D" w:rsidRDefault="005060D2" w:rsidP="00407246">
            <w:pPr>
              <w:spacing w:after="0" w:line="240" w:lineRule="auto"/>
              <w:jc w:val="both"/>
              <w:rPr>
                <w:rFonts w:ascii="Times New Roman" w:hAnsi="Times New Roman" w:cs="Times New Roman"/>
                <w:color w:val="000000" w:themeColor="text1"/>
                <w:sz w:val="16"/>
                <w:szCs w:val="16"/>
              </w:rPr>
            </w:pPr>
          </w:p>
        </w:tc>
      </w:tr>
      <w:tr w:rsidR="005060D2" w:rsidRPr="007F352D" w:rsidTr="00582CF9">
        <w:trPr>
          <w:trHeight w:val="371"/>
        </w:trPr>
        <w:tc>
          <w:tcPr>
            <w:tcW w:w="445" w:type="dxa"/>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3</w:t>
            </w: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кредитам либо облигационным займам, привлекаемым юридическими лицами, зарегистрированными и осуществляющими свою основную уставную деятельность на территории Северо-Кавказского федерального округа, на реализацию инвестиционных проектов по созданию туристического кластера в Северо-Кавказском федеральном округе</w:t>
            </w:r>
          </w:p>
        </w:tc>
        <w:tc>
          <w:tcPr>
            <w:tcW w:w="1532" w:type="dxa"/>
            <w:shd w:val="clear" w:color="auto" w:fill="auto"/>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 xml:space="preserve">9 000,0 </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w:t>
            </w:r>
          </w:p>
        </w:tc>
        <w:tc>
          <w:tcPr>
            <w:tcW w:w="2132" w:type="dxa"/>
            <w:vAlign w:val="center"/>
          </w:tcPr>
          <w:p w:rsidR="005060D2" w:rsidRPr="007F352D" w:rsidRDefault="005060D2" w:rsidP="00407246">
            <w:pPr>
              <w:spacing w:after="0" w:line="240" w:lineRule="auto"/>
              <w:jc w:val="both"/>
              <w:rPr>
                <w:rFonts w:ascii="Times New Roman" w:hAnsi="Times New Roman" w:cs="Times New Roman"/>
                <w:color w:val="000000" w:themeColor="text1"/>
                <w:sz w:val="16"/>
                <w:szCs w:val="16"/>
              </w:rPr>
            </w:pPr>
          </w:p>
        </w:tc>
      </w:tr>
      <w:tr w:rsidR="005060D2" w:rsidRPr="007F352D" w:rsidTr="00582CF9">
        <w:trPr>
          <w:trHeight w:val="268"/>
        </w:trPr>
        <w:tc>
          <w:tcPr>
            <w:tcW w:w="445" w:type="dxa"/>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4</w:t>
            </w: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кредитам либо облигационным займам, привлекаемым акционерным обществом «РОСНАНО» на реализацию инвестиционных проектов в сфере наноиндустрии, финансирование инвестиционных фондов нанотехнологий, а также на погашение кредитов либо облигационных займов, привлеченных АО «РОСНАНО» ранее на реализацию целей, указанных в уставе АО «РОСНАНО»</w:t>
            </w:r>
          </w:p>
        </w:tc>
        <w:tc>
          <w:tcPr>
            <w:tcW w:w="1532"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13 400,0</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13 400,0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100</w:t>
            </w:r>
          </w:p>
        </w:tc>
        <w:tc>
          <w:tcPr>
            <w:tcW w:w="2132" w:type="dxa"/>
            <w:vAlign w:val="center"/>
          </w:tcPr>
          <w:p w:rsidR="005060D2" w:rsidRPr="007F352D" w:rsidRDefault="005060D2" w:rsidP="00407246">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одна государственная гарантия от 27 декабря 2018 г. № ГГ-18-1/Е00000</w:t>
            </w:r>
            <w:r w:rsidR="001B6F01" w:rsidRPr="007F352D">
              <w:rPr>
                <w:rFonts w:ascii="Times New Roman" w:hAnsi="Times New Roman" w:cs="Times New Roman"/>
                <w:color w:val="000000" w:themeColor="text1"/>
                <w:sz w:val="16"/>
                <w:szCs w:val="16"/>
              </w:rPr>
              <w:t xml:space="preserve"> по обязательствам АО «РОСНАНО» - 13 400,0 млн. рублей без права регрессного требования</w:t>
            </w:r>
          </w:p>
        </w:tc>
      </w:tr>
      <w:tr w:rsidR="005060D2" w:rsidRPr="007F352D" w:rsidTr="00582CF9">
        <w:trPr>
          <w:trHeight w:val="196"/>
        </w:trPr>
        <w:tc>
          <w:tcPr>
            <w:tcW w:w="445" w:type="dxa"/>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5</w:t>
            </w: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облигационным займам, привлекаемым специализированным обществом проектного финансирования на цели предоставления займов юридическим лицам, реализующим инвестиционные проекты в рамках «фабрики» проектного финансирования, а также на цели приобретения у Внешэкономбанка прав требования по кредитам (займам), предоставленным таким лицам</w:t>
            </w:r>
          </w:p>
        </w:tc>
        <w:tc>
          <w:tcPr>
            <w:tcW w:w="1532" w:type="dxa"/>
            <w:shd w:val="clear" w:color="auto" w:fill="auto"/>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294 000,0</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294 000,0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100</w:t>
            </w:r>
          </w:p>
        </w:tc>
        <w:tc>
          <w:tcPr>
            <w:tcW w:w="2132" w:type="dxa"/>
            <w:vAlign w:val="center"/>
          </w:tcPr>
          <w:p w:rsidR="005060D2" w:rsidRPr="007F352D" w:rsidRDefault="005060D2" w:rsidP="00407246">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одна государственная гарантия от 29 декабря 2018 г. № 04-04-10/520</w:t>
            </w:r>
            <w:r w:rsidR="001B6F01" w:rsidRPr="007F352D">
              <w:rPr>
                <w:rFonts w:ascii="Times New Roman" w:hAnsi="Times New Roman" w:cs="Times New Roman"/>
                <w:color w:val="000000" w:themeColor="text1"/>
                <w:sz w:val="16"/>
                <w:szCs w:val="16"/>
              </w:rPr>
              <w:t xml:space="preserve"> по обязательствам ООО «Специализированное общество проектного финансирования Фабрика проектного финансирования» без права регрессного требования</w:t>
            </w:r>
          </w:p>
        </w:tc>
      </w:tr>
      <w:tr w:rsidR="005060D2" w:rsidRPr="007F352D" w:rsidTr="00582CF9">
        <w:trPr>
          <w:trHeight w:val="315"/>
        </w:trPr>
        <w:tc>
          <w:tcPr>
            <w:tcW w:w="445" w:type="dxa"/>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3326" w:type="dxa"/>
            <w:shd w:val="clear" w:color="auto" w:fill="auto"/>
            <w:vAlign w:val="center"/>
            <w:hideMark/>
          </w:tcPr>
          <w:p w:rsidR="005060D2" w:rsidRPr="007F352D" w:rsidRDefault="005060D2" w:rsidP="005060D2">
            <w:pPr>
              <w:spacing w:after="0" w:line="240" w:lineRule="auto"/>
              <w:jc w:val="both"/>
              <w:rPr>
                <w:rFonts w:ascii="Times New Roman" w:hAnsi="Times New Roman" w:cs="Times New Roman"/>
                <w:b/>
                <w:color w:val="000000" w:themeColor="text1"/>
                <w:sz w:val="16"/>
                <w:szCs w:val="16"/>
              </w:rPr>
            </w:pPr>
            <w:r w:rsidRPr="007F352D">
              <w:rPr>
                <w:rFonts w:ascii="Times New Roman" w:hAnsi="Times New Roman" w:cs="Times New Roman"/>
                <w:b/>
                <w:color w:val="000000" w:themeColor="text1"/>
                <w:sz w:val="16"/>
                <w:szCs w:val="16"/>
              </w:rPr>
              <w:t>Итого</w:t>
            </w:r>
          </w:p>
        </w:tc>
        <w:tc>
          <w:tcPr>
            <w:tcW w:w="1532" w:type="dxa"/>
            <w:shd w:val="clear" w:color="auto" w:fill="auto"/>
            <w:vAlign w:val="center"/>
            <w:hideMark/>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r w:rsidRPr="007F352D">
              <w:rPr>
                <w:rFonts w:ascii="Times New Roman" w:hAnsi="Times New Roman" w:cs="Times New Roman"/>
                <w:b/>
                <w:color w:val="000000" w:themeColor="text1"/>
                <w:sz w:val="16"/>
                <w:szCs w:val="16"/>
              </w:rPr>
              <w:t>356 400,0</w:t>
            </w:r>
          </w:p>
        </w:tc>
        <w:tc>
          <w:tcPr>
            <w:tcW w:w="1446" w:type="dxa"/>
            <w:vAlign w:val="center"/>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r w:rsidRPr="007F352D">
              <w:rPr>
                <w:rFonts w:ascii="Times New Roman" w:hAnsi="Times New Roman" w:cs="Times New Roman"/>
                <w:b/>
                <w:color w:val="000000" w:themeColor="text1"/>
                <w:sz w:val="16"/>
                <w:szCs w:val="16"/>
              </w:rPr>
              <w:t>323 500,0</w:t>
            </w:r>
          </w:p>
        </w:tc>
        <w:tc>
          <w:tcPr>
            <w:tcW w:w="1404" w:type="dxa"/>
            <w:vAlign w:val="center"/>
          </w:tcPr>
          <w:p w:rsidR="005060D2" w:rsidRPr="007F352D" w:rsidRDefault="003F7652" w:rsidP="005060D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90,8</w:t>
            </w:r>
          </w:p>
        </w:tc>
        <w:tc>
          <w:tcPr>
            <w:tcW w:w="2132" w:type="dxa"/>
            <w:vAlign w:val="center"/>
          </w:tcPr>
          <w:p w:rsidR="005060D2" w:rsidRPr="007F352D" w:rsidRDefault="005060D2" w:rsidP="00407246">
            <w:pPr>
              <w:spacing w:after="0" w:line="240" w:lineRule="auto"/>
              <w:jc w:val="both"/>
              <w:rPr>
                <w:rFonts w:ascii="Times New Roman" w:hAnsi="Times New Roman" w:cs="Times New Roman"/>
                <w:b/>
                <w:bCs/>
                <w:color w:val="000000" w:themeColor="text1"/>
                <w:sz w:val="16"/>
                <w:szCs w:val="16"/>
              </w:rPr>
            </w:pPr>
          </w:p>
        </w:tc>
      </w:tr>
      <w:tr w:rsidR="005060D2" w:rsidRPr="007F352D" w:rsidTr="00582CF9">
        <w:trPr>
          <w:trHeight w:val="315"/>
        </w:trPr>
        <w:tc>
          <w:tcPr>
            <w:tcW w:w="445" w:type="dxa"/>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b/>
                <w:color w:val="000000" w:themeColor="text1"/>
                <w:sz w:val="16"/>
                <w:szCs w:val="16"/>
              </w:rPr>
            </w:pPr>
            <w:r w:rsidRPr="007F352D">
              <w:rPr>
                <w:rFonts w:ascii="Times New Roman" w:hAnsi="Times New Roman" w:cs="Times New Roman"/>
                <w:b/>
                <w:color w:val="000000" w:themeColor="text1"/>
                <w:sz w:val="16"/>
                <w:szCs w:val="16"/>
              </w:rPr>
              <w:t>Бюджетные ассигнования на исполнение государственных гарантий Российской Федерации по возможным гарантийным случаям</w:t>
            </w:r>
          </w:p>
        </w:tc>
        <w:tc>
          <w:tcPr>
            <w:tcW w:w="1532" w:type="dxa"/>
            <w:shd w:val="clear" w:color="auto" w:fill="auto"/>
            <w:vAlign w:val="center"/>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1446" w:type="dxa"/>
            <w:vAlign w:val="center"/>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1404" w:type="dxa"/>
            <w:vAlign w:val="center"/>
          </w:tcPr>
          <w:p w:rsidR="005060D2" w:rsidRPr="007F352D" w:rsidRDefault="005060D2" w:rsidP="005060D2">
            <w:pPr>
              <w:spacing w:after="0" w:line="240" w:lineRule="auto"/>
              <w:jc w:val="center"/>
              <w:rPr>
                <w:rFonts w:ascii="Times New Roman" w:hAnsi="Times New Roman" w:cs="Times New Roman"/>
                <w:b/>
                <w:bCs/>
                <w:color w:val="000000" w:themeColor="text1"/>
                <w:sz w:val="16"/>
                <w:szCs w:val="16"/>
              </w:rPr>
            </w:pPr>
          </w:p>
        </w:tc>
        <w:tc>
          <w:tcPr>
            <w:tcW w:w="2132" w:type="dxa"/>
            <w:vAlign w:val="center"/>
          </w:tcPr>
          <w:p w:rsidR="005060D2" w:rsidRPr="007F352D" w:rsidRDefault="005060D2" w:rsidP="00407246">
            <w:pPr>
              <w:spacing w:after="0" w:line="240" w:lineRule="auto"/>
              <w:jc w:val="both"/>
              <w:rPr>
                <w:rFonts w:ascii="Times New Roman" w:hAnsi="Times New Roman" w:cs="Times New Roman"/>
                <w:b/>
                <w:bCs/>
                <w:color w:val="000000" w:themeColor="text1"/>
                <w:sz w:val="16"/>
                <w:szCs w:val="16"/>
              </w:rPr>
            </w:pPr>
          </w:p>
        </w:tc>
      </w:tr>
      <w:tr w:rsidR="005060D2" w:rsidRPr="007F352D" w:rsidTr="00582CF9">
        <w:trPr>
          <w:trHeight w:val="315"/>
        </w:trPr>
        <w:tc>
          <w:tcPr>
            <w:tcW w:w="445" w:type="dxa"/>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за счет расходов федерального бюджета</w:t>
            </w:r>
          </w:p>
        </w:tc>
        <w:tc>
          <w:tcPr>
            <w:tcW w:w="1532" w:type="dxa"/>
            <w:shd w:val="clear" w:color="auto" w:fill="auto"/>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4 011,6</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0,0</w:t>
            </w:r>
          </w:p>
        </w:tc>
        <w:tc>
          <w:tcPr>
            <w:tcW w:w="2132" w:type="dxa"/>
            <w:vAlign w:val="center"/>
          </w:tcPr>
          <w:p w:rsidR="005060D2" w:rsidRPr="007F352D" w:rsidRDefault="005060D2" w:rsidP="00407246">
            <w:pPr>
              <w:spacing w:after="0" w:line="240" w:lineRule="auto"/>
              <w:jc w:val="both"/>
              <w:rPr>
                <w:rFonts w:ascii="Times New Roman" w:hAnsi="Times New Roman" w:cs="Times New Roman"/>
                <w:b/>
                <w:bCs/>
                <w:color w:val="000000" w:themeColor="text1"/>
                <w:sz w:val="16"/>
                <w:szCs w:val="16"/>
              </w:rPr>
            </w:pPr>
          </w:p>
        </w:tc>
      </w:tr>
      <w:tr w:rsidR="005060D2" w:rsidRPr="007F352D" w:rsidTr="00582CF9">
        <w:trPr>
          <w:trHeight w:val="315"/>
        </w:trPr>
        <w:tc>
          <w:tcPr>
            <w:tcW w:w="445" w:type="dxa"/>
          </w:tcPr>
          <w:p w:rsidR="005060D2" w:rsidRPr="007F352D" w:rsidRDefault="005060D2" w:rsidP="005060D2">
            <w:pPr>
              <w:spacing w:after="0" w:line="240" w:lineRule="auto"/>
              <w:jc w:val="center"/>
              <w:rPr>
                <w:rFonts w:ascii="Times New Roman" w:hAnsi="Times New Roman" w:cs="Times New Roman"/>
                <w:b/>
                <w:color w:val="000000" w:themeColor="text1"/>
                <w:sz w:val="16"/>
                <w:szCs w:val="16"/>
              </w:rPr>
            </w:pPr>
          </w:p>
        </w:tc>
        <w:tc>
          <w:tcPr>
            <w:tcW w:w="3326" w:type="dxa"/>
            <w:shd w:val="clear" w:color="auto" w:fill="auto"/>
            <w:vAlign w:val="center"/>
          </w:tcPr>
          <w:p w:rsidR="005060D2" w:rsidRPr="007F352D" w:rsidRDefault="005060D2" w:rsidP="005060D2">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за счет источников финансирования дефицита федерального бюджета</w:t>
            </w:r>
          </w:p>
        </w:tc>
        <w:tc>
          <w:tcPr>
            <w:tcW w:w="1532" w:type="dxa"/>
            <w:shd w:val="clear" w:color="auto" w:fill="auto"/>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26 013,0</w:t>
            </w:r>
          </w:p>
        </w:tc>
        <w:tc>
          <w:tcPr>
            <w:tcW w:w="1446" w:type="dxa"/>
            <w:vAlign w:val="center"/>
          </w:tcPr>
          <w:p w:rsidR="005060D2" w:rsidRPr="007F352D" w:rsidRDefault="005060D2" w:rsidP="005060D2">
            <w:pPr>
              <w:spacing w:after="0"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0,0</w:t>
            </w:r>
          </w:p>
        </w:tc>
        <w:tc>
          <w:tcPr>
            <w:tcW w:w="1404" w:type="dxa"/>
            <w:vAlign w:val="center"/>
          </w:tcPr>
          <w:p w:rsidR="005060D2" w:rsidRPr="007F352D" w:rsidRDefault="005060D2" w:rsidP="005060D2">
            <w:pPr>
              <w:spacing w:after="0" w:line="240" w:lineRule="auto"/>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0,0</w:t>
            </w:r>
          </w:p>
        </w:tc>
        <w:tc>
          <w:tcPr>
            <w:tcW w:w="2132" w:type="dxa"/>
            <w:vAlign w:val="center"/>
          </w:tcPr>
          <w:p w:rsidR="005060D2" w:rsidRPr="007F352D" w:rsidRDefault="005060D2" w:rsidP="00407246">
            <w:pPr>
              <w:spacing w:after="0" w:line="240" w:lineRule="auto"/>
              <w:jc w:val="both"/>
              <w:rPr>
                <w:rFonts w:ascii="Times New Roman" w:hAnsi="Times New Roman" w:cs="Times New Roman"/>
                <w:b/>
                <w:bCs/>
                <w:color w:val="000000" w:themeColor="text1"/>
                <w:sz w:val="16"/>
                <w:szCs w:val="16"/>
              </w:rPr>
            </w:pPr>
          </w:p>
        </w:tc>
      </w:tr>
    </w:tbl>
    <w:p w:rsidR="00320C07" w:rsidRPr="007F352D" w:rsidRDefault="00320C07" w:rsidP="002B072C">
      <w:pPr>
        <w:spacing w:before="120"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br w:type="page"/>
      </w:r>
    </w:p>
    <w:p w:rsidR="002B072C" w:rsidRPr="007F352D" w:rsidRDefault="002B072C" w:rsidP="002B072C">
      <w:pPr>
        <w:spacing w:before="120"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lastRenderedPageBreak/>
        <w:t xml:space="preserve">Таблица  № </w:t>
      </w:r>
      <w:r w:rsidR="00EA2FD3" w:rsidRPr="007F352D">
        <w:rPr>
          <w:rFonts w:ascii="Times New Roman" w:eastAsia="Times New Roman" w:hAnsi="Times New Roman" w:cs="Times New Roman"/>
          <w:snapToGrid w:val="0"/>
          <w:color w:val="000000" w:themeColor="text1"/>
          <w:sz w:val="24"/>
          <w:szCs w:val="24"/>
          <w:lang w:eastAsia="ru-RU"/>
        </w:rPr>
        <w:t>4</w:t>
      </w:r>
    </w:p>
    <w:p w:rsidR="00836FC4" w:rsidRPr="007F352D" w:rsidRDefault="00836FC4"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color w:val="000000" w:themeColor="text1"/>
          <w:sz w:val="24"/>
          <w:szCs w:val="24"/>
          <w:lang w:eastAsia="ru-RU"/>
        </w:rPr>
      </w:pPr>
    </w:p>
    <w:p w:rsidR="002B072C" w:rsidRPr="007F352D" w:rsidRDefault="00836FC4"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color w:val="000000" w:themeColor="text1"/>
          <w:sz w:val="24"/>
          <w:szCs w:val="24"/>
          <w:lang w:eastAsia="ru-RU"/>
        </w:rPr>
      </w:pPr>
      <w:proofErr w:type="gramStart"/>
      <w:r w:rsidRPr="007F352D">
        <w:rPr>
          <w:rFonts w:ascii="Times New Roman" w:eastAsia="Times New Roman" w:hAnsi="Times New Roman" w:cs="Times New Roman"/>
          <w:color w:val="000000" w:themeColor="text1"/>
          <w:sz w:val="24"/>
          <w:szCs w:val="24"/>
          <w:lang w:eastAsia="ru-RU"/>
        </w:rPr>
        <w:t>Информация</w:t>
      </w:r>
      <w:r w:rsidR="002B072C" w:rsidRPr="007F352D">
        <w:rPr>
          <w:rFonts w:ascii="Times New Roman" w:eastAsia="Times New Roman" w:hAnsi="Times New Roman" w:cs="Times New Roman"/>
          <w:color w:val="000000" w:themeColor="text1"/>
          <w:sz w:val="24"/>
          <w:szCs w:val="24"/>
          <w:lang w:eastAsia="ru-RU"/>
        </w:rPr>
        <w:t xml:space="preserve"> об объеме и структуре государственного внешнего долга Российской Федерации </w:t>
      </w:r>
      <w:r w:rsidRPr="007F352D">
        <w:rPr>
          <w:rFonts w:ascii="Times New Roman" w:eastAsia="Times New Roman" w:hAnsi="Times New Roman" w:cs="Times New Roman"/>
          <w:color w:val="000000" w:themeColor="text1"/>
          <w:sz w:val="24"/>
          <w:szCs w:val="24"/>
          <w:lang w:eastAsia="ru-RU"/>
        </w:rPr>
        <w:t>(</w:t>
      </w:r>
      <w:r w:rsidR="002B072C" w:rsidRPr="007F352D">
        <w:rPr>
          <w:rFonts w:ascii="Times New Roman" w:eastAsia="Times New Roman" w:hAnsi="Times New Roman" w:cs="Times New Roman"/>
          <w:color w:val="000000" w:themeColor="text1"/>
          <w:sz w:val="24"/>
          <w:szCs w:val="24"/>
          <w:lang w:eastAsia="ru-RU"/>
        </w:rPr>
        <w:t>в долларовом и рублевом эквивалентах</w:t>
      </w:r>
      <w:r w:rsidRPr="007F352D">
        <w:rPr>
          <w:rFonts w:ascii="Times New Roman" w:eastAsia="Times New Roman" w:hAnsi="Times New Roman" w:cs="Times New Roman"/>
          <w:color w:val="000000" w:themeColor="text1"/>
          <w:sz w:val="24"/>
          <w:szCs w:val="24"/>
          <w:lang w:eastAsia="ru-RU"/>
        </w:rPr>
        <w:t>)</w:t>
      </w:r>
      <w:r w:rsidR="002B072C" w:rsidRPr="007F352D">
        <w:rPr>
          <w:rFonts w:ascii="Times New Roman" w:eastAsia="Times New Roman" w:hAnsi="Times New Roman" w:cs="Times New Roman"/>
          <w:color w:val="000000" w:themeColor="text1"/>
          <w:sz w:val="24"/>
          <w:szCs w:val="24"/>
          <w:lang w:eastAsia="ru-RU"/>
        </w:rPr>
        <w:t xml:space="preserve"> за 2018 год</w:t>
      </w:r>
      <w:proofErr w:type="gramEnd"/>
    </w:p>
    <w:p w:rsidR="006A1D0D" w:rsidRPr="007F352D" w:rsidRDefault="006A1D0D" w:rsidP="00836FC4">
      <w:pPr>
        <w:widowControl w:val="0"/>
        <w:shd w:val="clear" w:color="auto" w:fill="FFFFFF" w:themeFill="background1"/>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color w:val="000000" w:themeColor="text1"/>
          <w:sz w:val="24"/>
          <w:szCs w:val="24"/>
          <w:lang w:eastAsia="ru-RU"/>
        </w:rPr>
      </w:pPr>
    </w:p>
    <w:tbl>
      <w:tblPr>
        <w:tblW w:w="10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8"/>
        <w:gridCol w:w="923"/>
        <w:gridCol w:w="702"/>
        <w:gridCol w:w="976"/>
        <w:gridCol w:w="923"/>
        <w:gridCol w:w="702"/>
        <w:gridCol w:w="976"/>
        <w:gridCol w:w="888"/>
        <w:gridCol w:w="567"/>
        <w:gridCol w:w="992"/>
        <w:gridCol w:w="590"/>
      </w:tblGrid>
      <w:tr w:rsidR="002B072C" w:rsidRPr="007F352D" w:rsidTr="00B02614">
        <w:trPr>
          <w:trHeight w:val="261"/>
          <w:tblHeader/>
          <w:jc w:val="center"/>
        </w:trPr>
        <w:tc>
          <w:tcPr>
            <w:tcW w:w="2298"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8"/>
                <w:szCs w:val="18"/>
                <w:lang w:eastAsia="ru-RU"/>
              </w:rPr>
              <w:t>Показатели</w:t>
            </w:r>
          </w:p>
        </w:tc>
        <w:tc>
          <w:tcPr>
            <w:tcW w:w="8239" w:type="dxa"/>
            <w:gridSpan w:val="10"/>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8"/>
                <w:szCs w:val="18"/>
                <w:lang w:eastAsia="ru-RU"/>
              </w:rPr>
              <w:t>Объем и структура государственного внешнего долга Российской Федерации</w:t>
            </w:r>
          </w:p>
        </w:tc>
      </w:tr>
      <w:tr w:rsidR="002B072C" w:rsidRPr="007F352D" w:rsidTr="00B02614">
        <w:trPr>
          <w:trHeight w:val="306"/>
          <w:tblHeader/>
          <w:jc w:val="center"/>
        </w:trPr>
        <w:tc>
          <w:tcPr>
            <w:tcW w:w="2298" w:type="dxa"/>
            <w:vMerge/>
            <w:tcBorders>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themeColor="text1"/>
                <w:sz w:val="16"/>
                <w:szCs w:val="16"/>
                <w:lang w:eastAsia="ru-RU"/>
              </w:rPr>
            </w:pPr>
          </w:p>
        </w:tc>
        <w:tc>
          <w:tcPr>
            <w:tcW w:w="2601" w:type="dxa"/>
            <w:gridSpan w:val="3"/>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shd w:val="clear" w:color="auto" w:fill="FFFFFF" w:themeFill="background1"/>
              <w:overflowPunct w:val="0"/>
              <w:autoSpaceDE w:val="0"/>
              <w:autoSpaceDN w:val="0"/>
              <w:adjustRightInd w:val="0"/>
              <w:spacing w:after="0" w:line="240" w:lineRule="auto"/>
              <w:ind w:left="284" w:right="-284"/>
              <w:jc w:val="both"/>
              <w:textAlignment w:val="baseline"/>
              <w:rPr>
                <w:rFonts w:ascii="Times New Roman" w:eastAsia="Times New Roman" w:hAnsi="Times New Roman" w:cs="Times New Roman"/>
                <w:b/>
                <w:bCs/>
                <w:color w:val="000000" w:themeColor="text1"/>
                <w:sz w:val="18"/>
                <w:szCs w:val="18"/>
                <w:lang w:eastAsia="ru-RU"/>
              </w:rPr>
            </w:pPr>
            <w:r w:rsidRPr="007F352D">
              <w:rPr>
                <w:rFonts w:ascii="Times New Roman" w:eastAsia="Times New Roman" w:hAnsi="Times New Roman" w:cs="Times New Roman"/>
                <w:b/>
                <w:bCs/>
                <w:color w:val="000000" w:themeColor="text1"/>
                <w:sz w:val="18"/>
                <w:szCs w:val="18"/>
                <w:lang w:eastAsia="ru-RU"/>
              </w:rPr>
              <w:t>на 1 января 2018 года</w:t>
            </w:r>
          </w:p>
        </w:tc>
        <w:tc>
          <w:tcPr>
            <w:tcW w:w="2601" w:type="dxa"/>
            <w:gridSpan w:val="3"/>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shd w:val="clear" w:color="auto" w:fill="FFFFFF" w:themeFill="background1"/>
              <w:overflowPunct w:val="0"/>
              <w:autoSpaceDE w:val="0"/>
              <w:autoSpaceDN w:val="0"/>
              <w:adjustRightInd w:val="0"/>
              <w:spacing w:after="0" w:line="240" w:lineRule="auto"/>
              <w:ind w:left="284" w:right="-284"/>
              <w:jc w:val="both"/>
              <w:textAlignment w:val="baseline"/>
              <w:rPr>
                <w:rFonts w:ascii="Times New Roman" w:eastAsia="Times New Roman" w:hAnsi="Times New Roman" w:cs="Times New Roman"/>
                <w:b/>
                <w:bCs/>
                <w:color w:val="000000" w:themeColor="text1"/>
                <w:sz w:val="18"/>
                <w:szCs w:val="18"/>
                <w:lang w:eastAsia="ru-RU"/>
              </w:rPr>
            </w:pPr>
            <w:r w:rsidRPr="007F352D">
              <w:rPr>
                <w:rFonts w:ascii="Times New Roman" w:eastAsia="Times New Roman" w:hAnsi="Times New Roman" w:cs="Times New Roman"/>
                <w:b/>
                <w:bCs/>
                <w:color w:val="000000" w:themeColor="text1"/>
                <w:sz w:val="18"/>
                <w:szCs w:val="18"/>
                <w:lang w:eastAsia="ru-RU"/>
              </w:rPr>
              <w:t>на 1 января 2019 года</w:t>
            </w:r>
          </w:p>
        </w:tc>
        <w:tc>
          <w:tcPr>
            <w:tcW w:w="3037" w:type="dxa"/>
            <w:gridSpan w:val="4"/>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8"/>
                <w:szCs w:val="18"/>
                <w:lang w:eastAsia="ru-RU"/>
              </w:rPr>
              <w:t>Изменение за 2018 год</w:t>
            </w:r>
            <w:proofErr w:type="gramStart"/>
            <w:r w:rsidRPr="007F352D">
              <w:rPr>
                <w:rFonts w:ascii="Times New Roman" w:eastAsia="Times New Roman" w:hAnsi="Times New Roman" w:cs="Times New Roman"/>
                <w:b/>
                <w:bCs/>
                <w:color w:val="000000" w:themeColor="text1"/>
                <w:sz w:val="18"/>
                <w:szCs w:val="18"/>
                <w:lang w:eastAsia="ru-RU"/>
              </w:rPr>
              <w:t>* (+, -)</w:t>
            </w:r>
            <w:proofErr w:type="gramEnd"/>
          </w:p>
        </w:tc>
      </w:tr>
      <w:tr w:rsidR="002B072C" w:rsidRPr="007F352D" w:rsidTr="00B02614">
        <w:trPr>
          <w:trHeight w:val="342"/>
          <w:tblHeader/>
          <w:jc w:val="center"/>
        </w:trPr>
        <w:tc>
          <w:tcPr>
            <w:tcW w:w="2298" w:type="dxa"/>
            <w:vMerge/>
            <w:tcBorders>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themeColor="text1"/>
                <w:sz w:val="16"/>
                <w:szCs w:val="16"/>
                <w:lang w:eastAsia="ru-RU"/>
              </w:rPr>
            </w:pPr>
          </w:p>
        </w:tc>
        <w:tc>
          <w:tcPr>
            <w:tcW w:w="923"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долларов США</w:t>
            </w:r>
          </w:p>
        </w:tc>
        <w:tc>
          <w:tcPr>
            <w:tcW w:w="702"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roofErr w:type="spellStart"/>
            <w:proofErr w:type="gramStart"/>
            <w:r w:rsidRPr="007F352D">
              <w:rPr>
                <w:rFonts w:ascii="Times New Roman" w:eastAsia="Times New Roman" w:hAnsi="Times New Roman" w:cs="Times New Roman"/>
                <w:bCs/>
                <w:color w:val="000000" w:themeColor="text1"/>
                <w:sz w:val="18"/>
                <w:szCs w:val="18"/>
                <w:lang w:eastAsia="ru-RU"/>
              </w:rPr>
              <w:t>струк</w:t>
            </w:r>
            <w:proofErr w:type="spellEnd"/>
            <w:r w:rsidRPr="007F352D">
              <w:rPr>
                <w:rFonts w:ascii="Times New Roman" w:eastAsia="Times New Roman" w:hAnsi="Times New Roman" w:cs="Times New Roman"/>
                <w:bCs/>
                <w:color w:val="000000" w:themeColor="text1"/>
                <w:sz w:val="18"/>
                <w:szCs w:val="18"/>
                <w:lang w:eastAsia="ru-RU"/>
              </w:rPr>
              <w:t xml:space="preserve"> тура</w:t>
            </w:r>
            <w:proofErr w:type="gramEnd"/>
            <w:r w:rsidRPr="007F352D">
              <w:rPr>
                <w:rFonts w:ascii="Times New Roman" w:eastAsia="Times New Roman" w:hAnsi="Times New Roman" w:cs="Times New Roman"/>
                <w:bCs/>
                <w:color w:val="000000" w:themeColor="text1"/>
                <w:sz w:val="18"/>
                <w:szCs w:val="18"/>
                <w:lang w:eastAsia="ru-RU"/>
              </w:rPr>
              <w:t>, %</w:t>
            </w:r>
          </w:p>
        </w:tc>
        <w:tc>
          <w:tcPr>
            <w:tcW w:w="976"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рублей</w:t>
            </w:r>
          </w:p>
        </w:tc>
        <w:tc>
          <w:tcPr>
            <w:tcW w:w="923"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долларов США</w:t>
            </w:r>
          </w:p>
        </w:tc>
        <w:tc>
          <w:tcPr>
            <w:tcW w:w="702"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структура, %</w:t>
            </w:r>
          </w:p>
        </w:tc>
        <w:tc>
          <w:tcPr>
            <w:tcW w:w="976" w:type="dxa"/>
            <w:vMerge w:val="restart"/>
            <w:tcBorders>
              <w:top w:val="single" w:sz="4" w:space="0" w:color="auto"/>
              <w:left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рублей</w:t>
            </w:r>
          </w:p>
        </w:tc>
        <w:tc>
          <w:tcPr>
            <w:tcW w:w="1455" w:type="dxa"/>
            <w:gridSpan w:val="2"/>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долларов США</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млн. рублей</w:t>
            </w:r>
          </w:p>
        </w:tc>
      </w:tr>
      <w:tr w:rsidR="002B072C" w:rsidRPr="007F352D" w:rsidTr="00532FAC">
        <w:trPr>
          <w:trHeight w:val="261"/>
          <w:tblHeader/>
          <w:jc w:val="center"/>
        </w:trPr>
        <w:tc>
          <w:tcPr>
            <w:tcW w:w="2298"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themeColor="text1"/>
                <w:sz w:val="16"/>
                <w:szCs w:val="16"/>
                <w:lang w:eastAsia="ru-RU"/>
              </w:rPr>
            </w:pPr>
          </w:p>
        </w:tc>
        <w:tc>
          <w:tcPr>
            <w:tcW w:w="923"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702"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976"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923"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702"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976" w:type="dxa"/>
            <w:vMerge/>
            <w:tcBorders>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сумма</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сумма</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lang w:eastAsia="ru-RU"/>
              </w:rPr>
            </w:pPr>
            <w:r w:rsidRPr="007F352D">
              <w:rPr>
                <w:rFonts w:ascii="Times New Roman" w:eastAsia="Times New Roman" w:hAnsi="Times New Roman" w:cs="Times New Roman"/>
                <w:bCs/>
                <w:color w:val="000000" w:themeColor="text1"/>
                <w:sz w:val="18"/>
                <w:szCs w:val="18"/>
                <w:lang w:eastAsia="ru-RU"/>
              </w:rPr>
              <w:t>%</w:t>
            </w:r>
          </w:p>
        </w:tc>
      </w:tr>
      <w:tr w:rsidR="002B072C" w:rsidRPr="007F352D" w:rsidTr="00532FAC">
        <w:trPr>
          <w:trHeight w:val="688"/>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lang w:eastAsia="ru-RU"/>
              </w:rPr>
              <w:t>Государственный внешний долг Российской Федерации</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49 827,3</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100,0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2 870 062,9</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49 156,5</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100,0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3 414 932,0</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-670,8</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-1,3</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544 869,1</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19,0</w:t>
            </w:r>
          </w:p>
        </w:tc>
      </w:tr>
      <w:tr w:rsidR="002B072C" w:rsidRPr="007F352D" w:rsidTr="00532FAC">
        <w:trPr>
          <w:trHeight w:val="104"/>
          <w:jc w:val="center"/>
        </w:trPr>
        <w:tc>
          <w:tcPr>
            <w:tcW w:w="2298" w:type="dxa"/>
            <w:tcBorders>
              <w:top w:val="single" w:sz="4" w:space="0" w:color="auto"/>
              <w:left w:val="single" w:sz="4" w:space="0" w:color="auto"/>
              <w:bottom w:val="single" w:sz="4" w:space="0" w:color="auto"/>
              <w:right w:val="single" w:sz="4" w:space="0" w:color="auto"/>
            </w:tcBorders>
            <w:vAlign w:val="bottom"/>
            <w:hideMark/>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bCs/>
                <w:color w:val="000000" w:themeColor="text1"/>
                <w:sz w:val="16"/>
                <w:szCs w:val="16"/>
                <w:lang w:eastAsia="ru-RU"/>
              </w:rPr>
              <w:t>в том числе:</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567" w:type="dxa"/>
            <w:tcBorders>
              <w:top w:val="single" w:sz="4" w:space="0" w:color="auto"/>
              <w:left w:val="single" w:sz="4" w:space="0" w:color="auto"/>
              <w:bottom w:val="single" w:sz="4" w:space="0" w:color="auto"/>
              <w:right w:val="single" w:sz="4" w:space="0" w:color="auto"/>
            </w:tcBorders>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themeColor="text1"/>
                <w:sz w:val="16"/>
                <w:szCs w:val="16"/>
              </w:rPr>
            </w:pPr>
          </w:p>
        </w:tc>
      </w:tr>
      <w:tr w:rsidR="002B072C" w:rsidRPr="007F352D" w:rsidTr="00C103DF">
        <w:trPr>
          <w:trHeight w:val="292"/>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bCs/>
                <w:color w:val="000000" w:themeColor="text1"/>
                <w:sz w:val="16"/>
                <w:szCs w:val="16"/>
                <w:lang w:eastAsia="ru-RU"/>
              </w:rPr>
              <w:t xml:space="preserve">1. Государственные ценные бумаги Российской Федерации, номинальная стоимость которых указана в иностранной валюте, в </w:t>
            </w:r>
            <w:proofErr w:type="spellStart"/>
            <w:r w:rsidRPr="007F352D">
              <w:rPr>
                <w:rFonts w:ascii="Times New Roman" w:eastAsia="Times New Roman" w:hAnsi="Times New Roman" w:cs="Times New Roman"/>
                <w:bCs/>
                <w:color w:val="000000" w:themeColor="text1"/>
                <w:sz w:val="16"/>
                <w:szCs w:val="16"/>
                <w:lang w:eastAsia="ru-RU"/>
              </w:rPr>
              <w:t>т.ч</w:t>
            </w:r>
            <w:proofErr w:type="spellEnd"/>
            <w:r w:rsidRPr="007F352D">
              <w:rPr>
                <w:rFonts w:ascii="Times New Roman" w:eastAsia="Times New Roman" w:hAnsi="Times New Roman" w:cs="Times New Roman"/>
                <w:bCs/>
                <w:color w:val="000000" w:themeColor="text1"/>
                <w:sz w:val="16"/>
                <w:szCs w:val="16"/>
                <w:lang w:eastAsia="ru-RU"/>
              </w:rPr>
              <w:t>.:</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lang w:eastAsia="ru-RU"/>
              </w:rPr>
              <w:t>38 212,7</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76,7</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2 201 057,6</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36 570,7</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74,4</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2 540 590,3</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-1 641,9</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-4,3</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339 532,7</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15,4</w:t>
            </w:r>
          </w:p>
        </w:tc>
      </w:tr>
      <w:tr w:rsidR="002B072C" w:rsidRPr="007F352D" w:rsidTr="00532FAC">
        <w:trPr>
          <w:trHeight w:val="603"/>
          <w:jc w:val="center"/>
        </w:trPr>
        <w:tc>
          <w:tcPr>
            <w:tcW w:w="229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Облигации внешних облигационных займов Российской Федерации</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38 209,5</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76,7</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2 200 874,9</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36 568,0</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74,4</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2 540 401,5</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-1 641,5</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-4,3</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339 526,6</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15,4</w:t>
            </w:r>
          </w:p>
        </w:tc>
      </w:tr>
      <w:tr w:rsidR="002B072C" w:rsidRPr="007F352D" w:rsidTr="00532FAC">
        <w:trPr>
          <w:trHeight w:val="275"/>
          <w:jc w:val="center"/>
        </w:trPr>
        <w:tc>
          <w:tcPr>
            <w:tcW w:w="229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Облигации внутреннего государственного валютного облигационного займа</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3,2</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182,7</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2,7</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188,8</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-0,5</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-15,6</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6,1</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3,3</w:t>
            </w:r>
          </w:p>
        </w:tc>
      </w:tr>
      <w:tr w:rsidR="002B072C" w:rsidRPr="007F352D" w:rsidTr="00532FAC">
        <w:trPr>
          <w:trHeight w:val="989"/>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bCs/>
                <w:color w:val="000000" w:themeColor="text1"/>
                <w:sz w:val="16"/>
                <w:szCs w:val="16"/>
                <w:lang w:eastAsia="ru-RU"/>
              </w:rPr>
              <w:t xml:space="preserve">2. Кредиты правительств иностранных государств, международных финансовых организаций (МФО), прочая задолженность, в </w:t>
            </w:r>
            <w:proofErr w:type="spellStart"/>
            <w:r w:rsidRPr="007F352D">
              <w:rPr>
                <w:rFonts w:ascii="Times New Roman" w:eastAsia="Times New Roman" w:hAnsi="Times New Roman" w:cs="Times New Roman"/>
                <w:bCs/>
                <w:color w:val="000000" w:themeColor="text1"/>
                <w:sz w:val="16"/>
                <w:szCs w:val="16"/>
                <w:lang w:eastAsia="ru-RU"/>
              </w:rPr>
              <w:t>т.ч</w:t>
            </w:r>
            <w:proofErr w:type="spellEnd"/>
            <w:r w:rsidRPr="007F352D">
              <w:rPr>
                <w:rFonts w:ascii="Times New Roman" w:eastAsia="Times New Roman" w:hAnsi="Times New Roman" w:cs="Times New Roman"/>
                <w:bCs/>
                <w:color w:val="000000" w:themeColor="text1"/>
                <w:sz w:val="16"/>
                <w:szCs w:val="16"/>
                <w:lang w:eastAsia="ru-RU"/>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1 257,4</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2,5</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72 428,0</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1 018,4</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2,1</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70 749,2</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-239,0</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-19,0</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-1 678,8</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-2,3</w:t>
            </w:r>
          </w:p>
        </w:tc>
      </w:tr>
      <w:tr w:rsidR="002B072C" w:rsidRPr="007F352D" w:rsidTr="00532FAC">
        <w:trPr>
          <w:trHeight w:val="204"/>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lang w:eastAsia="ru-RU"/>
              </w:rPr>
              <w:t xml:space="preserve">кредиты правительств </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559,4</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1,1</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32 219,4</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489,4</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34 000,0</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-69,9</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-12,5</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1 780,6</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5,5</w:t>
            </w:r>
          </w:p>
        </w:tc>
      </w:tr>
      <w:tr w:rsidR="002B072C" w:rsidRPr="007F352D" w:rsidTr="00532FAC">
        <w:trPr>
          <w:trHeight w:val="60"/>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lang w:eastAsia="ru-RU"/>
              </w:rPr>
              <w:t>займы МФО</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677,6</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1,4</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39 029,1</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508,7</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35 337,6</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-168,9</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-24,9</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-3 691,5</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-9,5</w:t>
            </w:r>
          </w:p>
        </w:tc>
      </w:tr>
      <w:tr w:rsidR="002B072C" w:rsidRPr="007F352D" w:rsidTr="00532FAC">
        <w:trPr>
          <w:trHeight w:val="202"/>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lang w:eastAsia="ru-RU"/>
              </w:rPr>
              <w:t>прочая задолженность</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20,5</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1 179,5</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20,3</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0,0</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1 411,6</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-0,2</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-1,0</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232,2</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19,7</w:t>
            </w:r>
          </w:p>
        </w:tc>
      </w:tr>
      <w:tr w:rsidR="002B072C" w:rsidRPr="007F352D" w:rsidTr="00532FAC">
        <w:trPr>
          <w:trHeight w:val="511"/>
          <w:jc w:val="center"/>
        </w:trPr>
        <w:tc>
          <w:tcPr>
            <w:tcW w:w="2298" w:type="dxa"/>
            <w:tcBorders>
              <w:top w:val="single" w:sz="4" w:space="0" w:color="auto"/>
              <w:left w:val="single" w:sz="4" w:space="0" w:color="auto"/>
              <w:bottom w:val="single" w:sz="4" w:space="0" w:color="auto"/>
              <w:right w:val="single" w:sz="4" w:space="0" w:color="auto"/>
            </w:tcBorders>
            <w:vAlign w:val="center"/>
            <w:hideMark/>
          </w:tcPr>
          <w:p w:rsidR="002B072C" w:rsidRPr="007F352D" w:rsidRDefault="002B072C" w:rsidP="00647CD3">
            <w:pPr>
              <w:widowControl w:val="0"/>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bCs/>
                <w:color w:val="000000" w:themeColor="text1"/>
                <w:sz w:val="16"/>
                <w:szCs w:val="16"/>
                <w:lang w:eastAsia="ru-RU"/>
              </w:rPr>
              <w:t>3. Государственные гарантии Российской Федерации  в иностранной валюте</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10 357,2</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20,8</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596 577,4</w:t>
            </w:r>
          </w:p>
        </w:tc>
        <w:tc>
          <w:tcPr>
            <w:tcW w:w="923"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11 567,4</w:t>
            </w:r>
          </w:p>
        </w:tc>
        <w:tc>
          <w:tcPr>
            <w:tcW w:w="70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23,5</w:t>
            </w:r>
          </w:p>
        </w:tc>
        <w:tc>
          <w:tcPr>
            <w:tcW w:w="976"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803 592,5</w:t>
            </w:r>
          </w:p>
        </w:tc>
        <w:tc>
          <w:tcPr>
            <w:tcW w:w="888"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1 210,2</w:t>
            </w:r>
          </w:p>
        </w:tc>
        <w:tc>
          <w:tcPr>
            <w:tcW w:w="567"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11,7</w:t>
            </w:r>
          </w:p>
        </w:tc>
        <w:tc>
          <w:tcPr>
            <w:tcW w:w="992"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207 015,1</w:t>
            </w:r>
          </w:p>
        </w:tc>
        <w:tc>
          <w:tcPr>
            <w:tcW w:w="590" w:type="dxa"/>
            <w:tcBorders>
              <w:top w:val="single" w:sz="4" w:space="0" w:color="auto"/>
              <w:left w:val="single" w:sz="4" w:space="0" w:color="auto"/>
              <w:bottom w:val="single" w:sz="4" w:space="0" w:color="auto"/>
              <w:right w:val="single" w:sz="4" w:space="0" w:color="auto"/>
            </w:tcBorders>
            <w:vAlign w:val="center"/>
          </w:tcPr>
          <w:p w:rsidR="002B072C" w:rsidRPr="007F352D" w:rsidRDefault="002B072C"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34,7</w:t>
            </w:r>
          </w:p>
        </w:tc>
      </w:tr>
    </w:tbl>
    <w:p w:rsidR="002B072C" w:rsidRPr="007F352D" w:rsidRDefault="002B072C" w:rsidP="002B072C">
      <w:pPr>
        <w:widowControl w:val="0"/>
        <w:shd w:val="clear" w:color="auto" w:fill="FFFFFF" w:themeFill="background1"/>
        <w:spacing w:after="0" w:line="312" w:lineRule="auto"/>
        <w:rPr>
          <w:rFonts w:ascii="Times New Roman" w:hAnsi="Times New Roman" w:cs="Times New Roman"/>
          <w:color w:val="000000" w:themeColor="text1"/>
          <w:sz w:val="20"/>
          <w:szCs w:val="20"/>
        </w:rPr>
      </w:pPr>
      <w:r w:rsidRPr="007F352D">
        <w:rPr>
          <w:rFonts w:ascii="Times New Roman" w:hAnsi="Times New Roman" w:cs="Times New Roman"/>
          <w:color w:val="000000" w:themeColor="text1"/>
          <w:sz w:val="20"/>
          <w:szCs w:val="20"/>
        </w:rPr>
        <w:t>* Округлены фактические значения изменений.</w:t>
      </w:r>
    </w:p>
    <w:p w:rsidR="00EA2FD3" w:rsidRPr="007F352D" w:rsidRDefault="00EA2FD3" w:rsidP="005669F1">
      <w:pPr>
        <w:widowControl w:val="0"/>
        <w:spacing w:line="240" w:lineRule="auto"/>
        <w:jc w:val="right"/>
        <w:rPr>
          <w:rFonts w:ascii="Times New Roman" w:hAnsi="Times New Roman" w:cs="Times New Roman"/>
          <w:color w:val="000000" w:themeColor="text1"/>
          <w:sz w:val="24"/>
          <w:szCs w:val="24"/>
        </w:rPr>
      </w:pPr>
    </w:p>
    <w:p w:rsidR="00EA2FD3" w:rsidRPr="007F352D" w:rsidRDefault="00EA2FD3" w:rsidP="005669F1">
      <w:pPr>
        <w:widowControl w:val="0"/>
        <w:spacing w:line="240" w:lineRule="auto"/>
        <w:jc w:val="right"/>
        <w:rPr>
          <w:rFonts w:ascii="Times New Roman" w:hAnsi="Times New Roman" w:cs="Times New Roman"/>
          <w:color w:val="000000" w:themeColor="text1"/>
          <w:sz w:val="24"/>
          <w:szCs w:val="24"/>
        </w:rPr>
      </w:pPr>
    </w:p>
    <w:p w:rsidR="00EA2FD3" w:rsidRPr="007F352D" w:rsidRDefault="00EA2FD3" w:rsidP="005669F1">
      <w:pPr>
        <w:widowControl w:val="0"/>
        <w:spacing w:line="240" w:lineRule="auto"/>
        <w:jc w:val="right"/>
        <w:rPr>
          <w:rFonts w:ascii="Times New Roman" w:hAnsi="Times New Roman" w:cs="Times New Roman"/>
          <w:color w:val="000000" w:themeColor="text1"/>
          <w:sz w:val="24"/>
          <w:szCs w:val="24"/>
        </w:rPr>
      </w:pPr>
    </w:p>
    <w:p w:rsidR="00EA2FD3" w:rsidRPr="007F352D" w:rsidRDefault="00EA2FD3" w:rsidP="005669F1">
      <w:pPr>
        <w:widowControl w:val="0"/>
        <w:spacing w:line="240" w:lineRule="auto"/>
        <w:jc w:val="right"/>
        <w:rPr>
          <w:rFonts w:ascii="Times New Roman" w:hAnsi="Times New Roman" w:cs="Times New Roman"/>
          <w:color w:val="000000" w:themeColor="text1"/>
          <w:sz w:val="24"/>
          <w:szCs w:val="24"/>
        </w:rPr>
      </w:pPr>
    </w:p>
    <w:p w:rsidR="00320C07" w:rsidRPr="007F352D" w:rsidRDefault="00320C07" w:rsidP="005669F1">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br w:type="page"/>
      </w:r>
    </w:p>
    <w:p w:rsidR="005669F1" w:rsidRPr="007F352D" w:rsidRDefault="005669F1" w:rsidP="005669F1">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lastRenderedPageBreak/>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w:t>
      </w:r>
      <w:r w:rsidR="00EA2FD3" w:rsidRPr="007F352D">
        <w:rPr>
          <w:rFonts w:ascii="Times New Roman" w:hAnsi="Times New Roman" w:cs="Times New Roman"/>
          <w:color w:val="000000" w:themeColor="text1"/>
          <w:sz w:val="24"/>
          <w:szCs w:val="24"/>
        </w:rPr>
        <w:t>5</w:t>
      </w:r>
    </w:p>
    <w:p w:rsidR="005669F1" w:rsidRPr="007F352D" w:rsidRDefault="005669F1" w:rsidP="005669F1">
      <w:pPr>
        <w:widowControl w:val="0"/>
        <w:numPr>
          <w:ilvl w:val="12"/>
          <w:numId w:val="0"/>
        </w:numPr>
        <w:tabs>
          <w:tab w:val="left" w:pos="1134"/>
        </w:tabs>
        <w:spacing w:line="240" w:lineRule="auto"/>
        <w:jc w:val="center"/>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Выполнение Программы государственных гарантий Российской Федерации в иностранной валюте на 2018 год и на плановый период 2019 и 2020 годов</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1275"/>
        <w:gridCol w:w="1418"/>
        <w:gridCol w:w="1701"/>
        <w:gridCol w:w="1134"/>
        <w:gridCol w:w="1276"/>
      </w:tblGrid>
      <w:tr w:rsidR="007F352D" w:rsidRPr="007F352D" w:rsidTr="00582CF9">
        <w:trPr>
          <w:trHeight w:val="422"/>
          <w:tblHeader/>
        </w:trPr>
        <w:tc>
          <w:tcPr>
            <w:tcW w:w="567"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ind w:left="68" w:hanging="34"/>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 xml:space="preserve">№ </w:t>
            </w:r>
            <w:proofErr w:type="gramStart"/>
            <w:r w:rsidRPr="007F352D">
              <w:rPr>
                <w:rFonts w:ascii="Times New Roman" w:hAnsi="Times New Roman" w:cs="Times New Roman"/>
                <w:b/>
                <w:color w:val="000000" w:themeColor="text1"/>
                <w:sz w:val="16"/>
                <w:szCs w:val="16"/>
                <w:lang w:bidi="ru-RU"/>
              </w:rPr>
              <w:t>п</w:t>
            </w:r>
            <w:proofErr w:type="gramEnd"/>
            <w:r w:rsidRPr="007F352D">
              <w:rPr>
                <w:rFonts w:ascii="Times New Roman" w:hAnsi="Times New Roman" w:cs="Times New Roman"/>
                <w:b/>
                <w:color w:val="000000" w:themeColor="text1"/>
                <w:sz w:val="16"/>
                <w:szCs w:val="16"/>
                <w:lang w:bidi="ru-RU"/>
              </w:rPr>
              <w:t>/п</w:t>
            </w:r>
          </w:p>
        </w:tc>
        <w:tc>
          <w:tcPr>
            <w:tcW w:w="3261"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Цель гарантирования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Наименование принципала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Предусмотрено Федеральным законом </w:t>
            </w:r>
          </w:p>
          <w:p w:rsidR="00B31AF2" w:rsidRPr="007F352D" w:rsidRDefault="005669F1" w:rsidP="00B31AF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362-ФЗ с изменениями</w:t>
            </w:r>
            <w:r w:rsidR="00863A7E" w:rsidRPr="007F352D">
              <w:rPr>
                <w:rFonts w:ascii="Times New Roman" w:hAnsi="Times New Roman" w:cs="Times New Roman"/>
                <w:b/>
                <w:bCs/>
                <w:color w:val="000000" w:themeColor="text1"/>
                <w:sz w:val="16"/>
                <w:szCs w:val="16"/>
              </w:rPr>
              <w:t>, млн. долларов США</w:t>
            </w:r>
          </w:p>
          <w:p w:rsidR="005669F1" w:rsidRPr="007F352D" w:rsidRDefault="005669F1" w:rsidP="004B5144">
            <w:pPr>
              <w:spacing w:after="0" w:line="240" w:lineRule="auto"/>
              <w:jc w:val="center"/>
              <w:rPr>
                <w:rFonts w:ascii="Times New Roman" w:hAnsi="Times New Roman" w:cs="Times New Roman"/>
                <w:b/>
                <w:bCs/>
                <w:color w:val="000000" w:themeColor="text1"/>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B31AF2" w:rsidRPr="007F352D" w:rsidRDefault="005669F1" w:rsidP="00B31AF2">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Исполнение</w:t>
            </w:r>
            <w:r w:rsidRPr="007F352D">
              <w:rPr>
                <w:rFonts w:ascii="Times New Roman" w:hAnsi="Times New Roman" w:cs="Times New Roman"/>
                <w:b/>
                <w:bCs/>
                <w:color w:val="000000" w:themeColor="text1"/>
                <w:sz w:val="16"/>
                <w:szCs w:val="16"/>
              </w:rPr>
              <w:br/>
              <w:t xml:space="preserve"> на 1 января 2019 года</w:t>
            </w:r>
            <w:r w:rsidR="00863A7E" w:rsidRPr="007F352D">
              <w:rPr>
                <w:rFonts w:ascii="Times New Roman" w:hAnsi="Times New Roman" w:cs="Times New Roman"/>
                <w:b/>
                <w:bCs/>
                <w:color w:val="000000" w:themeColor="text1"/>
                <w:sz w:val="16"/>
                <w:szCs w:val="16"/>
              </w:rPr>
              <w:t>,</w:t>
            </w:r>
          </w:p>
          <w:p w:rsidR="005669F1" w:rsidRPr="007F352D" w:rsidRDefault="00863A7E" w:rsidP="004B5144">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долларов США</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Исполнение,</w:t>
            </w:r>
          </w:p>
          <w:p w:rsidR="005669F1" w:rsidRPr="007F352D" w:rsidRDefault="005669F1" w:rsidP="004B5144">
            <w:pPr>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b/>
                <w:bCs/>
                <w:color w:val="000000" w:themeColor="text1"/>
                <w:sz w:val="16"/>
                <w:szCs w:val="16"/>
              </w:rPr>
            </w:pPr>
            <w:proofErr w:type="spellStart"/>
            <w:proofErr w:type="gramStart"/>
            <w:r w:rsidRPr="007F352D">
              <w:rPr>
                <w:rFonts w:ascii="Times New Roman" w:hAnsi="Times New Roman" w:cs="Times New Roman"/>
                <w:b/>
                <w:bCs/>
                <w:color w:val="000000" w:themeColor="text1"/>
                <w:sz w:val="16"/>
                <w:szCs w:val="16"/>
              </w:rPr>
              <w:t>Предостав</w:t>
            </w:r>
            <w:proofErr w:type="spellEnd"/>
            <w:r w:rsidRPr="007F352D">
              <w:rPr>
                <w:rFonts w:ascii="Times New Roman" w:hAnsi="Times New Roman" w:cs="Times New Roman"/>
                <w:b/>
                <w:bCs/>
                <w:color w:val="000000" w:themeColor="text1"/>
                <w:sz w:val="16"/>
                <w:szCs w:val="16"/>
              </w:rPr>
              <w:t>-ленные</w:t>
            </w:r>
            <w:proofErr w:type="gramEnd"/>
            <w:r w:rsidRPr="007F352D">
              <w:rPr>
                <w:rFonts w:ascii="Times New Roman" w:hAnsi="Times New Roman" w:cs="Times New Roman"/>
                <w:b/>
                <w:bCs/>
                <w:color w:val="000000" w:themeColor="text1"/>
                <w:sz w:val="16"/>
                <w:szCs w:val="16"/>
              </w:rPr>
              <w:t xml:space="preserve"> </w:t>
            </w:r>
            <w:proofErr w:type="spellStart"/>
            <w:r w:rsidRPr="007F352D">
              <w:rPr>
                <w:rFonts w:ascii="Times New Roman" w:hAnsi="Times New Roman" w:cs="Times New Roman"/>
                <w:b/>
                <w:bCs/>
                <w:color w:val="000000" w:themeColor="text1"/>
                <w:sz w:val="16"/>
                <w:szCs w:val="16"/>
              </w:rPr>
              <w:t>государствен-ные</w:t>
            </w:r>
            <w:proofErr w:type="spellEnd"/>
            <w:r w:rsidRPr="007F352D">
              <w:rPr>
                <w:rFonts w:ascii="Times New Roman" w:hAnsi="Times New Roman" w:cs="Times New Roman"/>
                <w:b/>
                <w:bCs/>
                <w:color w:val="000000" w:themeColor="text1"/>
                <w:sz w:val="16"/>
                <w:szCs w:val="16"/>
              </w:rPr>
              <w:t xml:space="preserve"> гарантии</w:t>
            </w:r>
          </w:p>
        </w:tc>
      </w:tr>
      <w:tr w:rsidR="007F352D" w:rsidRPr="007F352D" w:rsidTr="00582CF9">
        <w:trPr>
          <w:trHeight w:val="60"/>
        </w:trPr>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1.1</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импортеров по оплате промышленной продукции (товаров, работ, услуг), поставленной по экспортным контрактам с российскими экспортерами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импортеры</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1 000,0</w:t>
            </w:r>
          </w:p>
        </w:tc>
        <w:tc>
          <w:tcPr>
            <w:tcW w:w="1701" w:type="dxa"/>
            <w:vMerge w:val="restart"/>
            <w:tcBorders>
              <w:top w:val="single" w:sz="4" w:space="0" w:color="auto"/>
              <w:left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134" w:type="dxa"/>
            <w:vMerge w:val="restart"/>
            <w:tcBorders>
              <w:top w:val="single" w:sz="4" w:space="0" w:color="auto"/>
              <w:left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w:t>
            </w:r>
          </w:p>
        </w:tc>
        <w:tc>
          <w:tcPr>
            <w:tcW w:w="1276" w:type="dxa"/>
            <w:tcBorders>
              <w:top w:val="single" w:sz="4" w:space="0" w:color="auto"/>
              <w:left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rPr>
          <w:trHeight w:val="235"/>
        </w:trPr>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1.2</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российских экспортеров либо импортеров по кредитам (в части возврата суммы кредита и (или) уплаты процентов за пользование кредитом)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российские экспортеры, импортеры</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rPr>
                <w:rFonts w:ascii="Times New Roman" w:hAnsi="Times New Roman" w:cs="Times New Roman"/>
                <w:color w:val="000000" w:themeColor="text1"/>
                <w:sz w:val="16"/>
                <w:szCs w:val="16"/>
                <w:lang w:bidi="ru-RU"/>
              </w:rPr>
            </w:pPr>
          </w:p>
        </w:tc>
        <w:tc>
          <w:tcPr>
            <w:tcW w:w="1701" w:type="dxa"/>
            <w:vMerge/>
            <w:tcBorders>
              <w:left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134" w:type="dxa"/>
            <w:vMerge/>
            <w:tcBorders>
              <w:left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276" w:type="dxa"/>
            <w:tcBorders>
              <w:left w:val="single" w:sz="4" w:space="0" w:color="auto"/>
              <w:right w:val="single" w:sz="4" w:space="0" w:color="auto"/>
            </w:tcBorders>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rPr>
          <w:trHeight w:val="669"/>
        </w:trPr>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1.3</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иностранных государств по государственным гарантиям этих иностранных государств, предоставленным в обеспечение исполнения обязательств импортеров по экспортным контрактам с российскими экспортерами, либо по кредитам, привлеченным импортерами на цели выполнения ими обязательств по экспортным контрактам с российскими экспортерами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иностранные государства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rPr>
                <w:rFonts w:ascii="Times New Roman" w:hAnsi="Times New Roman" w:cs="Times New Roman"/>
                <w:color w:val="000000" w:themeColor="text1"/>
                <w:sz w:val="16"/>
                <w:szCs w:val="16"/>
                <w:lang w:bidi="ru-RU"/>
              </w:rPr>
            </w:pPr>
          </w:p>
        </w:tc>
        <w:tc>
          <w:tcPr>
            <w:tcW w:w="1701" w:type="dxa"/>
            <w:vMerge/>
            <w:tcBorders>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134" w:type="dxa"/>
            <w:vMerge/>
            <w:tcBorders>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276" w:type="dxa"/>
            <w:tcBorders>
              <w:left w:val="single" w:sz="4" w:space="0" w:color="auto"/>
              <w:bottom w:val="single" w:sz="4" w:space="0" w:color="auto"/>
              <w:right w:val="single" w:sz="4" w:space="0" w:color="auto"/>
            </w:tcBorders>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2</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АО РОСЭКСИМБАНК по кредитам, привлекаемым на цели поддержки экспорта промышленной продукции (товаров, работ, услуг)</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АО РОСЭК-СИМБАНК</w:t>
            </w:r>
          </w:p>
        </w:tc>
        <w:tc>
          <w:tcPr>
            <w:tcW w:w="1418"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w:t>
            </w: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3.1</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российских экспортеров промышленной продукции (товаров, работ, услуг) по удовлетворению регрессных требований АО РОСЭКСИМБАНК, возникших в связи с исполнением банковских гарантий, предоставленных последним по обязательствам российских экспортеров</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rPr>
                <w:rFonts w:ascii="Times New Roman" w:hAnsi="Times New Roman" w:cs="Times New Roman"/>
                <w:color w:val="000000" w:themeColor="text1"/>
                <w:sz w:val="16"/>
                <w:szCs w:val="16"/>
                <w:lang w:bidi="ru-RU"/>
              </w:rPr>
            </w:pP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100,0</w:t>
            </w:r>
          </w:p>
        </w:tc>
        <w:tc>
          <w:tcPr>
            <w:tcW w:w="1701" w:type="dxa"/>
            <w:vMerge w:val="restart"/>
            <w:tcBorders>
              <w:top w:val="single" w:sz="4" w:space="0" w:color="auto"/>
              <w:left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134" w:type="dxa"/>
            <w:vMerge w:val="restart"/>
            <w:tcBorders>
              <w:top w:val="single" w:sz="4" w:space="0" w:color="auto"/>
              <w:left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w:t>
            </w:r>
          </w:p>
        </w:tc>
        <w:tc>
          <w:tcPr>
            <w:tcW w:w="1276" w:type="dxa"/>
            <w:tcBorders>
              <w:top w:val="single" w:sz="4" w:space="0" w:color="auto"/>
              <w:left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3.2</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АО РОСЭКСИМБАНК по его банковским гарантиям, предоставленным по обязательствам российских экспортеров промышленной продукции (товаров, работ, услуг)</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rPr>
                <w:rFonts w:ascii="Times New Roman" w:hAnsi="Times New Roman" w:cs="Times New Roman"/>
                <w:color w:val="000000" w:themeColor="text1"/>
                <w:sz w:val="16"/>
                <w:szCs w:val="16"/>
                <w:lang w:bidi="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spacing w:after="0" w:line="240" w:lineRule="auto"/>
              <w:rPr>
                <w:rFonts w:ascii="Times New Roman" w:hAnsi="Times New Roman" w:cs="Times New Roman"/>
                <w:color w:val="000000" w:themeColor="text1"/>
                <w:sz w:val="16"/>
                <w:szCs w:val="16"/>
                <w:lang w:bidi="ru-RU"/>
              </w:rPr>
            </w:pPr>
          </w:p>
        </w:tc>
        <w:tc>
          <w:tcPr>
            <w:tcW w:w="1701" w:type="dxa"/>
            <w:vMerge/>
            <w:tcBorders>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134" w:type="dxa"/>
            <w:vMerge/>
            <w:tcBorders>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c>
          <w:tcPr>
            <w:tcW w:w="1276" w:type="dxa"/>
            <w:tcBorders>
              <w:left w:val="single" w:sz="4" w:space="0" w:color="auto"/>
              <w:bottom w:val="single" w:sz="4" w:space="0" w:color="auto"/>
              <w:right w:val="single" w:sz="4" w:space="0" w:color="auto"/>
            </w:tcBorders>
          </w:tcPr>
          <w:p w:rsidR="005669F1" w:rsidRPr="007F352D" w:rsidRDefault="005669F1" w:rsidP="004B5144">
            <w:pPr>
              <w:spacing w:after="0" w:line="240" w:lineRule="auto"/>
              <w:jc w:val="center"/>
              <w:rPr>
                <w:rFonts w:ascii="Times New Roman" w:hAnsi="Times New Roman" w:cs="Times New Roman"/>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4</w:t>
            </w: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По обязательствам акционерного общества «Российское агентство по страхованию экспортных кредитов и инвестиций» по договорам страхования, перестрахования экспортных кредитов и инвестиций, а также по договорам поручительства и независимым гарантиям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АО «ЭКСАР»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20 000,0</w:t>
            </w: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20 000,0</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100,0</w:t>
            </w: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rPr>
              <w:t xml:space="preserve">одна </w:t>
            </w:r>
            <w:proofErr w:type="spellStart"/>
            <w:proofErr w:type="gramStart"/>
            <w:r w:rsidRPr="007F352D">
              <w:rPr>
                <w:rFonts w:ascii="Times New Roman" w:hAnsi="Times New Roman" w:cs="Times New Roman"/>
                <w:color w:val="000000" w:themeColor="text1"/>
                <w:sz w:val="16"/>
                <w:szCs w:val="16"/>
              </w:rPr>
              <w:t>государствен-ная</w:t>
            </w:r>
            <w:proofErr w:type="spellEnd"/>
            <w:proofErr w:type="gramEnd"/>
            <w:r w:rsidRPr="007F352D">
              <w:rPr>
                <w:rFonts w:ascii="Times New Roman" w:hAnsi="Times New Roman" w:cs="Times New Roman"/>
                <w:color w:val="000000" w:themeColor="text1"/>
                <w:sz w:val="16"/>
                <w:szCs w:val="16"/>
              </w:rPr>
              <w:t xml:space="preserve"> гарантия</w:t>
            </w:r>
            <w:r w:rsidRPr="007F352D">
              <w:rPr>
                <w:rFonts w:ascii="Times New Roman" w:hAnsi="Times New Roman" w:cs="Times New Roman"/>
                <w:color w:val="000000" w:themeColor="text1"/>
                <w:sz w:val="16"/>
                <w:szCs w:val="16"/>
                <w:lang w:bidi="ru-RU"/>
              </w:rPr>
              <w:t xml:space="preserve"> от 27 декабря 2018 г. № 13840083V</w:t>
            </w:r>
            <w:r w:rsidR="00C26F5A" w:rsidRPr="007F352D">
              <w:rPr>
                <w:rFonts w:ascii="Times New Roman" w:hAnsi="Times New Roman" w:cs="Times New Roman"/>
                <w:color w:val="000000" w:themeColor="text1"/>
                <w:sz w:val="16"/>
                <w:szCs w:val="16"/>
                <w:lang w:bidi="ru-RU"/>
              </w:rPr>
              <w:t>*</w:t>
            </w: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c>
          <w:tcPr>
            <w:tcW w:w="3261" w:type="dxa"/>
            <w:tcBorders>
              <w:top w:val="single" w:sz="4" w:space="0" w:color="auto"/>
              <w:left w:val="single" w:sz="4" w:space="0" w:color="auto"/>
              <w:bottom w:val="single" w:sz="4" w:space="0" w:color="auto"/>
              <w:right w:val="single" w:sz="4" w:space="0" w:color="auto"/>
            </w:tcBorders>
            <w:hideMark/>
          </w:tcPr>
          <w:p w:rsidR="005669F1" w:rsidRPr="007F352D" w:rsidRDefault="005669F1" w:rsidP="004B5144">
            <w:pPr>
              <w:widowControl w:val="0"/>
              <w:spacing w:after="0" w:line="240" w:lineRule="auto"/>
              <w:jc w:val="both"/>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Всего</w:t>
            </w:r>
          </w:p>
        </w:tc>
        <w:tc>
          <w:tcPr>
            <w:tcW w:w="1275"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rPr>
                <w:rFonts w:ascii="Times New Roman" w:hAnsi="Times New Roman" w:cs="Times New Roman"/>
                <w:b/>
                <w:color w:val="000000" w:themeColor="text1"/>
                <w:sz w:val="16"/>
                <w:szCs w:val="16"/>
                <w:lang w:bidi="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21 200,0</w:t>
            </w: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20 000,0</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r w:rsidRPr="007F352D">
              <w:rPr>
                <w:rFonts w:ascii="Times New Roman" w:hAnsi="Times New Roman" w:cs="Times New Roman"/>
                <w:b/>
                <w:color w:val="000000" w:themeColor="text1"/>
                <w:sz w:val="16"/>
                <w:szCs w:val="16"/>
                <w:lang w:bidi="ru-RU"/>
              </w:rPr>
              <w:t>94,3</w:t>
            </w: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c>
          <w:tcPr>
            <w:tcW w:w="326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both"/>
              <w:rPr>
                <w:rFonts w:ascii="Times New Roman" w:hAnsi="Times New Roman" w:cs="Times New Roman"/>
                <w:b/>
                <w:color w:val="000000" w:themeColor="text1"/>
                <w:sz w:val="16"/>
                <w:szCs w:val="16"/>
              </w:rPr>
            </w:pPr>
            <w:r w:rsidRPr="007F352D">
              <w:rPr>
                <w:rFonts w:ascii="Times New Roman" w:hAnsi="Times New Roman" w:cs="Times New Roman"/>
                <w:b/>
                <w:color w:val="000000" w:themeColor="text1"/>
                <w:sz w:val="16"/>
                <w:szCs w:val="16"/>
              </w:rPr>
              <w:t>Бюджетные ассигнования на исполнение государственных гарантий Российской Федерации по возможным гарантийным случаям</w:t>
            </w:r>
          </w:p>
        </w:tc>
        <w:tc>
          <w:tcPr>
            <w:tcW w:w="1275" w:type="dxa"/>
            <w:vMerge w:val="restart"/>
            <w:tcBorders>
              <w:top w:val="single" w:sz="4" w:space="0" w:color="auto"/>
              <w:left w:val="single" w:sz="4" w:space="0" w:color="auto"/>
              <w:right w:val="single" w:sz="4" w:space="0" w:color="auto"/>
            </w:tcBorders>
          </w:tcPr>
          <w:p w:rsidR="005669F1" w:rsidRPr="007F352D" w:rsidRDefault="005669F1" w:rsidP="004B5144">
            <w:pPr>
              <w:widowControl w:val="0"/>
              <w:spacing w:after="0" w:line="240" w:lineRule="auto"/>
              <w:rPr>
                <w:rFonts w:ascii="Times New Roman" w:hAnsi="Times New Roman" w:cs="Times New Roman"/>
                <w:b/>
                <w:color w:val="000000" w:themeColor="text1"/>
                <w:sz w:val="16"/>
                <w:szCs w:val="16"/>
                <w:lang w:bidi="ru-RU"/>
              </w:rPr>
            </w:pPr>
          </w:p>
        </w:tc>
        <w:tc>
          <w:tcPr>
            <w:tcW w:w="1418"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c>
          <w:tcPr>
            <w:tcW w:w="326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за счет расходов федерального бюджета</w:t>
            </w:r>
          </w:p>
        </w:tc>
        <w:tc>
          <w:tcPr>
            <w:tcW w:w="1275" w:type="dxa"/>
            <w:vMerge/>
            <w:tcBorders>
              <w:left w:val="single" w:sz="4" w:space="0" w:color="auto"/>
              <w:right w:val="single" w:sz="4" w:space="0" w:color="auto"/>
            </w:tcBorders>
          </w:tcPr>
          <w:p w:rsidR="005669F1" w:rsidRPr="007F352D" w:rsidRDefault="005669F1" w:rsidP="004B5144">
            <w:pPr>
              <w:widowControl w:val="0"/>
              <w:spacing w:after="0" w:line="240" w:lineRule="auto"/>
              <w:rPr>
                <w:rFonts w:ascii="Times New Roman" w:hAnsi="Times New Roman" w:cs="Times New Roman"/>
                <w:b/>
                <w:color w:val="000000" w:themeColor="text1"/>
                <w:sz w:val="16"/>
                <w:szCs w:val="16"/>
                <w:lang w:bidi="ru-RU"/>
              </w:rPr>
            </w:pPr>
          </w:p>
        </w:tc>
        <w:tc>
          <w:tcPr>
            <w:tcW w:w="1418"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r>
      <w:tr w:rsidR="007F352D" w:rsidRPr="007F352D" w:rsidTr="00582CF9">
        <w:tc>
          <w:tcPr>
            <w:tcW w:w="567"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p>
        </w:tc>
        <w:tc>
          <w:tcPr>
            <w:tcW w:w="326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spacing w:after="0" w:line="240" w:lineRule="auto"/>
              <w:jc w:val="both"/>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за счет источников финансирования дефицита федерального бюджета</w:t>
            </w:r>
          </w:p>
        </w:tc>
        <w:tc>
          <w:tcPr>
            <w:tcW w:w="1275" w:type="dxa"/>
            <w:vMerge/>
            <w:tcBorders>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rPr>
                <w:rFonts w:ascii="Times New Roman" w:hAnsi="Times New Roman" w:cs="Times New Roman"/>
                <w:b/>
                <w:color w:val="000000" w:themeColor="text1"/>
                <w:sz w:val="16"/>
                <w:szCs w:val="16"/>
                <w:lang w:bidi="ru-RU"/>
              </w:rPr>
            </w:pPr>
          </w:p>
        </w:tc>
        <w:tc>
          <w:tcPr>
            <w:tcW w:w="1418"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53,6</w:t>
            </w:r>
          </w:p>
        </w:tc>
        <w:tc>
          <w:tcPr>
            <w:tcW w:w="1701"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5669F1" w:rsidRPr="007F352D" w:rsidRDefault="005669F1" w:rsidP="004B5144">
            <w:pPr>
              <w:widowControl w:val="0"/>
              <w:spacing w:after="0" w:line="240" w:lineRule="auto"/>
              <w:jc w:val="center"/>
              <w:rPr>
                <w:rFonts w:ascii="Times New Roman" w:hAnsi="Times New Roman" w:cs="Times New Roman"/>
                <w:color w:val="000000" w:themeColor="text1"/>
                <w:sz w:val="16"/>
                <w:szCs w:val="16"/>
                <w:lang w:bidi="ru-RU"/>
              </w:rPr>
            </w:pPr>
            <w:r w:rsidRPr="007F352D">
              <w:rPr>
                <w:rFonts w:ascii="Times New Roman" w:hAnsi="Times New Roman" w:cs="Times New Roman"/>
                <w:color w:val="000000" w:themeColor="text1"/>
                <w:sz w:val="16"/>
                <w:szCs w:val="16"/>
                <w:lang w:bidi="ru-RU"/>
              </w:rPr>
              <w:t>0,0</w:t>
            </w:r>
          </w:p>
        </w:tc>
        <w:tc>
          <w:tcPr>
            <w:tcW w:w="1276" w:type="dxa"/>
            <w:tcBorders>
              <w:top w:val="single" w:sz="4" w:space="0" w:color="auto"/>
              <w:left w:val="single" w:sz="4" w:space="0" w:color="auto"/>
              <w:bottom w:val="single" w:sz="4" w:space="0" w:color="auto"/>
              <w:right w:val="single" w:sz="4" w:space="0" w:color="auto"/>
            </w:tcBorders>
          </w:tcPr>
          <w:p w:rsidR="005669F1" w:rsidRPr="007F352D" w:rsidRDefault="005669F1" w:rsidP="004B5144">
            <w:pPr>
              <w:widowControl w:val="0"/>
              <w:spacing w:after="0" w:line="240" w:lineRule="auto"/>
              <w:jc w:val="center"/>
              <w:rPr>
                <w:rFonts w:ascii="Times New Roman" w:hAnsi="Times New Roman" w:cs="Times New Roman"/>
                <w:b/>
                <w:color w:val="000000" w:themeColor="text1"/>
                <w:sz w:val="16"/>
                <w:szCs w:val="16"/>
                <w:lang w:bidi="ru-RU"/>
              </w:rPr>
            </w:pPr>
          </w:p>
        </w:tc>
      </w:tr>
    </w:tbl>
    <w:p w:rsidR="00C26F5A" w:rsidRPr="007F352D" w:rsidRDefault="00C26F5A" w:rsidP="00C26F5A">
      <w:pPr>
        <w:spacing w:after="0" w:line="240" w:lineRule="auto"/>
        <w:ind w:firstLine="760"/>
        <w:jc w:val="both"/>
        <w:rPr>
          <w:rFonts w:ascii="Times New Roman" w:eastAsia="Times New Roman" w:hAnsi="Times New Roman" w:cs="Times New Roman"/>
          <w:color w:val="000000" w:themeColor="text1"/>
          <w:sz w:val="16"/>
          <w:szCs w:val="16"/>
        </w:rPr>
      </w:pPr>
      <w:proofErr w:type="gramStart"/>
      <w:r w:rsidRPr="007F352D">
        <w:rPr>
          <w:rFonts w:ascii="Times New Roman" w:eastAsia="Times New Roman" w:hAnsi="Times New Roman" w:cs="Times New Roman"/>
          <w:snapToGrid w:val="0"/>
          <w:color w:val="000000" w:themeColor="text1"/>
          <w:sz w:val="16"/>
          <w:szCs w:val="16"/>
          <w:lang w:eastAsia="ru-RU"/>
        </w:rPr>
        <w:t>*</w:t>
      </w:r>
      <w:r w:rsidRPr="007F352D">
        <w:rPr>
          <w:rFonts w:ascii="Times New Roman" w:eastAsia="Times New Roman" w:hAnsi="Times New Roman" w:cs="Times New Roman"/>
          <w:color w:val="000000" w:themeColor="text1"/>
          <w:sz w:val="16"/>
          <w:szCs w:val="16"/>
        </w:rPr>
        <w:t xml:space="preserve"> В соответствии с постановлением Правительства Российской Федерации от 29</w:t>
      </w:r>
      <w:r w:rsidRPr="007F352D">
        <w:rPr>
          <w:rFonts w:ascii="Times New Roman" w:eastAsia="Times New Roman" w:hAnsi="Times New Roman" w:cs="Times New Roman"/>
          <w:color w:val="000000" w:themeColor="text1"/>
          <w:sz w:val="16"/>
          <w:szCs w:val="16"/>
          <w:lang w:val="en-US"/>
        </w:rPr>
        <w:t> </w:t>
      </w:r>
      <w:r w:rsidRPr="007F352D">
        <w:rPr>
          <w:rFonts w:ascii="Times New Roman" w:eastAsia="Times New Roman" w:hAnsi="Times New Roman" w:cs="Times New Roman"/>
          <w:color w:val="000000" w:themeColor="text1"/>
          <w:sz w:val="16"/>
          <w:szCs w:val="16"/>
        </w:rPr>
        <w:t>июня 2018 г. № 759 «О государственной гарантии Российской Федерации по обязательствам акционерного общества «Российское агентство по страхованию экспортных кредитов и инвестиций» государственная гарантия Российской Федерации на сумму до 20 млрд. долларов США на срок до 31 декабря 2042 г. включительно в обеспечение исполнения обязательств акционерного общества «Российское агентство по страхованию экспортных</w:t>
      </w:r>
      <w:proofErr w:type="gramEnd"/>
      <w:r w:rsidRPr="007F352D">
        <w:rPr>
          <w:rFonts w:ascii="Times New Roman" w:eastAsia="Times New Roman" w:hAnsi="Times New Roman" w:cs="Times New Roman"/>
          <w:color w:val="000000" w:themeColor="text1"/>
          <w:sz w:val="16"/>
          <w:szCs w:val="16"/>
        </w:rPr>
        <w:t xml:space="preserve"> </w:t>
      </w:r>
      <w:proofErr w:type="gramStart"/>
      <w:r w:rsidRPr="007F352D">
        <w:rPr>
          <w:rFonts w:ascii="Times New Roman" w:eastAsia="Times New Roman" w:hAnsi="Times New Roman" w:cs="Times New Roman"/>
          <w:color w:val="000000" w:themeColor="text1"/>
          <w:sz w:val="16"/>
          <w:szCs w:val="16"/>
        </w:rPr>
        <w:t>кредитов и инвестиций» по портфелю заключенных таким акционерным обществом договоров страхования экспортных кредитов и инвестиций, договоров перестрахования, договоров поручительства и предоставленных указанным акционерным обществом независимых гарантий вступает в силу со дня внесения в Государственную долговую книгу Российской Федерации записи о прекращении обязательств по государственной гарантии Российской Федерации от 26 декабря 2012 г. №</w:t>
      </w:r>
      <w:r w:rsidRPr="007F352D">
        <w:rPr>
          <w:rFonts w:ascii="Times New Roman" w:eastAsia="Times New Roman" w:hAnsi="Times New Roman" w:cs="Times New Roman"/>
          <w:color w:val="000000" w:themeColor="text1"/>
          <w:sz w:val="16"/>
          <w:szCs w:val="16"/>
          <w:lang w:val="en-US"/>
        </w:rPr>
        <w:t> </w:t>
      </w:r>
      <w:r w:rsidRPr="007F352D">
        <w:rPr>
          <w:rFonts w:ascii="Times New Roman" w:eastAsia="Times New Roman" w:hAnsi="Times New Roman" w:cs="Times New Roman"/>
          <w:color w:val="000000" w:themeColor="text1"/>
          <w:sz w:val="16"/>
          <w:szCs w:val="16"/>
        </w:rPr>
        <w:t>13840063V на сумму до 10 млрд. долларов США.</w:t>
      </w:r>
      <w:proofErr w:type="gramEnd"/>
    </w:p>
    <w:p w:rsidR="00C26F5A" w:rsidRPr="007F352D" w:rsidRDefault="00C26F5A" w:rsidP="00C26F5A">
      <w:pPr>
        <w:spacing w:after="0" w:line="240" w:lineRule="auto"/>
        <w:ind w:firstLine="760"/>
        <w:jc w:val="both"/>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 xml:space="preserve">Согласно выписке из Государственной долговой книги Российской Федерации в части государственных гарантий в иностранной валюте (период: 01.12.2018 - 31.12.2018), </w:t>
      </w:r>
      <w:r w:rsidRPr="007F352D">
        <w:rPr>
          <w:rFonts w:ascii="Times New Roman" w:eastAsia="Times New Roman" w:hAnsi="Times New Roman" w:cs="Times New Roman"/>
          <w:b/>
          <w:color w:val="000000" w:themeColor="text1"/>
          <w:sz w:val="16"/>
          <w:szCs w:val="16"/>
        </w:rPr>
        <w:t>АО «ЭКСАР» предоставлена государственная гарантия</w:t>
      </w:r>
      <w:r w:rsidRPr="007F352D">
        <w:rPr>
          <w:rFonts w:ascii="Times New Roman" w:eastAsia="Times New Roman" w:hAnsi="Times New Roman" w:cs="Times New Roman"/>
          <w:color w:val="000000" w:themeColor="text1"/>
          <w:sz w:val="16"/>
          <w:szCs w:val="16"/>
        </w:rPr>
        <w:t xml:space="preserve"> Российской Федерации от 27 декабря 2018 г. № 13840083V </w:t>
      </w:r>
      <w:r w:rsidRPr="007F352D">
        <w:rPr>
          <w:rFonts w:ascii="Times New Roman" w:eastAsia="Times New Roman" w:hAnsi="Times New Roman" w:cs="Times New Roman"/>
          <w:b/>
          <w:color w:val="000000" w:themeColor="text1"/>
          <w:sz w:val="16"/>
          <w:szCs w:val="16"/>
        </w:rPr>
        <w:t>на сумму до 20 млрд. долларов США</w:t>
      </w:r>
      <w:r w:rsidRPr="007F352D">
        <w:rPr>
          <w:rFonts w:ascii="Times New Roman" w:eastAsia="Times New Roman" w:hAnsi="Times New Roman" w:cs="Times New Roman"/>
          <w:color w:val="000000" w:themeColor="text1"/>
          <w:sz w:val="16"/>
          <w:szCs w:val="16"/>
        </w:rPr>
        <w:t xml:space="preserve"> на срок до 31 декабря 2042 г.</w:t>
      </w:r>
    </w:p>
    <w:p w:rsidR="00132F9D" w:rsidRPr="007F352D" w:rsidRDefault="00132F9D" w:rsidP="004D39B4">
      <w:pPr>
        <w:widowControl w:val="0"/>
        <w:spacing w:line="240" w:lineRule="auto"/>
        <w:jc w:val="right"/>
        <w:rPr>
          <w:rFonts w:ascii="Times New Roman" w:hAnsi="Times New Roman" w:cs="Times New Roman"/>
          <w:color w:val="000000" w:themeColor="text1"/>
          <w:sz w:val="24"/>
          <w:szCs w:val="24"/>
        </w:rPr>
      </w:pPr>
    </w:p>
    <w:p w:rsidR="004D39B4" w:rsidRPr="007F352D" w:rsidRDefault="004D39B4" w:rsidP="004D39B4">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lastRenderedPageBreak/>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w:t>
      </w:r>
      <w:r w:rsidR="00EA2FD3" w:rsidRPr="007F352D">
        <w:rPr>
          <w:rFonts w:ascii="Times New Roman" w:hAnsi="Times New Roman" w:cs="Times New Roman"/>
          <w:color w:val="000000" w:themeColor="text1"/>
          <w:sz w:val="24"/>
          <w:szCs w:val="24"/>
        </w:rPr>
        <w:t>6</w:t>
      </w:r>
    </w:p>
    <w:p w:rsidR="008664DD" w:rsidRPr="007F352D" w:rsidRDefault="008664DD" w:rsidP="008664DD">
      <w:pPr>
        <w:widowControl w:val="0"/>
        <w:spacing w:line="240" w:lineRule="auto"/>
        <w:jc w:val="center"/>
        <w:rPr>
          <w:rFonts w:ascii="Times New Roman" w:hAnsi="Times New Roman" w:cs="Times New Roman"/>
          <w:color w:val="000000" w:themeColor="text1"/>
          <w:sz w:val="24"/>
          <w:szCs w:val="24"/>
        </w:rPr>
      </w:pPr>
      <w:r w:rsidRPr="007F352D">
        <w:rPr>
          <w:rFonts w:ascii="Times New Roman" w:eastAsia="Times New Roman" w:hAnsi="Times New Roman" w:cs="Times New Roman"/>
          <w:color w:val="000000" w:themeColor="text1"/>
          <w:sz w:val="24"/>
          <w:szCs w:val="24"/>
          <w:lang w:eastAsia="ru-RU"/>
        </w:rPr>
        <w:t>Информация об изменении в 2018 году государственного внешнего долга Российской Федерации по государственным гарантиям Российской Федерации в иностранной валюте</w:t>
      </w:r>
    </w:p>
    <w:p w:rsidR="004D39B4" w:rsidRPr="007F352D" w:rsidRDefault="004D39B4" w:rsidP="00C26F5A">
      <w:pPr>
        <w:spacing w:after="0" w:line="240" w:lineRule="auto"/>
        <w:ind w:firstLine="760"/>
        <w:jc w:val="both"/>
        <w:rPr>
          <w:rFonts w:ascii="Times New Roman" w:eastAsia="Times New Roman" w:hAnsi="Times New Roman" w:cs="Times New Roman"/>
          <w:color w:val="000000" w:themeColor="text1"/>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7"/>
        <w:gridCol w:w="920"/>
        <w:gridCol w:w="968"/>
        <w:gridCol w:w="962"/>
        <w:gridCol w:w="909"/>
        <w:gridCol w:w="974"/>
        <w:gridCol w:w="788"/>
        <w:gridCol w:w="978"/>
        <w:gridCol w:w="609"/>
      </w:tblGrid>
      <w:tr w:rsidR="007F352D" w:rsidRPr="007F352D" w:rsidTr="00863A7E">
        <w:trPr>
          <w:trHeight w:val="240"/>
          <w:tblHeader/>
          <w:jc w:val="center"/>
        </w:trPr>
        <w:tc>
          <w:tcPr>
            <w:tcW w:w="1394" w:type="pct"/>
            <w:vMerge w:val="restar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b/>
                <w:bCs/>
                <w:color w:val="000000" w:themeColor="text1"/>
                <w:sz w:val="16"/>
                <w:szCs w:val="16"/>
              </w:rPr>
              <w:t>Наименование</w:t>
            </w:r>
          </w:p>
        </w:tc>
        <w:tc>
          <w:tcPr>
            <w:tcW w:w="958" w:type="pct"/>
            <w:gridSpan w:val="2"/>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863A7E">
            <w:pPr>
              <w:widowControl w:val="0"/>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На 1 января 2018 года</w:t>
            </w:r>
          </w:p>
        </w:tc>
        <w:tc>
          <w:tcPr>
            <w:tcW w:w="949" w:type="pct"/>
            <w:gridSpan w:val="2"/>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863A7E">
            <w:pPr>
              <w:widowControl w:val="0"/>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На 1 января 2019 года</w:t>
            </w:r>
          </w:p>
        </w:tc>
        <w:tc>
          <w:tcPr>
            <w:tcW w:w="1699" w:type="pct"/>
            <w:gridSpan w:val="4"/>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863A7E">
            <w:pPr>
              <w:widowControl w:val="0"/>
              <w:spacing w:after="0"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Изменение за 2018 год</w:t>
            </w:r>
            <w:proofErr w:type="gramStart"/>
            <w:r w:rsidRPr="007F352D">
              <w:rPr>
                <w:rFonts w:ascii="Times New Roman" w:hAnsi="Times New Roman" w:cs="Times New Roman"/>
                <w:b/>
                <w:bCs/>
                <w:color w:val="000000" w:themeColor="text1"/>
                <w:sz w:val="16"/>
                <w:szCs w:val="16"/>
              </w:rPr>
              <w:t xml:space="preserve"> (+,-)</w:t>
            </w:r>
            <w:proofErr w:type="gramEnd"/>
          </w:p>
        </w:tc>
      </w:tr>
      <w:tr w:rsidR="004D39B4" w:rsidRPr="007F352D" w:rsidTr="00647CD3">
        <w:trPr>
          <w:trHeight w:val="24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color w:val="000000" w:themeColor="text1"/>
                <w:sz w:val="16"/>
                <w:szCs w:val="16"/>
              </w:rPr>
            </w:pPr>
          </w:p>
        </w:tc>
        <w:tc>
          <w:tcPr>
            <w:tcW w:w="467" w:type="pct"/>
            <w:vMerge w:val="restar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долларов США</w:t>
            </w:r>
          </w:p>
        </w:tc>
        <w:tc>
          <w:tcPr>
            <w:tcW w:w="491" w:type="pct"/>
            <w:vMerge w:val="restar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рублей</w:t>
            </w:r>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долларов США</w:t>
            </w:r>
          </w:p>
        </w:tc>
        <w:tc>
          <w:tcPr>
            <w:tcW w:w="461" w:type="pct"/>
            <w:vMerge w:val="restar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рублей</w:t>
            </w:r>
          </w:p>
        </w:tc>
        <w:tc>
          <w:tcPr>
            <w:tcW w:w="894" w:type="pct"/>
            <w:gridSpan w:val="2"/>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долларов США</w:t>
            </w:r>
          </w:p>
        </w:tc>
        <w:tc>
          <w:tcPr>
            <w:tcW w:w="805" w:type="pct"/>
            <w:gridSpan w:val="2"/>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млн. рублей</w:t>
            </w:r>
          </w:p>
        </w:tc>
      </w:tr>
      <w:tr w:rsidR="004D39B4" w:rsidRPr="007F352D" w:rsidTr="00647CD3">
        <w:trPr>
          <w:trHeight w:val="24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b/>
                <w:bCs/>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b/>
                <w:bCs/>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b/>
                <w:bCs/>
                <w:color w:val="000000" w:themeColor="text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spacing w:after="0" w:line="240" w:lineRule="auto"/>
              <w:rPr>
                <w:rFonts w:ascii="Times New Roman" w:eastAsia="Times New Roman" w:hAnsi="Times New Roman" w:cs="Times New Roman"/>
                <w:b/>
                <w:bCs/>
                <w:color w:val="000000" w:themeColor="text1"/>
                <w:sz w:val="16"/>
                <w:szCs w:val="16"/>
              </w:rPr>
            </w:pP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сумма</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w:t>
            </w:r>
          </w:p>
        </w:tc>
        <w:tc>
          <w:tcPr>
            <w:tcW w:w="496"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сумма</w:t>
            </w:r>
          </w:p>
        </w:tc>
        <w:tc>
          <w:tcPr>
            <w:tcW w:w="309"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16"/>
                <w:szCs w:val="16"/>
              </w:rPr>
            </w:pPr>
            <w:r w:rsidRPr="007F352D">
              <w:rPr>
                <w:rFonts w:ascii="Times New Roman" w:eastAsia="Times New Roman" w:hAnsi="Times New Roman" w:cs="Times New Roman"/>
                <w:b/>
                <w:bCs/>
                <w:color w:val="000000" w:themeColor="text1"/>
                <w:sz w:val="16"/>
                <w:szCs w:val="16"/>
              </w:rPr>
              <w:t>%</w:t>
            </w:r>
          </w:p>
        </w:tc>
      </w:tr>
      <w:tr w:rsidR="004D39B4" w:rsidRPr="007F352D" w:rsidTr="00647CD3">
        <w:trPr>
          <w:trHeight w:val="699"/>
          <w:jc w:val="center"/>
        </w:trPr>
        <w:tc>
          <w:tcPr>
            <w:tcW w:w="1394" w:type="pc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6"/>
                <w:szCs w:val="16"/>
              </w:rPr>
            </w:pPr>
            <w:r w:rsidRPr="007F352D">
              <w:rPr>
                <w:rFonts w:ascii="Times New Roman" w:eastAsia="Times New Roman" w:hAnsi="Times New Roman" w:cs="Times New Roman"/>
                <w:b/>
                <w:color w:val="000000" w:themeColor="text1"/>
                <w:sz w:val="16"/>
                <w:szCs w:val="16"/>
              </w:rPr>
              <w:t>Государственный внешний долг Российской Федерации по государственным гарантиям Российской Федерации в иностранной валюте</w:t>
            </w:r>
          </w:p>
        </w:tc>
        <w:tc>
          <w:tcPr>
            <w:tcW w:w="467"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10 357,2</w:t>
            </w:r>
          </w:p>
        </w:tc>
        <w:tc>
          <w:tcPr>
            <w:tcW w:w="49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596 577,4</w:t>
            </w:r>
          </w:p>
        </w:tc>
        <w:tc>
          <w:tcPr>
            <w:tcW w:w="488"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11 567,4</w:t>
            </w:r>
          </w:p>
        </w:tc>
        <w:tc>
          <w:tcPr>
            <w:tcW w:w="46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803 592,5</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1 210,2</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11,7</w:t>
            </w:r>
          </w:p>
        </w:tc>
        <w:tc>
          <w:tcPr>
            <w:tcW w:w="496"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207 015,1</w:t>
            </w:r>
          </w:p>
        </w:tc>
        <w:tc>
          <w:tcPr>
            <w:tcW w:w="309"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34,7</w:t>
            </w:r>
          </w:p>
        </w:tc>
      </w:tr>
      <w:tr w:rsidR="004D39B4" w:rsidRPr="007F352D" w:rsidTr="00647CD3">
        <w:trPr>
          <w:trHeight w:val="240"/>
          <w:jc w:val="center"/>
        </w:trPr>
        <w:tc>
          <w:tcPr>
            <w:tcW w:w="1394" w:type="pc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в том числе по гарантиям:</w:t>
            </w:r>
          </w:p>
        </w:tc>
        <w:tc>
          <w:tcPr>
            <w:tcW w:w="467"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p>
        </w:tc>
        <w:tc>
          <w:tcPr>
            <w:tcW w:w="491"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p>
        </w:tc>
        <w:tc>
          <w:tcPr>
            <w:tcW w:w="488"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p>
        </w:tc>
        <w:tc>
          <w:tcPr>
            <w:tcW w:w="461"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p>
        </w:tc>
        <w:tc>
          <w:tcPr>
            <w:tcW w:w="494"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p>
        </w:tc>
        <w:tc>
          <w:tcPr>
            <w:tcW w:w="400"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p>
        </w:tc>
        <w:tc>
          <w:tcPr>
            <w:tcW w:w="496"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p>
        </w:tc>
        <w:tc>
          <w:tcPr>
            <w:tcW w:w="309" w:type="pct"/>
            <w:tcBorders>
              <w:top w:val="single" w:sz="4" w:space="0" w:color="auto"/>
              <w:left w:val="single" w:sz="4" w:space="0" w:color="auto"/>
              <w:bottom w:val="single" w:sz="4" w:space="0" w:color="auto"/>
              <w:right w:val="single" w:sz="4" w:space="0" w:color="auto"/>
            </w:tcBorders>
            <w:noWrap/>
            <w:vAlign w:val="center"/>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p>
        </w:tc>
      </w:tr>
      <w:tr w:rsidR="004D39B4" w:rsidRPr="007F352D" w:rsidTr="00647CD3">
        <w:trPr>
          <w:trHeight w:val="204"/>
          <w:jc w:val="center"/>
        </w:trPr>
        <w:tc>
          <w:tcPr>
            <w:tcW w:w="1394" w:type="pc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на поддержку экспорта промышленной продукции (товаров, работ, услуг)</w:t>
            </w:r>
          </w:p>
        </w:tc>
        <w:tc>
          <w:tcPr>
            <w:tcW w:w="467"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bCs/>
                <w:color w:val="000000" w:themeColor="text1"/>
                <w:sz w:val="16"/>
                <w:szCs w:val="16"/>
              </w:rPr>
              <w:t>1 073,8</w:t>
            </w:r>
          </w:p>
        </w:tc>
        <w:tc>
          <w:tcPr>
            <w:tcW w:w="49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61 853,5</w:t>
            </w:r>
          </w:p>
        </w:tc>
        <w:tc>
          <w:tcPr>
            <w:tcW w:w="488"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630,6</w:t>
            </w:r>
          </w:p>
        </w:tc>
        <w:tc>
          <w:tcPr>
            <w:tcW w:w="46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43 809,4</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- 443,2</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- 41,3</w:t>
            </w:r>
          </w:p>
        </w:tc>
        <w:tc>
          <w:tcPr>
            <w:tcW w:w="496"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- 18 044,1</w:t>
            </w:r>
          </w:p>
        </w:tc>
        <w:tc>
          <w:tcPr>
            <w:tcW w:w="309"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- 29,2</w:t>
            </w:r>
          </w:p>
        </w:tc>
      </w:tr>
      <w:tr w:rsidR="004D39B4" w:rsidRPr="007F352D" w:rsidTr="00647CD3">
        <w:trPr>
          <w:trHeight w:val="327"/>
          <w:jc w:val="center"/>
        </w:trPr>
        <w:tc>
          <w:tcPr>
            <w:tcW w:w="1394" w:type="pc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eastAsia="Times New Roman" w:hAnsi="Times New Roman" w:cs="Times New Roman"/>
                <w:color w:val="000000" w:themeColor="text1"/>
                <w:sz w:val="16"/>
                <w:szCs w:val="16"/>
              </w:rPr>
              <w:t>на поддержку деятельности по страхованию экспортных кредитов</w:t>
            </w:r>
            <w:r w:rsidRPr="007F352D">
              <w:rPr>
                <w:rFonts w:ascii="Times New Roman" w:hAnsi="Times New Roman" w:cs="Times New Roman"/>
                <w:color w:val="000000" w:themeColor="text1"/>
                <w:sz w:val="16"/>
                <w:szCs w:val="16"/>
              </w:rPr>
              <w:t xml:space="preserve"> и инвестиций от </w:t>
            </w:r>
            <w:proofErr w:type="spellStart"/>
            <w:proofErr w:type="gramStart"/>
            <w:r w:rsidRPr="007F352D">
              <w:rPr>
                <w:rFonts w:ascii="Times New Roman" w:hAnsi="Times New Roman" w:cs="Times New Roman"/>
                <w:color w:val="000000" w:themeColor="text1"/>
                <w:sz w:val="16"/>
                <w:szCs w:val="16"/>
              </w:rPr>
              <w:t>предпринима-тельских</w:t>
            </w:r>
            <w:proofErr w:type="spellEnd"/>
            <w:proofErr w:type="gramEnd"/>
            <w:r w:rsidRPr="007F352D">
              <w:rPr>
                <w:rFonts w:ascii="Times New Roman" w:hAnsi="Times New Roman" w:cs="Times New Roman"/>
                <w:color w:val="000000" w:themeColor="text1"/>
                <w:sz w:val="16"/>
                <w:szCs w:val="16"/>
              </w:rPr>
              <w:t xml:space="preserve"> и политических рисков</w:t>
            </w:r>
          </w:p>
        </w:tc>
        <w:tc>
          <w:tcPr>
            <w:tcW w:w="467"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9 142,3</w:t>
            </w:r>
          </w:p>
        </w:tc>
        <w:tc>
          <w:tcPr>
            <w:tcW w:w="49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526 596,7</w:t>
            </w:r>
          </w:p>
        </w:tc>
        <w:tc>
          <w:tcPr>
            <w:tcW w:w="488"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10 773,3</w:t>
            </w:r>
          </w:p>
        </w:tc>
        <w:tc>
          <w:tcPr>
            <w:tcW w:w="46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748 427,1</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1 631,0</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17,8</w:t>
            </w:r>
          </w:p>
        </w:tc>
        <w:tc>
          <w:tcPr>
            <w:tcW w:w="496"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221 830,4</w:t>
            </w:r>
          </w:p>
        </w:tc>
        <w:tc>
          <w:tcPr>
            <w:tcW w:w="309"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42,1</w:t>
            </w:r>
          </w:p>
        </w:tc>
      </w:tr>
      <w:tr w:rsidR="004D39B4" w:rsidRPr="007F352D" w:rsidTr="00647CD3">
        <w:trPr>
          <w:trHeight w:val="327"/>
          <w:jc w:val="center"/>
        </w:trPr>
        <w:tc>
          <w:tcPr>
            <w:tcW w:w="1394" w:type="pct"/>
            <w:tcBorders>
              <w:top w:val="single" w:sz="4" w:space="0" w:color="auto"/>
              <w:left w:val="single" w:sz="4" w:space="0" w:color="auto"/>
              <w:bottom w:val="single" w:sz="4" w:space="0" w:color="auto"/>
              <w:right w:val="single" w:sz="4" w:space="0" w:color="auto"/>
            </w:tcBorders>
            <w:vAlign w:val="center"/>
            <w:hideMark/>
          </w:tcPr>
          <w:p w:rsidR="004D39B4" w:rsidRPr="007F352D" w:rsidRDefault="004D39B4" w:rsidP="00647CD3">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по кредиту на осуществление инвестиционного проекта</w:t>
            </w:r>
          </w:p>
        </w:tc>
        <w:tc>
          <w:tcPr>
            <w:tcW w:w="467"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141,1</w:t>
            </w:r>
          </w:p>
        </w:tc>
        <w:tc>
          <w:tcPr>
            <w:tcW w:w="49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8 127,2</w:t>
            </w:r>
          </w:p>
        </w:tc>
        <w:tc>
          <w:tcPr>
            <w:tcW w:w="488"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163,5</w:t>
            </w:r>
          </w:p>
        </w:tc>
        <w:tc>
          <w:tcPr>
            <w:tcW w:w="461"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hAnsi="Times New Roman" w:cs="Times New Roman"/>
                <w:color w:val="000000" w:themeColor="text1"/>
                <w:sz w:val="16"/>
                <w:szCs w:val="16"/>
              </w:rPr>
            </w:pPr>
            <w:r w:rsidRPr="007F352D">
              <w:rPr>
                <w:rFonts w:ascii="Times New Roman" w:hAnsi="Times New Roman" w:cs="Times New Roman"/>
                <w:color w:val="000000" w:themeColor="text1"/>
                <w:sz w:val="16"/>
                <w:szCs w:val="16"/>
              </w:rPr>
              <w:t>11 356,0</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22,4</w:t>
            </w:r>
          </w:p>
        </w:tc>
        <w:tc>
          <w:tcPr>
            <w:tcW w:w="400"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15,9</w:t>
            </w:r>
          </w:p>
        </w:tc>
        <w:tc>
          <w:tcPr>
            <w:tcW w:w="496"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3 228,8</w:t>
            </w:r>
          </w:p>
        </w:tc>
        <w:tc>
          <w:tcPr>
            <w:tcW w:w="309" w:type="pct"/>
            <w:tcBorders>
              <w:top w:val="single" w:sz="4" w:space="0" w:color="auto"/>
              <w:left w:val="single" w:sz="4" w:space="0" w:color="auto"/>
              <w:bottom w:val="single" w:sz="4" w:space="0" w:color="auto"/>
              <w:right w:val="single" w:sz="4" w:space="0" w:color="auto"/>
            </w:tcBorders>
            <w:noWrap/>
            <w:vAlign w:val="center"/>
            <w:hideMark/>
          </w:tcPr>
          <w:p w:rsidR="004D39B4" w:rsidRPr="007F352D" w:rsidRDefault="004D39B4" w:rsidP="00647CD3">
            <w:pPr>
              <w:widowControl w:val="0"/>
              <w:spacing w:line="240" w:lineRule="auto"/>
              <w:jc w:val="center"/>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39,7</w:t>
            </w:r>
          </w:p>
        </w:tc>
      </w:tr>
    </w:tbl>
    <w:p w:rsidR="00C103DF" w:rsidRPr="007F352D" w:rsidRDefault="00C103DF" w:rsidP="00407EC0">
      <w:pPr>
        <w:widowControl w:val="0"/>
        <w:spacing w:line="240" w:lineRule="auto"/>
        <w:jc w:val="right"/>
        <w:rPr>
          <w:rFonts w:ascii="Times New Roman" w:hAnsi="Times New Roman" w:cs="Times New Roman"/>
          <w:color w:val="000000" w:themeColor="text1"/>
          <w:sz w:val="24"/>
          <w:szCs w:val="24"/>
        </w:rPr>
      </w:pPr>
    </w:p>
    <w:p w:rsidR="00105A21" w:rsidRPr="007F352D" w:rsidRDefault="00105A21" w:rsidP="00105A21">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7F352D">
        <w:rPr>
          <w:rFonts w:ascii="Times New Roman" w:eastAsia="Times New Roman" w:hAnsi="Times New Roman" w:cs="Times New Roman"/>
          <w:snapToGrid w:val="0"/>
          <w:color w:val="000000" w:themeColor="text1"/>
          <w:sz w:val="24"/>
          <w:szCs w:val="24"/>
          <w:lang w:eastAsia="ru-RU"/>
        </w:rPr>
        <w:t>Диаграмма № 2</w:t>
      </w:r>
    </w:p>
    <w:p w:rsidR="00105A21" w:rsidRDefault="00105A21" w:rsidP="00105A21">
      <w:pPr>
        <w:spacing w:after="120" w:line="240" w:lineRule="auto"/>
        <w:jc w:val="center"/>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Динамика объема расходов на обслуживание государственного долга Российской Федерации за 201</w:t>
      </w:r>
      <w:r w:rsidR="004178E0">
        <w:rPr>
          <w:rFonts w:ascii="Times New Roman" w:hAnsi="Times New Roman" w:cs="Times New Roman"/>
          <w:color w:val="000000" w:themeColor="text1"/>
          <w:sz w:val="24"/>
          <w:szCs w:val="24"/>
        </w:rPr>
        <w:t>5</w:t>
      </w:r>
      <w:r w:rsidRPr="007F352D">
        <w:rPr>
          <w:rFonts w:ascii="Times New Roman" w:hAnsi="Times New Roman" w:cs="Times New Roman"/>
          <w:color w:val="000000" w:themeColor="text1"/>
          <w:sz w:val="24"/>
          <w:szCs w:val="24"/>
        </w:rPr>
        <w:t xml:space="preserve"> - 2018 годах</w:t>
      </w:r>
    </w:p>
    <w:p w:rsidR="00856E80" w:rsidRDefault="00856E80" w:rsidP="00105A21">
      <w:pPr>
        <w:spacing w:after="120" w:line="240" w:lineRule="auto"/>
        <w:jc w:val="center"/>
        <w:rPr>
          <w:rFonts w:ascii="Times New Roman" w:hAnsi="Times New Roman" w:cs="Times New Roman"/>
          <w:color w:val="000000" w:themeColor="text1"/>
          <w:sz w:val="24"/>
          <w:szCs w:val="24"/>
        </w:rPr>
      </w:pPr>
      <w:r>
        <w:rPr>
          <w:noProof/>
          <w:lang w:eastAsia="ru-RU"/>
        </w:rPr>
        <w:drawing>
          <wp:inline distT="0" distB="0" distL="0" distR="0" wp14:anchorId="06E97887" wp14:editId="29CE8AF5">
            <wp:extent cx="6090699" cy="2798859"/>
            <wp:effectExtent l="0" t="0" r="24765" b="2095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6E80" w:rsidRPr="007F352D" w:rsidRDefault="00856E80" w:rsidP="00105A21">
      <w:pPr>
        <w:spacing w:after="120" w:line="240" w:lineRule="auto"/>
        <w:jc w:val="center"/>
        <w:rPr>
          <w:rFonts w:ascii="Times New Roman" w:hAnsi="Times New Roman" w:cs="Times New Roman"/>
          <w:color w:val="000000" w:themeColor="text1"/>
          <w:sz w:val="24"/>
          <w:szCs w:val="24"/>
        </w:rPr>
      </w:pPr>
    </w:p>
    <w:p w:rsidR="005A609F" w:rsidRPr="007F352D" w:rsidRDefault="005A609F" w:rsidP="00407EC0">
      <w:pPr>
        <w:widowControl w:val="0"/>
        <w:spacing w:line="240" w:lineRule="auto"/>
        <w:jc w:val="right"/>
        <w:rPr>
          <w:rFonts w:ascii="Times New Roman" w:hAnsi="Times New Roman" w:cs="Times New Roman"/>
          <w:color w:val="000000" w:themeColor="text1"/>
          <w:sz w:val="24"/>
          <w:szCs w:val="24"/>
        </w:rPr>
      </w:pPr>
      <w:bookmarkStart w:id="0" w:name="_GoBack"/>
      <w:r w:rsidRPr="007F352D">
        <w:rPr>
          <w:rFonts w:ascii="Times New Roman" w:hAnsi="Times New Roman" w:cs="Times New Roman"/>
          <w:color w:val="000000" w:themeColor="text1"/>
          <w:sz w:val="24"/>
          <w:szCs w:val="24"/>
        </w:rPr>
        <w:br w:type="page"/>
      </w:r>
      <w:bookmarkEnd w:id="0"/>
    </w:p>
    <w:p w:rsidR="00407EC0" w:rsidRPr="007F352D" w:rsidRDefault="00407EC0" w:rsidP="00407EC0">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lastRenderedPageBreak/>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w:t>
      </w:r>
      <w:r w:rsidR="00EA2FD3" w:rsidRPr="007F352D">
        <w:rPr>
          <w:rFonts w:ascii="Times New Roman" w:hAnsi="Times New Roman" w:cs="Times New Roman"/>
          <w:color w:val="000000" w:themeColor="text1"/>
          <w:sz w:val="24"/>
          <w:szCs w:val="24"/>
        </w:rPr>
        <w:t>7</w:t>
      </w:r>
    </w:p>
    <w:p w:rsidR="00407EC0" w:rsidRPr="007F352D" w:rsidRDefault="00407EC0" w:rsidP="00407EC0">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color w:val="000000" w:themeColor="text1"/>
          <w:sz w:val="24"/>
          <w:szCs w:val="24"/>
          <w:lang w:eastAsia="ru-RU"/>
        </w:rPr>
      </w:pPr>
      <w:r w:rsidRPr="007F352D">
        <w:rPr>
          <w:rFonts w:ascii="Times New Roman" w:eastAsia="Times New Roman" w:hAnsi="Times New Roman" w:cs="Times New Roman"/>
          <w:color w:val="000000" w:themeColor="text1"/>
          <w:sz w:val="24"/>
          <w:szCs w:val="24"/>
          <w:lang w:eastAsia="ru-RU"/>
        </w:rPr>
        <w:t xml:space="preserve">Анализ расходов федерального бюджета на обслуживание </w:t>
      </w:r>
    </w:p>
    <w:p w:rsidR="00407EC0" w:rsidRPr="007F352D" w:rsidRDefault="00407EC0" w:rsidP="00407EC0">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color w:val="000000" w:themeColor="text1"/>
          <w:sz w:val="24"/>
          <w:szCs w:val="24"/>
          <w:lang w:eastAsia="ru-RU"/>
        </w:rPr>
      </w:pPr>
      <w:r w:rsidRPr="007F352D">
        <w:rPr>
          <w:rFonts w:ascii="Times New Roman" w:eastAsia="Times New Roman" w:hAnsi="Times New Roman" w:cs="Times New Roman"/>
          <w:color w:val="000000" w:themeColor="text1"/>
          <w:sz w:val="24"/>
          <w:szCs w:val="24"/>
          <w:lang w:eastAsia="ru-RU"/>
        </w:rPr>
        <w:t>государственного долга Российской Федерации за 2018 год</w:t>
      </w:r>
    </w:p>
    <w:p w:rsidR="00407EC0" w:rsidRPr="007F352D" w:rsidRDefault="00407EC0" w:rsidP="00407EC0">
      <w:pPr>
        <w:spacing w:after="0" w:line="240" w:lineRule="auto"/>
        <w:ind w:right="-2" w:firstLine="539"/>
        <w:jc w:val="right"/>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(млн. рублей)</w:t>
      </w:r>
    </w:p>
    <w:tbl>
      <w:tblPr>
        <w:tblW w:w="5189" w:type="pct"/>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8"/>
        <w:gridCol w:w="1307"/>
        <w:gridCol w:w="1416"/>
        <w:gridCol w:w="1391"/>
        <w:gridCol w:w="1133"/>
        <w:gridCol w:w="1573"/>
      </w:tblGrid>
      <w:tr w:rsidR="00407EC0" w:rsidRPr="007F352D" w:rsidTr="00647CD3">
        <w:trPr>
          <w:trHeight w:val="270"/>
          <w:tblHeader/>
          <w:jc w:val="center"/>
        </w:trPr>
        <w:tc>
          <w:tcPr>
            <w:tcW w:w="1666" w:type="pct"/>
            <w:vMerge w:val="restar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Наименование показателя</w:t>
            </w:r>
          </w:p>
        </w:tc>
        <w:tc>
          <w:tcPr>
            <w:tcW w:w="639" w:type="pct"/>
            <w:vMerge w:val="restar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Исполнено</w:t>
            </w:r>
          </w:p>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за 2017 год</w:t>
            </w:r>
          </w:p>
        </w:tc>
        <w:tc>
          <w:tcPr>
            <w:tcW w:w="692" w:type="pct"/>
            <w:vMerge w:val="restar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Утверждено Федеральным законом</w:t>
            </w:r>
          </w:p>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 362-ФЗ</w:t>
            </w:r>
          </w:p>
        </w:tc>
        <w:tc>
          <w:tcPr>
            <w:tcW w:w="680" w:type="pct"/>
            <w:vMerge w:val="restart"/>
            <w:vAlign w:val="center"/>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Утверждено уточненной сводной бюджетной росписью</w:t>
            </w:r>
          </w:p>
        </w:tc>
        <w:tc>
          <w:tcPr>
            <w:tcW w:w="1323" w:type="pct"/>
            <w:gridSpan w:val="2"/>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Исполнено за  2018 год</w:t>
            </w:r>
          </w:p>
        </w:tc>
      </w:tr>
      <w:tr w:rsidR="00407EC0" w:rsidRPr="007F352D" w:rsidTr="00647CD3">
        <w:trPr>
          <w:trHeight w:val="298"/>
          <w:tblHeader/>
          <w:jc w:val="center"/>
        </w:trPr>
        <w:tc>
          <w:tcPr>
            <w:tcW w:w="1666" w:type="pct"/>
            <w:vMerge/>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p>
        </w:tc>
        <w:tc>
          <w:tcPr>
            <w:tcW w:w="639" w:type="pct"/>
            <w:vMerge/>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p>
        </w:tc>
        <w:tc>
          <w:tcPr>
            <w:tcW w:w="692" w:type="pct"/>
            <w:vMerge/>
            <w:vAlign w:val="center"/>
            <w:hideMark/>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p>
        </w:tc>
        <w:tc>
          <w:tcPr>
            <w:tcW w:w="680" w:type="pct"/>
            <w:vMerge/>
            <w:vAlign w:val="center"/>
          </w:tcPr>
          <w:p w:rsidR="00407EC0" w:rsidRPr="007F352D" w:rsidRDefault="00407EC0" w:rsidP="00647CD3">
            <w:pPr>
              <w:spacing w:after="0" w:line="240" w:lineRule="auto"/>
              <w:jc w:val="center"/>
              <w:rPr>
                <w:rFonts w:ascii="Times New Roman" w:eastAsia="Times New Roman" w:hAnsi="Times New Roman" w:cs="Times New Roman"/>
                <w:b/>
                <w:color w:val="000000" w:themeColor="text1"/>
                <w:sz w:val="16"/>
                <w:szCs w:val="16"/>
                <w:lang w:eastAsia="ru-RU"/>
              </w:rPr>
            </w:pP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сумма</w:t>
            </w:r>
          </w:p>
        </w:tc>
        <w:tc>
          <w:tcPr>
            <w:tcW w:w="770"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proofErr w:type="gramStart"/>
            <w:r w:rsidRPr="007F352D">
              <w:rPr>
                <w:rFonts w:ascii="Times New Roman" w:eastAsia="Times New Roman" w:hAnsi="Times New Roman" w:cs="Times New Roman"/>
                <w:color w:val="000000" w:themeColor="text1"/>
                <w:sz w:val="16"/>
                <w:szCs w:val="16"/>
                <w:lang w:eastAsia="ru-RU"/>
              </w:rPr>
              <w:t>в</w:t>
            </w:r>
            <w:proofErr w:type="gramEnd"/>
            <w:r w:rsidRPr="007F352D">
              <w:rPr>
                <w:rFonts w:ascii="Times New Roman" w:eastAsia="Times New Roman" w:hAnsi="Times New Roman" w:cs="Times New Roman"/>
                <w:color w:val="000000" w:themeColor="text1"/>
                <w:sz w:val="16"/>
                <w:szCs w:val="16"/>
                <w:lang w:eastAsia="ru-RU"/>
              </w:rPr>
              <w:t xml:space="preserve"> % к объему, утвержденному уточненной сводной бюджетной росписью</w:t>
            </w:r>
          </w:p>
        </w:tc>
      </w:tr>
      <w:tr w:rsidR="00407EC0" w:rsidRPr="007F352D" w:rsidTr="00647CD3">
        <w:trPr>
          <w:trHeight w:val="420"/>
          <w:jc w:val="center"/>
        </w:trPr>
        <w:tc>
          <w:tcPr>
            <w:tcW w:w="1666" w:type="pct"/>
            <w:shd w:val="clear" w:color="auto" w:fill="auto"/>
            <w:hideMark/>
          </w:tcPr>
          <w:p w:rsidR="00407EC0" w:rsidRPr="007F352D" w:rsidRDefault="00407EC0" w:rsidP="00647CD3">
            <w:pPr>
              <w:spacing w:after="0" w:line="240" w:lineRule="auto"/>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Расходы на обслуживание государственного долга Российской Федерации – всего</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709 157,4</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814 310,9</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814 310,9</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805 974,6</w:t>
            </w:r>
          </w:p>
        </w:tc>
        <w:tc>
          <w:tcPr>
            <w:tcW w:w="770"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99,0</w:t>
            </w:r>
          </w:p>
        </w:tc>
      </w:tr>
      <w:tr w:rsidR="00407EC0" w:rsidRPr="007F352D" w:rsidTr="00647CD3">
        <w:trPr>
          <w:trHeight w:val="271"/>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доля в общем объеме расходов федерального бюджета, %</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4,3</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4,8</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4,7</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4,8</w:t>
            </w:r>
          </w:p>
        </w:tc>
        <w:tc>
          <w:tcPr>
            <w:tcW w:w="770"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 </w:t>
            </w:r>
          </w:p>
        </w:tc>
      </w:tr>
      <w:tr w:rsidR="00407EC0" w:rsidRPr="007F352D" w:rsidTr="00647CD3">
        <w:trPr>
          <w:trHeight w:val="442"/>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расходы на обслуживание государственного внутреннего долга Российской Федерации </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527 608,3</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590 510,4</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575 510,4</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570 558,2</w:t>
            </w:r>
          </w:p>
        </w:tc>
        <w:tc>
          <w:tcPr>
            <w:tcW w:w="770"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99,1</w:t>
            </w:r>
          </w:p>
        </w:tc>
      </w:tr>
      <w:tr w:rsidR="00407EC0" w:rsidRPr="007F352D" w:rsidTr="00647CD3">
        <w:trPr>
          <w:trHeight w:val="292"/>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xml:space="preserve">доля в общем объеме расходов на обслуживание государственного долга Российской Федерации, %  </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74,4</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72,5</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70,7</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70,8</w:t>
            </w:r>
          </w:p>
        </w:tc>
        <w:tc>
          <w:tcPr>
            <w:tcW w:w="770"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 </w:t>
            </w:r>
          </w:p>
        </w:tc>
      </w:tr>
      <w:tr w:rsidR="00407EC0" w:rsidRPr="007F352D" w:rsidTr="00647CD3">
        <w:trPr>
          <w:trHeight w:val="325"/>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расходы на обслуживание государственного внешнего долга Российской Федерации </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181 549,1</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223 800,5</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238 800,5</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235 416,4</w:t>
            </w:r>
          </w:p>
        </w:tc>
        <w:tc>
          <w:tcPr>
            <w:tcW w:w="770"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98,6</w:t>
            </w:r>
          </w:p>
        </w:tc>
      </w:tr>
      <w:tr w:rsidR="00407EC0" w:rsidRPr="007F352D" w:rsidTr="00647CD3">
        <w:trPr>
          <w:trHeight w:val="75"/>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доля в общем объеме расходов на обслуживание государственного долга Российской Федерации, %</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25,6</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27,5</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29,3</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29,2</w:t>
            </w:r>
          </w:p>
        </w:tc>
        <w:tc>
          <w:tcPr>
            <w:tcW w:w="770"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 </w:t>
            </w:r>
          </w:p>
        </w:tc>
      </w:tr>
      <w:tr w:rsidR="00407EC0" w:rsidRPr="007F352D" w:rsidTr="00647CD3">
        <w:trPr>
          <w:trHeight w:val="110"/>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Справочно:</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w:t>
            </w:r>
          </w:p>
        </w:tc>
        <w:tc>
          <w:tcPr>
            <w:tcW w:w="692"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 </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 </w:t>
            </w:r>
          </w:p>
        </w:tc>
        <w:tc>
          <w:tcPr>
            <w:tcW w:w="554"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w:t>
            </w:r>
          </w:p>
        </w:tc>
        <w:tc>
          <w:tcPr>
            <w:tcW w:w="770"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20"/>
                <w:szCs w:val="20"/>
                <w:lang w:eastAsia="ru-RU"/>
              </w:rPr>
            </w:pPr>
            <w:r w:rsidRPr="007F352D">
              <w:rPr>
                <w:rFonts w:ascii="Times New Roman" w:eastAsia="Times New Roman" w:hAnsi="Times New Roman" w:cs="Times New Roman"/>
                <w:color w:val="000000" w:themeColor="text1"/>
                <w:sz w:val="20"/>
                <w:szCs w:val="20"/>
                <w:lang w:eastAsia="ru-RU"/>
              </w:rPr>
              <w:t> </w:t>
            </w:r>
          </w:p>
        </w:tc>
      </w:tr>
      <w:tr w:rsidR="00407EC0" w:rsidRPr="007F352D" w:rsidTr="00647CD3">
        <w:trPr>
          <w:trHeight w:val="60"/>
          <w:jc w:val="center"/>
        </w:trPr>
        <w:tc>
          <w:tcPr>
            <w:tcW w:w="1666" w:type="pct"/>
            <w:shd w:val="clear" w:color="auto" w:fill="auto"/>
            <w:vAlign w:val="center"/>
            <w:hideMark/>
          </w:tcPr>
          <w:p w:rsidR="00407EC0" w:rsidRPr="007F352D" w:rsidRDefault="00407EC0" w:rsidP="00647CD3">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расходы федерального бюджета - всего</w:t>
            </w:r>
          </w:p>
        </w:tc>
        <w:tc>
          <w:tcPr>
            <w:tcW w:w="639"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16 420 303,1</w:t>
            </w:r>
          </w:p>
        </w:tc>
        <w:tc>
          <w:tcPr>
            <w:tcW w:w="692" w:type="pct"/>
            <w:shd w:val="clear" w:color="auto" w:fill="auto"/>
            <w:vAlign w:val="center"/>
            <w:hideMark/>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16 808 848,2</w:t>
            </w:r>
          </w:p>
        </w:tc>
        <w:tc>
          <w:tcPr>
            <w:tcW w:w="680" w:type="pct"/>
            <w:vAlign w:val="center"/>
          </w:tcPr>
          <w:p w:rsidR="00407EC0" w:rsidRPr="007F352D" w:rsidRDefault="00407EC0"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17 491 254,3</w:t>
            </w:r>
          </w:p>
        </w:tc>
        <w:tc>
          <w:tcPr>
            <w:tcW w:w="554" w:type="pct"/>
            <w:shd w:val="clear" w:color="auto" w:fill="auto"/>
            <w:vAlign w:val="center"/>
            <w:hideMark/>
          </w:tcPr>
          <w:p w:rsidR="00407EC0" w:rsidRPr="007F352D" w:rsidRDefault="005A254E" w:rsidP="00647CD3">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16 713 002,7</w:t>
            </w:r>
          </w:p>
        </w:tc>
        <w:tc>
          <w:tcPr>
            <w:tcW w:w="770" w:type="pct"/>
            <w:shd w:val="clear" w:color="auto" w:fill="auto"/>
            <w:vAlign w:val="center"/>
            <w:hideMark/>
          </w:tcPr>
          <w:p w:rsidR="00407EC0" w:rsidRPr="007F352D" w:rsidRDefault="00407EC0" w:rsidP="007E4421">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95,</w:t>
            </w:r>
            <w:r w:rsidR="007E4421" w:rsidRPr="007F352D">
              <w:rPr>
                <w:rFonts w:ascii="Times New Roman" w:eastAsia="Times New Roman" w:hAnsi="Times New Roman" w:cs="Times New Roman"/>
                <w:color w:val="000000" w:themeColor="text1"/>
                <w:sz w:val="16"/>
                <w:szCs w:val="16"/>
                <w:lang w:eastAsia="ru-RU"/>
              </w:rPr>
              <w:t>6</w:t>
            </w:r>
          </w:p>
        </w:tc>
      </w:tr>
    </w:tbl>
    <w:p w:rsidR="00407EC0" w:rsidRPr="007F352D" w:rsidRDefault="00407EC0" w:rsidP="00407EC0">
      <w:pPr>
        <w:widowControl w:val="0"/>
        <w:spacing w:after="0" w:line="240" w:lineRule="auto"/>
        <w:ind w:firstLine="709"/>
        <w:jc w:val="both"/>
        <w:rPr>
          <w:rFonts w:ascii="Times New Roman" w:eastAsia="Times New Roman" w:hAnsi="Times New Roman" w:cs="Times New Roman"/>
          <w:color w:val="000000" w:themeColor="text1"/>
          <w:sz w:val="16"/>
          <w:szCs w:val="16"/>
          <w:lang w:eastAsia="ru-RU"/>
        </w:rPr>
      </w:pPr>
    </w:p>
    <w:p w:rsidR="00EA2FD3" w:rsidRPr="007F352D" w:rsidRDefault="00EA2FD3" w:rsidP="00D37FDB">
      <w:pPr>
        <w:widowControl w:val="0"/>
        <w:spacing w:line="240" w:lineRule="auto"/>
        <w:jc w:val="right"/>
        <w:rPr>
          <w:rFonts w:ascii="Times New Roman" w:hAnsi="Times New Roman" w:cs="Times New Roman"/>
          <w:color w:val="000000" w:themeColor="text1"/>
          <w:sz w:val="24"/>
          <w:szCs w:val="24"/>
        </w:rPr>
      </w:pPr>
    </w:p>
    <w:p w:rsidR="0069067B" w:rsidRPr="007F352D" w:rsidRDefault="0069067B" w:rsidP="00D37FDB">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w:t>
      </w:r>
      <w:r w:rsidR="00EA2FD3" w:rsidRPr="007F352D">
        <w:rPr>
          <w:rFonts w:ascii="Times New Roman" w:hAnsi="Times New Roman" w:cs="Times New Roman"/>
          <w:color w:val="000000" w:themeColor="text1"/>
          <w:sz w:val="24"/>
          <w:szCs w:val="24"/>
        </w:rPr>
        <w:t>8</w:t>
      </w:r>
    </w:p>
    <w:p w:rsidR="000127E5" w:rsidRPr="007F352D" w:rsidRDefault="000127E5" w:rsidP="003E5016">
      <w:pPr>
        <w:overflowPunct w:val="0"/>
        <w:autoSpaceDE w:val="0"/>
        <w:autoSpaceDN w:val="0"/>
        <w:adjustRightInd w:val="0"/>
        <w:spacing w:after="0" w:line="240" w:lineRule="auto"/>
        <w:jc w:val="center"/>
        <w:textAlignment w:val="baseline"/>
        <w:rPr>
          <w:rFonts w:ascii="Times New Roman" w:hAnsi="Times New Roman" w:cs="Times New Roman"/>
          <w:color w:val="000000" w:themeColor="text1"/>
          <w:sz w:val="24"/>
          <w:szCs w:val="24"/>
        </w:rPr>
      </w:pPr>
    </w:p>
    <w:p w:rsidR="000127E5" w:rsidRPr="007F352D" w:rsidRDefault="000127E5" w:rsidP="000127E5">
      <w:pPr>
        <w:overflowPunct w:val="0"/>
        <w:autoSpaceDE w:val="0"/>
        <w:autoSpaceDN w:val="0"/>
        <w:adjustRightInd w:val="0"/>
        <w:spacing w:after="120" w:line="240" w:lineRule="auto"/>
        <w:jc w:val="center"/>
        <w:textAlignment w:val="baseline"/>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Объемы и структура расходов на обслуживание государственного внутреннего долга в 2017 - 2018 годах по видам государственных ценных бумаг</w:t>
      </w:r>
    </w:p>
    <w:tbl>
      <w:tblPr>
        <w:tblStyle w:val="a3"/>
        <w:tblW w:w="10118" w:type="dxa"/>
        <w:tblInd w:w="-176" w:type="dxa"/>
        <w:tblLayout w:type="fixed"/>
        <w:tblLook w:val="04A0" w:firstRow="1" w:lastRow="0" w:firstColumn="1" w:lastColumn="0" w:noHBand="0" w:noVBand="1"/>
      </w:tblPr>
      <w:tblGrid>
        <w:gridCol w:w="1668"/>
        <w:gridCol w:w="1559"/>
        <w:gridCol w:w="1559"/>
        <w:gridCol w:w="1505"/>
        <w:gridCol w:w="1328"/>
        <w:gridCol w:w="1358"/>
        <w:gridCol w:w="1141"/>
      </w:tblGrid>
      <w:tr w:rsidR="000127E5" w:rsidRPr="007F352D" w:rsidTr="00582CF9">
        <w:trPr>
          <w:tblHeader/>
        </w:trPr>
        <w:tc>
          <w:tcPr>
            <w:tcW w:w="1668"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Вид государственных ценных бумаг</w:t>
            </w:r>
          </w:p>
        </w:tc>
        <w:tc>
          <w:tcPr>
            <w:tcW w:w="1559"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Расходы на обслуживание в 2017 году,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рублей</w:t>
            </w:r>
          </w:p>
        </w:tc>
        <w:tc>
          <w:tcPr>
            <w:tcW w:w="1559"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Доля в общем объеме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в 2017 году, %</w:t>
            </w:r>
          </w:p>
        </w:tc>
        <w:tc>
          <w:tcPr>
            <w:tcW w:w="1505"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Расходы на обслуживание в 2018 году,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рублей</w:t>
            </w:r>
          </w:p>
        </w:tc>
        <w:tc>
          <w:tcPr>
            <w:tcW w:w="1328"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Доля в общем объеме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в 2018 году, %</w:t>
            </w:r>
          </w:p>
        </w:tc>
        <w:tc>
          <w:tcPr>
            <w:tcW w:w="1358"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Изменение,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 xml:space="preserve">(+,-) </w:t>
            </w:r>
          </w:p>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млн. рублей</w:t>
            </w:r>
          </w:p>
        </w:tc>
        <w:tc>
          <w:tcPr>
            <w:tcW w:w="1141" w:type="dxa"/>
            <w:vAlign w:val="center"/>
          </w:tcPr>
          <w:p w:rsidR="000127E5" w:rsidRPr="007F352D" w:rsidRDefault="000127E5" w:rsidP="00647CD3">
            <w:pPr>
              <w:jc w:val="cente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Изменение, %</w:t>
            </w:r>
          </w:p>
        </w:tc>
      </w:tr>
      <w:tr w:rsidR="000127E5" w:rsidRPr="007F352D" w:rsidTr="00582CF9">
        <w:trPr>
          <w:tblHeader/>
        </w:trPr>
        <w:tc>
          <w:tcPr>
            <w:tcW w:w="1668"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1</w:t>
            </w:r>
          </w:p>
        </w:tc>
        <w:tc>
          <w:tcPr>
            <w:tcW w:w="1559"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2</w:t>
            </w:r>
          </w:p>
        </w:tc>
        <w:tc>
          <w:tcPr>
            <w:tcW w:w="1559"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3</w:t>
            </w:r>
          </w:p>
        </w:tc>
        <w:tc>
          <w:tcPr>
            <w:tcW w:w="1505"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4</w:t>
            </w:r>
          </w:p>
        </w:tc>
        <w:tc>
          <w:tcPr>
            <w:tcW w:w="1328"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5</w:t>
            </w:r>
          </w:p>
        </w:tc>
        <w:tc>
          <w:tcPr>
            <w:tcW w:w="1358"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6=4-2</w:t>
            </w:r>
          </w:p>
        </w:tc>
        <w:tc>
          <w:tcPr>
            <w:tcW w:w="1141" w:type="dxa"/>
            <w:vAlign w:val="center"/>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7=6/2*100</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 всего</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493 275,6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93,5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540 413,4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94,7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47 137,8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9,6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в том числе:</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ОФЗ-ПД</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240 371,6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45,6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335 603,6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58,8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95 232,0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39,6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ОФЗ-ПК</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206 685,4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39,2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160 512,7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28,1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-46 172,7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-22,3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ОФЗ-АД</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41 352,0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7,8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36 276,7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6,4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-5 075,3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-12,3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ОФЗ-ИН</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4 153,5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0,8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4 692,8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0,8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539,3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13,0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ОФЗ-н</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713,1</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0,1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3 327,6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0,6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2 614,5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366,6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ГСО, всего</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27 267,7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5,2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26 612,3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4,7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-655,4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-2,4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в том числе:</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ГСО-ППС</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19 129,5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3,6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18 709,1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3,3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-420,4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-2,2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ГСО-ФПС</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8 138,2   </w:t>
            </w:r>
          </w:p>
        </w:tc>
        <w:tc>
          <w:tcPr>
            <w:tcW w:w="1559" w:type="dxa"/>
          </w:tcPr>
          <w:p w:rsidR="000127E5" w:rsidRPr="007F352D" w:rsidRDefault="00DA7CA4"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1,</w:t>
            </w:r>
            <w:r w:rsidR="00C9135C" w:rsidRPr="007F352D">
              <w:rPr>
                <w:rFonts w:ascii="Times New Roman" w:hAnsi="Times New Roman" w:cs="Times New Roman"/>
                <w:bCs/>
                <w:color w:val="000000" w:themeColor="text1"/>
                <w:sz w:val="16"/>
                <w:szCs w:val="16"/>
              </w:rPr>
              <w:t>5</w:t>
            </w:r>
            <w:r w:rsidR="000127E5" w:rsidRPr="007F352D">
              <w:rPr>
                <w:rFonts w:ascii="Times New Roman" w:hAnsi="Times New Roman" w:cs="Times New Roman"/>
                <w:bCs/>
                <w:color w:val="000000" w:themeColor="text1"/>
                <w:sz w:val="16"/>
                <w:szCs w:val="16"/>
              </w:rPr>
              <w:t xml:space="preserve">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7 903,2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1,4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-235,0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-2,9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ОВОЗ</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7 065,0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1,3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3 532,5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0,6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-3 532,5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-50,0   </w:t>
            </w:r>
          </w:p>
        </w:tc>
      </w:tr>
      <w:tr w:rsidR="000127E5" w:rsidRPr="007F352D" w:rsidTr="00582CF9">
        <w:tc>
          <w:tcPr>
            <w:tcW w:w="1668" w:type="dxa"/>
            <w:vAlign w:val="center"/>
          </w:tcPr>
          <w:p w:rsidR="000127E5" w:rsidRPr="007F352D" w:rsidRDefault="000127E5" w:rsidP="00647CD3">
            <w:pPr>
              <w:rPr>
                <w:rFonts w:ascii="Times New Roman" w:hAnsi="Times New Roman" w:cs="Times New Roman"/>
                <w:b/>
                <w:bCs/>
                <w:color w:val="000000" w:themeColor="text1"/>
                <w:sz w:val="16"/>
                <w:szCs w:val="16"/>
              </w:rPr>
            </w:pPr>
            <w:r w:rsidRPr="007F352D">
              <w:rPr>
                <w:rFonts w:ascii="Times New Roman" w:hAnsi="Times New Roman" w:cs="Times New Roman"/>
                <w:b/>
                <w:bCs/>
                <w:color w:val="000000" w:themeColor="text1"/>
                <w:sz w:val="16"/>
                <w:szCs w:val="16"/>
              </w:rPr>
              <w:t>Итого</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527 608,3   </w:t>
            </w:r>
          </w:p>
        </w:tc>
        <w:tc>
          <w:tcPr>
            <w:tcW w:w="1559"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100,0   </w:t>
            </w:r>
          </w:p>
        </w:tc>
        <w:tc>
          <w:tcPr>
            <w:tcW w:w="1505"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570 558,2   </w:t>
            </w:r>
          </w:p>
        </w:tc>
        <w:tc>
          <w:tcPr>
            <w:tcW w:w="132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100,0   </w:t>
            </w:r>
          </w:p>
        </w:tc>
        <w:tc>
          <w:tcPr>
            <w:tcW w:w="1358"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42 949,9   </w:t>
            </w:r>
          </w:p>
        </w:tc>
        <w:tc>
          <w:tcPr>
            <w:tcW w:w="1141" w:type="dxa"/>
          </w:tcPr>
          <w:p w:rsidR="000127E5" w:rsidRPr="007F352D" w:rsidRDefault="000127E5" w:rsidP="00647CD3">
            <w:pPr>
              <w:jc w:val="center"/>
              <w:rPr>
                <w:rFonts w:ascii="Times New Roman" w:hAnsi="Times New Roman" w:cs="Times New Roman"/>
                <w:bCs/>
                <w:color w:val="000000" w:themeColor="text1"/>
                <w:sz w:val="16"/>
                <w:szCs w:val="16"/>
              </w:rPr>
            </w:pPr>
            <w:r w:rsidRPr="007F352D">
              <w:rPr>
                <w:rFonts w:ascii="Times New Roman" w:hAnsi="Times New Roman" w:cs="Times New Roman"/>
                <w:bCs/>
                <w:color w:val="000000" w:themeColor="text1"/>
                <w:sz w:val="16"/>
                <w:szCs w:val="16"/>
              </w:rPr>
              <w:t xml:space="preserve">8,1   </w:t>
            </w:r>
          </w:p>
        </w:tc>
      </w:tr>
    </w:tbl>
    <w:p w:rsidR="000127E5" w:rsidRPr="007F352D" w:rsidRDefault="000127E5" w:rsidP="003E5016">
      <w:pPr>
        <w:overflowPunct w:val="0"/>
        <w:autoSpaceDE w:val="0"/>
        <w:autoSpaceDN w:val="0"/>
        <w:adjustRightInd w:val="0"/>
        <w:spacing w:after="0" w:line="240" w:lineRule="auto"/>
        <w:jc w:val="center"/>
        <w:textAlignment w:val="baseline"/>
        <w:rPr>
          <w:rFonts w:ascii="Times New Roman" w:hAnsi="Times New Roman" w:cs="Times New Roman"/>
          <w:color w:val="000000" w:themeColor="text1"/>
          <w:sz w:val="24"/>
          <w:szCs w:val="24"/>
        </w:rPr>
      </w:pPr>
    </w:p>
    <w:p w:rsidR="004178E0" w:rsidRDefault="004178E0" w:rsidP="00D6718D">
      <w:pPr>
        <w:widowControl w:val="0"/>
        <w:spacing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D6718D" w:rsidRPr="007F352D" w:rsidRDefault="00D6718D" w:rsidP="00D6718D">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lastRenderedPageBreak/>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w:t>
      </w:r>
      <w:r w:rsidR="004178E0">
        <w:rPr>
          <w:rFonts w:ascii="Times New Roman" w:hAnsi="Times New Roman" w:cs="Times New Roman"/>
          <w:color w:val="000000" w:themeColor="text1"/>
          <w:sz w:val="24"/>
          <w:szCs w:val="24"/>
        </w:rPr>
        <w:t>9</w:t>
      </w:r>
    </w:p>
    <w:p w:rsidR="000127E5" w:rsidRPr="007F352D" w:rsidRDefault="000127E5" w:rsidP="000127E5">
      <w:pPr>
        <w:overflowPunct w:val="0"/>
        <w:autoSpaceDE w:val="0"/>
        <w:autoSpaceDN w:val="0"/>
        <w:adjustRightInd w:val="0"/>
        <w:spacing w:after="0" w:line="240" w:lineRule="auto"/>
        <w:jc w:val="center"/>
        <w:textAlignment w:val="baseline"/>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Формирование расходов на обслуживание государственного внутреннего долга Российской Федерации в  2017 - 2018 годах</w:t>
      </w:r>
    </w:p>
    <w:p w:rsidR="000127E5" w:rsidRPr="007F352D" w:rsidRDefault="000127E5" w:rsidP="000127E5">
      <w:pPr>
        <w:widowControl w:val="0"/>
        <w:spacing w:line="240" w:lineRule="auto"/>
        <w:jc w:val="right"/>
        <w:rPr>
          <w:rFonts w:ascii="Times New Roman" w:hAnsi="Times New Roman" w:cs="Times New Roman"/>
          <w:color w:val="000000" w:themeColor="text1"/>
          <w:sz w:val="24"/>
          <w:szCs w:val="24"/>
        </w:rPr>
      </w:pPr>
    </w:p>
    <w:p w:rsidR="000127E5" w:rsidRPr="007F352D" w:rsidRDefault="000127E5" w:rsidP="000127E5">
      <w:pPr>
        <w:pStyle w:val="a6"/>
        <w:rPr>
          <w:color w:val="000000" w:themeColor="text1"/>
        </w:rPr>
      </w:pPr>
      <w:r w:rsidRPr="007F352D">
        <w:rPr>
          <w:color w:val="000000" w:themeColor="text1"/>
        </w:rPr>
        <w:tab/>
      </w:r>
      <w:r w:rsidRPr="007F352D">
        <w:rPr>
          <w:color w:val="000000" w:themeColor="text1"/>
        </w:rPr>
        <w:tab/>
        <w:t>(млн. рублей)</w:t>
      </w:r>
    </w:p>
    <w:tbl>
      <w:tblPr>
        <w:tblW w:w="4999" w:type="pct"/>
        <w:jc w:val="center"/>
        <w:tblInd w:w="-538" w:type="dxa"/>
        <w:tblCellMar>
          <w:left w:w="30" w:type="dxa"/>
          <w:right w:w="30" w:type="dxa"/>
        </w:tblCellMar>
        <w:tblLook w:val="04A0" w:firstRow="1" w:lastRow="0" w:firstColumn="1" w:lastColumn="0" w:noHBand="0" w:noVBand="1"/>
      </w:tblPr>
      <w:tblGrid>
        <w:gridCol w:w="4423"/>
        <w:gridCol w:w="1418"/>
        <w:gridCol w:w="1418"/>
        <w:gridCol w:w="1278"/>
        <w:gridCol w:w="1160"/>
      </w:tblGrid>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Показатели</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2017</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2018</w:t>
            </w:r>
          </w:p>
        </w:tc>
        <w:tc>
          <w:tcPr>
            <w:tcW w:w="659"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Изменение за 2018 год</w:t>
            </w:r>
            <w:proofErr w:type="gramStart"/>
            <w:r w:rsidRPr="007F352D">
              <w:rPr>
                <w:rFonts w:ascii="Times New Roman" w:eastAsia="Times New Roman" w:hAnsi="Times New Roman" w:cs="Times New Roman"/>
                <w:color w:val="000000" w:themeColor="text1"/>
                <w:sz w:val="16"/>
                <w:szCs w:val="16"/>
                <w:lang w:eastAsia="ru-RU"/>
              </w:rPr>
              <w:t xml:space="preserve"> (+,-)</w:t>
            </w:r>
            <w:proofErr w:type="gramEnd"/>
          </w:p>
        </w:tc>
        <w:tc>
          <w:tcPr>
            <w:tcW w:w="598"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Изменение, %</w:t>
            </w:r>
          </w:p>
        </w:tc>
      </w:tr>
      <w:tr w:rsidR="000127E5" w:rsidRPr="007F352D" w:rsidTr="00647CD3">
        <w:trPr>
          <w:trHeight w:val="266"/>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w:t>
            </w:r>
          </w:p>
        </w:tc>
        <w:tc>
          <w:tcPr>
            <w:tcW w:w="659"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4=3-2</w:t>
            </w:r>
          </w:p>
        </w:tc>
        <w:tc>
          <w:tcPr>
            <w:tcW w:w="598"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5=4/2*100</w:t>
            </w:r>
          </w:p>
        </w:tc>
      </w:tr>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Расходы на обслуживание государственного внутреннего долга Российской Федерации (1)</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574 288,1</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590 065,9</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15 777,8</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2,7</w:t>
            </w:r>
          </w:p>
        </w:tc>
      </w:tr>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Уменьшение расходов на обслуживание в соответствии со ст. 113 Бюджетного кодекса Российской Федерации (2), всего:</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46 679,8</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19 507,7</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- 27 172,1</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- 58,2</w:t>
            </w:r>
          </w:p>
        </w:tc>
      </w:tr>
      <w:tr w:rsidR="000127E5" w:rsidRPr="007F352D" w:rsidTr="00647CD3">
        <w:trPr>
          <w:trHeight w:val="244"/>
          <w:tblHeader/>
          <w:jc w:val="center"/>
        </w:trPr>
        <w:tc>
          <w:tcPr>
            <w:tcW w:w="228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в том числе:</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p>
        </w:tc>
      </w:tr>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Уменьшение расходов на обслуживание на сумму полученного накопленного купонного дохода</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30 790,0</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15 689,3</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- 15 100,7</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- 49,0</w:t>
            </w:r>
          </w:p>
        </w:tc>
      </w:tr>
      <w:tr w:rsidR="000127E5" w:rsidRPr="007F352D" w:rsidTr="00647CD3">
        <w:trPr>
          <w:trHeight w:val="142"/>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Уменьшение расходов на обслуживание на сумму поступлений, превышающих  номинальную стоимость облигаций </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12 489,4</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3 818,4</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- 8 671,0</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- 69,4</w:t>
            </w:r>
          </w:p>
        </w:tc>
      </w:tr>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Уменьшение расходов на обслуживание на сумму разницы, возникшей при выкупе ценных бумаг по цене ниже цены размещения по ОФЗ-АД</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3 400,4</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0,0</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- 3 400,4</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- 100,0</w:t>
            </w:r>
          </w:p>
        </w:tc>
      </w:tr>
      <w:tr w:rsidR="000127E5" w:rsidRPr="007F352D" w:rsidTr="00647CD3">
        <w:trPr>
          <w:trHeight w:val="389"/>
          <w:tblHeader/>
          <w:jc w:val="center"/>
        </w:trPr>
        <w:tc>
          <w:tcPr>
            <w:tcW w:w="2281" w:type="pct"/>
            <w:tcBorders>
              <w:top w:val="single" w:sz="6" w:space="0" w:color="auto"/>
              <w:left w:val="single" w:sz="6" w:space="0" w:color="auto"/>
              <w:bottom w:val="single" w:sz="6" w:space="0" w:color="auto"/>
              <w:right w:val="single" w:sz="6" w:space="0" w:color="auto"/>
            </w:tcBorders>
            <w:vAlign w:val="center"/>
            <w:hideMark/>
          </w:tcPr>
          <w:p w:rsidR="000127E5" w:rsidRPr="007F352D" w:rsidRDefault="000127E5" w:rsidP="00647CD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Итого расходы на обслуживание с учетом статьи 113 Бюджетного кодекса Российской Федерации (3)=(1)-(2)</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527 608,3</w:t>
            </w:r>
          </w:p>
        </w:tc>
        <w:tc>
          <w:tcPr>
            <w:tcW w:w="731"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570 558,2</w:t>
            </w:r>
          </w:p>
        </w:tc>
        <w:tc>
          <w:tcPr>
            <w:tcW w:w="659" w:type="pct"/>
            <w:tcBorders>
              <w:top w:val="single" w:sz="6" w:space="0" w:color="auto"/>
              <w:left w:val="single" w:sz="6" w:space="0" w:color="auto"/>
              <w:bottom w:val="single" w:sz="6" w:space="0" w:color="auto"/>
              <w:right w:val="single" w:sz="6" w:space="0" w:color="auto"/>
            </w:tcBorders>
            <w:vAlign w:val="center"/>
          </w:tcPr>
          <w:p w:rsidR="000127E5" w:rsidRPr="007F352D" w:rsidRDefault="000127E5"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42 949,9</w:t>
            </w:r>
          </w:p>
        </w:tc>
        <w:tc>
          <w:tcPr>
            <w:tcW w:w="598" w:type="pct"/>
            <w:tcBorders>
              <w:top w:val="single" w:sz="6" w:space="0" w:color="auto"/>
              <w:left w:val="single" w:sz="6" w:space="0" w:color="auto"/>
              <w:bottom w:val="single" w:sz="6" w:space="0" w:color="auto"/>
              <w:right w:val="single" w:sz="6" w:space="0" w:color="auto"/>
            </w:tcBorders>
            <w:vAlign w:val="center"/>
          </w:tcPr>
          <w:p w:rsidR="000127E5" w:rsidRPr="007F352D" w:rsidRDefault="00665A46" w:rsidP="00647CD3">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8,1</w:t>
            </w:r>
          </w:p>
        </w:tc>
      </w:tr>
    </w:tbl>
    <w:p w:rsidR="00DF6231" w:rsidRPr="007F352D" w:rsidRDefault="00DF6231" w:rsidP="000127E5">
      <w:pPr>
        <w:widowControl w:val="0"/>
        <w:spacing w:line="240" w:lineRule="auto"/>
        <w:jc w:val="right"/>
        <w:rPr>
          <w:rFonts w:ascii="Times New Roman" w:hAnsi="Times New Roman" w:cs="Times New Roman"/>
          <w:color w:val="000000" w:themeColor="text1"/>
          <w:sz w:val="24"/>
          <w:szCs w:val="24"/>
        </w:rPr>
      </w:pPr>
    </w:p>
    <w:p w:rsidR="004A3131" w:rsidRPr="007F352D" w:rsidRDefault="004A3131" w:rsidP="004A3131">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1</w:t>
      </w:r>
      <w:r w:rsidR="004178E0">
        <w:rPr>
          <w:rFonts w:ascii="Times New Roman" w:hAnsi="Times New Roman" w:cs="Times New Roman"/>
          <w:color w:val="000000" w:themeColor="text1"/>
          <w:sz w:val="24"/>
          <w:szCs w:val="24"/>
        </w:rPr>
        <w:t>0</w:t>
      </w:r>
    </w:p>
    <w:p w:rsidR="004A3131" w:rsidRPr="007F352D" w:rsidRDefault="00E46856" w:rsidP="004A3131">
      <w:pPr>
        <w:overflowPunct w:val="0"/>
        <w:autoSpaceDE w:val="0"/>
        <w:autoSpaceDN w:val="0"/>
        <w:adjustRightInd w:val="0"/>
        <w:spacing w:after="120" w:line="240" w:lineRule="auto"/>
        <w:jc w:val="center"/>
        <w:textAlignment w:val="baseline"/>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Объемы и структура расходов на обслуживание государственного внешнего долга Российской Федерации в 2017 - 2018 годах в разбивке по видам долговых обязательств</w:t>
      </w:r>
    </w:p>
    <w:tbl>
      <w:tblPr>
        <w:tblW w:w="5809" w:type="pct"/>
        <w:tblInd w:w="-679" w:type="dxa"/>
        <w:tblCellMar>
          <w:left w:w="30" w:type="dxa"/>
          <w:right w:w="30" w:type="dxa"/>
        </w:tblCellMar>
        <w:tblLook w:val="04A0" w:firstRow="1" w:lastRow="0" w:firstColumn="1" w:lastColumn="0" w:noHBand="0" w:noVBand="1"/>
      </w:tblPr>
      <w:tblGrid>
        <w:gridCol w:w="1897"/>
        <w:gridCol w:w="877"/>
        <w:gridCol w:w="1028"/>
        <w:gridCol w:w="1170"/>
        <w:gridCol w:w="1023"/>
        <w:gridCol w:w="1023"/>
        <w:gridCol w:w="1167"/>
        <w:gridCol w:w="771"/>
        <w:gridCol w:w="649"/>
        <w:gridCol w:w="906"/>
        <w:gridCol w:w="757"/>
      </w:tblGrid>
      <w:tr w:rsidR="004A3131" w:rsidRPr="007F352D" w:rsidTr="00582CF9">
        <w:trPr>
          <w:tblHeader/>
        </w:trPr>
        <w:tc>
          <w:tcPr>
            <w:tcW w:w="842" w:type="pct"/>
            <w:vMerge w:val="restar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Виды долговых обязательств</w:t>
            </w:r>
          </w:p>
        </w:tc>
        <w:tc>
          <w:tcPr>
            <w:tcW w:w="1364" w:type="pct"/>
            <w:gridSpan w:val="3"/>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2017 год</w:t>
            </w:r>
          </w:p>
        </w:tc>
        <w:tc>
          <w:tcPr>
            <w:tcW w:w="1426" w:type="pct"/>
            <w:gridSpan w:val="3"/>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2018 год</w:t>
            </w:r>
          </w:p>
        </w:tc>
        <w:tc>
          <w:tcPr>
            <w:tcW w:w="1368" w:type="pct"/>
            <w:gridSpan w:val="4"/>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Изменение за 2018 год</w:t>
            </w:r>
            <w:proofErr w:type="gramStart"/>
            <w:r w:rsidRPr="007F352D">
              <w:rPr>
                <w:rFonts w:ascii="Times New Roman" w:eastAsia="Calibri" w:hAnsi="Times New Roman" w:cs="Times New Roman"/>
                <w:b/>
                <w:color w:val="000000" w:themeColor="text1"/>
                <w:sz w:val="16"/>
                <w:szCs w:val="16"/>
              </w:rPr>
              <w:t xml:space="preserve"> (+, -)</w:t>
            </w:r>
            <w:proofErr w:type="gramEnd"/>
          </w:p>
        </w:tc>
      </w:tr>
      <w:tr w:rsidR="004A3131" w:rsidRPr="007F352D" w:rsidTr="00582CF9">
        <w:trPr>
          <w:tblHeader/>
        </w:trPr>
        <w:tc>
          <w:tcPr>
            <w:tcW w:w="842" w:type="pct"/>
            <w:vMerge/>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spacing w:after="0" w:line="240" w:lineRule="auto"/>
              <w:textAlignment w:val="baseline"/>
              <w:rPr>
                <w:rFonts w:ascii="Times New Roman" w:eastAsia="Calibri" w:hAnsi="Times New Roman" w:cs="Times New Roman"/>
                <w:b/>
                <w:color w:val="000000" w:themeColor="text1"/>
                <w:sz w:val="16"/>
                <w:szCs w:val="16"/>
              </w:rPr>
            </w:pPr>
          </w:p>
        </w:tc>
        <w:tc>
          <w:tcPr>
            <w:tcW w:w="389"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долл. США</w:t>
            </w:r>
          </w:p>
        </w:tc>
        <w:tc>
          <w:tcPr>
            <w:tcW w:w="456"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рублей</w:t>
            </w:r>
          </w:p>
        </w:tc>
        <w:tc>
          <w:tcPr>
            <w:tcW w:w="519"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доля в общей сумме расходов, %</w:t>
            </w:r>
          </w:p>
        </w:tc>
        <w:tc>
          <w:tcPr>
            <w:tcW w:w="454"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долл. США</w:t>
            </w:r>
          </w:p>
        </w:tc>
        <w:tc>
          <w:tcPr>
            <w:tcW w:w="454"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рублей</w:t>
            </w:r>
          </w:p>
        </w:tc>
        <w:tc>
          <w:tcPr>
            <w:tcW w:w="518"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доля в общей сумме расходов, %</w:t>
            </w:r>
          </w:p>
        </w:tc>
        <w:tc>
          <w:tcPr>
            <w:tcW w:w="3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долл. США</w:t>
            </w:r>
          </w:p>
        </w:tc>
        <w:tc>
          <w:tcPr>
            <w:tcW w:w="288"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w:t>
            </w:r>
          </w:p>
        </w:tc>
        <w:tc>
          <w:tcPr>
            <w:tcW w:w="40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млн. рублей</w:t>
            </w:r>
          </w:p>
        </w:tc>
        <w:tc>
          <w:tcPr>
            <w:tcW w:w="336"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w:t>
            </w:r>
          </w:p>
        </w:tc>
      </w:tr>
      <w:tr w:rsidR="004A3131" w:rsidRPr="007F352D" w:rsidTr="00582CF9">
        <w:trPr>
          <w:tblHeader/>
        </w:trPr>
        <w:tc>
          <w:tcPr>
            <w:tcW w:w="842"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4</w:t>
            </w:r>
          </w:p>
        </w:tc>
        <w:tc>
          <w:tcPr>
            <w:tcW w:w="454"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5</w:t>
            </w:r>
          </w:p>
        </w:tc>
        <w:tc>
          <w:tcPr>
            <w:tcW w:w="454"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6</w:t>
            </w:r>
          </w:p>
        </w:tc>
        <w:tc>
          <w:tcPr>
            <w:tcW w:w="518"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7</w:t>
            </w:r>
          </w:p>
        </w:tc>
        <w:tc>
          <w:tcPr>
            <w:tcW w:w="342"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8=5-2</w:t>
            </w:r>
          </w:p>
        </w:tc>
        <w:tc>
          <w:tcPr>
            <w:tcW w:w="288"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9=8/2</w:t>
            </w:r>
          </w:p>
        </w:tc>
        <w:tc>
          <w:tcPr>
            <w:tcW w:w="40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10=6-3</w:t>
            </w:r>
          </w:p>
        </w:tc>
        <w:tc>
          <w:tcPr>
            <w:tcW w:w="336"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11=10/3</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Обслуживание государственного внешнего долга, всего</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3 128,5</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181 549,1</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100,0</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3 757,2</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235 416,4</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100,0</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628,7</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20,1</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53 867,3</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7F352D">
              <w:rPr>
                <w:rFonts w:ascii="Times New Roman" w:eastAsia="Calibri" w:hAnsi="Times New Roman" w:cs="Times New Roman"/>
                <w:b/>
                <w:color w:val="000000" w:themeColor="text1"/>
                <w:sz w:val="16"/>
                <w:szCs w:val="16"/>
              </w:rPr>
              <w:t>29,7</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в том числе:</w:t>
            </w:r>
          </w:p>
        </w:tc>
        <w:tc>
          <w:tcPr>
            <w:tcW w:w="38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1.Государственные ценные бумаги Российской Федерации, номинальная стоимость которых указана в иностранной валюте</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3 103,0</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180 073,0</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99,2</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3 727,5</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233 503,6</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99,2</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624,5</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20,1</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53 430,6</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29,7</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в том числе:</w:t>
            </w:r>
          </w:p>
        </w:tc>
        <w:tc>
          <w:tcPr>
            <w:tcW w:w="38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6" w:space="0" w:color="auto"/>
              <w:bottom w:val="single" w:sz="6" w:space="0" w:color="auto"/>
              <w:right w:val="single" w:sz="2" w:space="0" w:color="000000"/>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2" w:space="0" w:color="000000"/>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еврооблигации</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3 102,9</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180 067,7</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99,2</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3 727,3</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233 490,1</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99,2</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624,4</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20,1</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53 422,4</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29,7</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ОВГВЗ</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0,09</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5,2</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0,0</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0,2</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13,5</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0,0</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0,1</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F87089">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w:t>
            </w:r>
            <w:r w:rsidR="00F87089">
              <w:rPr>
                <w:rFonts w:ascii="Times New Roman" w:eastAsia="Calibri" w:hAnsi="Times New Roman" w:cs="Times New Roman"/>
                <w:color w:val="000000" w:themeColor="text1"/>
                <w:sz w:val="16"/>
                <w:szCs w:val="16"/>
              </w:rPr>
              <w:t>11</w:t>
            </w:r>
            <w:r w:rsidRPr="007F352D">
              <w:rPr>
                <w:rFonts w:ascii="Times New Roman" w:eastAsia="Calibri" w:hAnsi="Times New Roman" w:cs="Times New Roman"/>
                <w:color w:val="000000" w:themeColor="text1"/>
                <w:sz w:val="16"/>
                <w:szCs w:val="16"/>
              </w:rPr>
              <w:t>,</w:t>
            </w:r>
            <w:r w:rsidR="00F87089">
              <w:rPr>
                <w:rFonts w:ascii="Times New Roman" w:eastAsia="Calibri" w:hAnsi="Times New Roman" w:cs="Times New Roman"/>
                <w:color w:val="000000" w:themeColor="text1"/>
                <w:sz w:val="16"/>
                <w:szCs w:val="16"/>
              </w:rPr>
              <w:t>1</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8,3</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159,6</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2.Кредиты правительств иностранных государств, займы международных финансовых организаций</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25,5</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1 476,2</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0,8</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29,7</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1 912,8</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0,8</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4,2</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16,5</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436,6</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29,6</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в том числе:</w:t>
            </w:r>
          </w:p>
        </w:tc>
        <w:tc>
          <w:tcPr>
            <w:tcW w:w="38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9"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 xml:space="preserve">кредиты правительств </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11,5</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662,2</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0,4</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14,1</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910,9</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0,4</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2,6</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22,6</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248,7</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37,6</w:t>
            </w:r>
          </w:p>
        </w:tc>
      </w:tr>
      <w:tr w:rsidR="004A3131" w:rsidRPr="007F352D" w:rsidTr="00582CF9">
        <w:tc>
          <w:tcPr>
            <w:tcW w:w="842" w:type="pct"/>
            <w:tcBorders>
              <w:top w:val="single" w:sz="6" w:space="0" w:color="auto"/>
              <w:left w:val="single" w:sz="6" w:space="0" w:color="auto"/>
              <w:bottom w:val="single" w:sz="6" w:space="0" w:color="auto"/>
              <w:right w:val="single" w:sz="6" w:space="0" w:color="auto"/>
            </w:tcBorders>
            <w:hideMark/>
          </w:tcPr>
          <w:p w:rsidR="004A3131" w:rsidRPr="007F352D" w:rsidRDefault="004A3131" w:rsidP="00647CD3">
            <w:pPr>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займы МФО</w:t>
            </w:r>
          </w:p>
        </w:tc>
        <w:tc>
          <w:tcPr>
            <w:tcW w:w="38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14,0</w:t>
            </w:r>
          </w:p>
        </w:tc>
        <w:tc>
          <w:tcPr>
            <w:tcW w:w="456"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813,9</w:t>
            </w:r>
          </w:p>
        </w:tc>
        <w:tc>
          <w:tcPr>
            <w:tcW w:w="519" w:type="pct"/>
            <w:tcBorders>
              <w:top w:val="single" w:sz="6" w:space="0" w:color="auto"/>
              <w:left w:val="single" w:sz="6" w:space="0" w:color="auto"/>
              <w:bottom w:val="single" w:sz="6" w:space="0" w:color="auto"/>
              <w:right w:val="single" w:sz="6" w:space="0" w:color="auto"/>
            </w:tcBorders>
            <w:vAlign w:val="center"/>
            <w:hideMark/>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0,4</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15,6</w:t>
            </w:r>
          </w:p>
        </w:tc>
        <w:tc>
          <w:tcPr>
            <w:tcW w:w="454"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1 001,9</w:t>
            </w:r>
          </w:p>
        </w:tc>
        <w:tc>
          <w:tcPr>
            <w:tcW w:w="51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0,4</w:t>
            </w:r>
          </w:p>
        </w:tc>
        <w:tc>
          <w:tcPr>
            <w:tcW w:w="34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1,6</w:t>
            </w:r>
          </w:p>
        </w:tc>
        <w:tc>
          <w:tcPr>
            <w:tcW w:w="288"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11,4</w:t>
            </w:r>
          </w:p>
        </w:tc>
        <w:tc>
          <w:tcPr>
            <w:tcW w:w="402"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188,0</w:t>
            </w:r>
          </w:p>
        </w:tc>
        <w:tc>
          <w:tcPr>
            <w:tcW w:w="336" w:type="pct"/>
            <w:tcBorders>
              <w:top w:val="single" w:sz="6" w:space="0" w:color="auto"/>
              <w:left w:val="single" w:sz="6" w:space="0" w:color="auto"/>
              <w:bottom w:val="single" w:sz="6" w:space="0" w:color="auto"/>
              <w:right w:val="single" w:sz="6" w:space="0" w:color="auto"/>
            </w:tcBorders>
            <w:vAlign w:val="center"/>
          </w:tcPr>
          <w:p w:rsidR="004A3131" w:rsidRPr="007F352D" w:rsidRDefault="004A3131" w:rsidP="00647CD3">
            <w:pPr>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7F352D">
              <w:rPr>
                <w:rFonts w:ascii="Times New Roman" w:eastAsia="Calibri" w:hAnsi="Times New Roman" w:cs="Times New Roman"/>
                <w:color w:val="000000" w:themeColor="text1"/>
                <w:sz w:val="16"/>
                <w:szCs w:val="16"/>
              </w:rPr>
              <w:t>23,1</w:t>
            </w:r>
          </w:p>
        </w:tc>
      </w:tr>
    </w:tbl>
    <w:p w:rsidR="004178E0" w:rsidRDefault="004178E0" w:rsidP="00C977D3">
      <w:pPr>
        <w:widowControl w:val="0"/>
        <w:spacing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C977D3" w:rsidRPr="007F352D" w:rsidRDefault="00C977D3" w:rsidP="00C977D3">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lastRenderedPageBreak/>
        <w:t xml:space="preserve">Таблица </w:t>
      </w:r>
      <w:r w:rsidR="002121AF">
        <w:rPr>
          <w:rFonts w:ascii="Times New Roman" w:hAnsi="Times New Roman" w:cs="Times New Roman"/>
          <w:color w:val="000000" w:themeColor="text1"/>
          <w:sz w:val="24"/>
          <w:szCs w:val="24"/>
        </w:rPr>
        <w:t>№</w:t>
      </w:r>
      <w:r w:rsidRPr="007F352D">
        <w:rPr>
          <w:rFonts w:ascii="Times New Roman" w:hAnsi="Times New Roman" w:cs="Times New Roman"/>
          <w:color w:val="000000" w:themeColor="text1"/>
          <w:sz w:val="24"/>
          <w:szCs w:val="24"/>
        </w:rPr>
        <w:t xml:space="preserve"> 1</w:t>
      </w:r>
      <w:r w:rsidR="004178E0">
        <w:rPr>
          <w:rFonts w:ascii="Times New Roman" w:hAnsi="Times New Roman" w:cs="Times New Roman"/>
          <w:color w:val="000000" w:themeColor="text1"/>
          <w:sz w:val="24"/>
          <w:szCs w:val="24"/>
        </w:rPr>
        <w:t>1</w:t>
      </w:r>
    </w:p>
    <w:p w:rsidR="0077401B" w:rsidRPr="007F352D" w:rsidRDefault="00C977D3" w:rsidP="00C977D3">
      <w:pPr>
        <w:spacing w:before="120" w:after="120" w:line="240" w:lineRule="auto"/>
        <w:jc w:val="center"/>
        <w:rPr>
          <w:rFonts w:ascii="Times New Roman" w:eastAsia="Times New Roman" w:hAnsi="Times New Roman" w:cs="Times New Roman"/>
          <w:color w:val="000000" w:themeColor="text1"/>
          <w:sz w:val="24"/>
        </w:rPr>
      </w:pPr>
      <w:r w:rsidRPr="007F352D">
        <w:rPr>
          <w:rFonts w:ascii="Times New Roman" w:eastAsia="Times New Roman" w:hAnsi="Times New Roman" w:cs="Times New Roman"/>
          <w:color w:val="000000" w:themeColor="text1"/>
          <w:sz w:val="24"/>
        </w:rPr>
        <w:t>Сведения об объеме и структуре совокупного внешнего долга Российской Федерации в 2017 – 2018 годах</w:t>
      </w:r>
    </w:p>
    <w:p w:rsidR="00C977D3" w:rsidRPr="00582CF9" w:rsidRDefault="00FB5109" w:rsidP="00582CF9">
      <w:pPr>
        <w:spacing w:after="0" w:line="240" w:lineRule="auto"/>
        <w:ind w:right="-284"/>
        <w:jc w:val="right"/>
        <w:rPr>
          <w:rFonts w:ascii="Times New Roman" w:eastAsia="Times New Roman" w:hAnsi="Times New Roman" w:cs="Times New Roman"/>
          <w:color w:val="000000" w:themeColor="text1"/>
          <w:sz w:val="20"/>
          <w:szCs w:val="20"/>
        </w:rPr>
      </w:pPr>
      <w:r w:rsidRPr="00582CF9">
        <w:rPr>
          <w:rFonts w:ascii="Times New Roman" w:eastAsia="Times New Roman" w:hAnsi="Times New Roman" w:cs="Times New Roman"/>
          <w:color w:val="000000" w:themeColor="text1"/>
          <w:sz w:val="20"/>
          <w:szCs w:val="20"/>
          <w:lang w:eastAsia="ru-RU"/>
        </w:rPr>
        <w:t>(млн. долларов США)</w:t>
      </w:r>
    </w:p>
    <w:tbl>
      <w:tblPr>
        <w:tblW w:w="9956" w:type="dxa"/>
        <w:jc w:val="center"/>
        <w:tblLayout w:type="fixed"/>
        <w:tblLook w:val="04A0" w:firstRow="1" w:lastRow="0" w:firstColumn="1" w:lastColumn="0" w:noHBand="0" w:noVBand="1"/>
      </w:tblPr>
      <w:tblGrid>
        <w:gridCol w:w="2850"/>
        <w:gridCol w:w="1016"/>
        <w:gridCol w:w="1134"/>
        <w:gridCol w:w="993"/>
        <w:gridCol w:w="1134"/>
        <w:gridCol w:w="992"/>
        <w:gridCol w:w="1128"/>
        <w:gridCol w:w="709"/>
      </w:tblGrid>
      <w:tr w:rsidR="007F352D" w:rsidRPr="007F352D" w:rsidTr="00FB5109">
        <w:trPr>
          <w:trHeight w:val="360"/>
          <w:tblHeader/>
          <w:jc w:val="center"/>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w:t>
            </w:r>
          </w:p>
        </w:tc>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01.01.2017</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01.01.2018</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proofErr w:type="spellStart"/>
            <w:proofErr w:type="gramStart"/>
            <w:r w:rsidRPr="007F352D">
              <w:rPr>
                <w:rFonts w:ascii="Times New Roman" w:eastAsia="Times New Roman" w:hAnsi="Times New Roman" w:cs="Times New Roman"/>
                <w:b/>
                <w:bCs/>
                <w:color w:val="000000" w:themeColor="text1"/>
                <w:sz w:val="16"/>
                <w:szCs w:val="16"/>
                <w:lang w:eastAsia="ru-RU"/>
              </w:rPr>
              <w:t>Струк</w:t>
            </w:r>
            <w:proofErr w:type="spellEnd"/>
            <w:r w:rsidRPr="007F352D">
              <w:rPr>
                <w:rFonts w:ascii="Times New Roman" w:eastAsia="Times New Roman" w:hAnsi="Times New Roman" w:cs="Times New Roman"/>
                <w:b/>
                <w:bCs/>
                <w:color w:val="000000" w:themeColor="text1"/>
                <w:sz w:val="16"/>
                <w:szCs w:val="16"/>
                <w:lang w:eastAsia="ru-RU"/>
              </w:rPr>
              <w:t>-тура</w:t>
            </w:r>
            <w:proofErr w:type="gramEnd"/>
            <w:r w:rsidRPr="007F352D">
              <w:rPr>
                <w:rFonts w:ascii="Times New Roman" w:eastAsia="Times New Roman" w:hAnsi="Times New Roman" w:cs="Times New Roman"/>
                <w:b/>
                <w:bCs/>
                <w:color w:val="000000" w:themeColor="text1"/>
                <w:sz w:val="16"/>
                <w:szCs w:val="16"/>
                <w:lang w:eastAsia="ru-RU"/>
              </w:rPr>
              <w:t>,%</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01.01.2019</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proofErr w:type="spellStart"/>
            <w:proofErr w:type="gramStart"/>
            <w:r w:rsidRPr="007F352D">
              <w:rPr>
                <w:rFonts w:ascii="Times New Roman" w:eastAsia="Times New Roman" w:hAnsi="Times New Roman" w:cs="Times New Roman"/>
                <w:b/>
                <w:bCs/>
                <w:color w:val="000000" w:themeColor="text1"/>
                <w:sz w:val="16"/>
                <w:szCs w:val="16"/>
                <w:lang w:eastAsia="ru-RU"/>
              </w:rPr>
              <w:t>Струк</w:t>
            </w:r>
            <w:proofErr w:type="spellEnd"/>
            <w:r w:rsidRPr="007F352D">
              <w:rPr>
                <w:rFonts w:ascii="Times New Roman" w:eastAsia="Times New Roman" w:hAnsi="Times New Roman" w:cs="Times New Roman"/>
                <w:b/>
                <w:bCs/>
                <w:color w:val="000000" w:themeColor="text1"/>
                <w:sz w:val="16"/>
                <w:szCs w:val="16"/>
                <w:lang w:eastAsia="ru-RU"/>
              </w:rPr>
              <w:t>-тура</w:t>
            </w:r>
            <w:proofErr w:type="gramEnd"/>
            <w:r w:rsidRPr="007F352D">
              <w:rPr>
                <w:rFonts w:ascii="Times New Roman" w:eastAsia="Times New Roman" w:hAnsi="Times New Roman" w:cs="Times New Roman"/>
                <w:b/>
                <w:bCs/>
                <w:color w:val="000000" w:themeColor="text1"/>
                <w:sz w:val="16"/>
                <w:szCs w:val="16"/>
                <w:lang w:eastAsia="ru-RU"/>
              </w:rPr>
              <w:t>, %</w:t>
            </w:r>
          </w:p>
        </w:tc>
        <w:tc>
          <w:tcPr>
            <w:tcW w:w="1837" w:type="dxa"/>
            <w:gridSpan w:val="2"/>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Изменение за 2018 год</w:t>
            </w:r>
          </w:p>
        </w:tc>
      </w:tr>
      <w:tr w:rsidR="007F352D" w:rsidRPr="007F352D" w:rsidTr="00FB5109">
        <w:trPr>
          <w:trHeight w:val="60"/>
          <w:tblHeader/>
          <w:jc w:val="center"/>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сумма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w:t>
            </w:r>
          </w:p>
        </w:tc>
      </w:tr>
      <w:tr w:rsidR="007F352D" w:rsidRPr="007F352D" w:rsidTr="00FB5109">
        <w:trPr>
          <w:trHeight w:val="3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Всего</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511 752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518 213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100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454 680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100</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-63 533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i/>
                <w:color w:val="000000" w:themeColor="text1"/>
                <w:sz w:val="16"/>
                <w:szCs w:val="16"/>
                <w:lang w:eastAsia="ru-RU"/>
              </w:rPr>
            </w:pPr>
            <w:r w:rsidRPr="007F352D">
              <w:rPr>
                <w:rFonts w:ascii="Times New Roman" w:eastAsia="Times New Roman" w:hAnsi="Times New Roman" w:cs="Times New Roman"/>
                <w:b/>
                <w:i/>
                <w:color w:val="000000" w:themeColor="text1"/>
                <w:sz w:val="16"/>
                <w:szCs w:val="16"/>
                <w:lang w:eastAsia="ru-RU"/>
              </w:rPr>
              <w:t>- 12,3</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 Органы государственного управления</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39 143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55 628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10,7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43 955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9,7</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color w:val="000000" w:themeColor="text1"/>
                <w:sz w:val="16"/>
                <w:szCs w:val="16"/>
                <w:lang w:eastAsia="ru-RU"/>
              </w:rPr>
            </w:pPr>
            <w:r w:rsidRPr="007F352D">
              <w:rPr>
                <w:rFonts w:ascii="Times New Roman" w:eastAsia="Times New Roman" w:hAnsi="Times New Roman" w:cs="Times New Roman"/>
                <w:b/>
                <w:color w:val="000000" w:themeColor="text1"/>
                <w:sz w:val="16"/>
                <w:szCs w:val="16"/>
                <w:lang w:eastAsia="ru-RU"/>
              </w:rPr>
              <w:t>-11 673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i/>
                <w:color w:val="000000" w:themeColor="text1"/>
                <w:sz w:val="16"/>
                <w:szCs w:val="16"/>
                <w:lang w:eastAsia="ru-RU"/>
              </w:rPr>
            </w:pPr>
            <w:r w:rsidRPr="007F352D">
              <w:rPr>
                <w:rFonts w:ascii="Times New Roman" w:eastAsia="Times New Roman" w:hAnsi="Times New Roman" w:cs="Times New Roman"/>
                <w:b/>
                <w:i/>
                <w:color w:val="000000" w:themeColor="text1"/>
                <w:sz w:val="16"/>
                <w:szCs w:val="16"/>
                <w:lang w:eastAsia="ru-RU"/>
              </w:rPr>
              <w:t>- 21,0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noWrap/>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Федеральные органы управления</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38 931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55 410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43 801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9,6</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-11 609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- 21,0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Новый российский долг</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37 886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54 809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43 292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9,5</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Cs/>
                <w:i/>
                <w:color w:val="000000" w:themeColor="text1"/>
                <w:sz w:val="16"/>
                <w:szCs w:val="16"/>
                <w:lang w:eastAsia="ru-RU"/>
              </w:rPr>
            </w:pPr>
            <w:r w:rsidRPr="007F352D">
              <w:rPr>
                <w:rFonts w:ascii="Times New Roman" w:eastAsia="Times New Roman" w:hAnsi="Times New Roman" w:cs="Times New Roman"/>
                <w:bCs/>
                <w:i/>
                <w:color w:val="000000" w:themeColor="text1"/>
                <w:sz w:val="16"/>
                <w:szCs w:val="16"/>
                <w:lang w:eastAsia="ru-RU"/>
              </w:rPr>
              <w:t>-11 517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- 21,0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кредиты МФО</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858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713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539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-174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- 24,4</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МБРР</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671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575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447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- 22,3</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прочие</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187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138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92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0,02</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-46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- 33,3</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ценные бумаги в иностранной валюте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11 662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15 030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2,9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16 686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3,7</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1 656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11,0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ценные бумаги в российских рублях</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25 032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38 781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25 772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5,7</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-13 009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- 33,5</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прочая задолженность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334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285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294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3,2</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Долг бывшего СССР</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1 045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601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Cs/>
                <w:i/>
                <w:iCs/>
                <w:color w:val="000000" w:themeColor="text1"/>
                <w:sz w:val="16"/>
                <w:szCs w:val="16"/>
                <w:lang w:eastAsia="ru-RU"/>
              </w:rPr>
            </w:pPr>
            <w:r w:rsidRPr="007F352D">
              <w:rPr>
                <w:rFonts w:ascii="Times New Roman" w:eastAsia="Times New Roman" w:hAnsi="Times New Roman" w:cs="Times New Roman"/>
                <w:bCs/>
                <w:i/>
                <w:iCs/>
                <w:color w:val="000000" w:themeColor="text1"/>
                <w:sz w:val="16"/>
                <w:szCs w:val="16"/>
                <w:lang w:eastAsia="ru-RU"/>
              </w:rPr>
              <w:t>510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Cs/>
                <w:i/>
                <w:color w:val="000000" w:themeColor="text1"/>
                <w:sz w:val="16"/>
                <w:szCs w:val="16"/>
                <w:lang w:eastAsia="ru-RU"/>
              </w:rPr>
            </w:pPr>
            <w:r w:rsidRPr="007F352D">
              <w:rPr>
                <w:rFonts w:ascii="Times New Roman" w:eastAsia="Times New Roman" w:hAnsi="Times New Roman" w:cs="Times New Roman"/>
                <w:bCs/>
                <w:i/>
                <w:color w:val="000000" w:themeColor="text1"/>
                <w:sz w:val="16"/>
                <w:szCs w:val="16"/>
                <w:lang w:eastAsia="ru-RU"/>
              </w:rPr>
              <w:t>-91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- 15,1</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задолженность перед бывшими социалистическими странами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0,004</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задолженность перед прочими официальными кредиторами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629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559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489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- 12,5</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прочая задолженность</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- 100,0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Субъекты Российской Федерации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0,03</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-65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- 29,7</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ценные бумаги в российских рублях</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0,03</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-65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- 29,7</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2. Центральный банк</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12 077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14 480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2,8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11 880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2,6</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-2 600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i/>
                <w:color w:val="000000" w:themeColor="text1"/>
                <w:sz w:val="16"/>
                <w:szCs w:val="16"/>
                <w:lang w:eastAsia="ru-RU"/>
              </w:rPr>
            </w:pPr>
            <w:r w:rsidRPr="007F352D">
              <w:rPr>
                <w:rFonts w:ascii="Times New Roman" w:eastAsia="Times New Roman" w:hAnsi="Times New Roman" w:cs="Times New Roman"/>
                <w:b/>
                <w:i/>
                <w:color w:val="000000" w:themeColor="text1"/>
                <w:sz w:val="16"/>
                <w:szCs w:val="16"/>
                <w:lang w:eastAsia="ru-RU"/>
              </w:rPr>
              <w:t>- 18,0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 Банки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119 395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103 385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84 609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18,6</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-18 776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i/>
                <w:color w:val="000000" w:themeColor="text1"/>
                <w:sz w:val="16"/>
                <w:szCs w:val="16"/>
                <w:lang w:eastAsia="ru-RU"/>
              </w:rPr>
            </w:pPr>
            <w:r w:rsidRPr="007F352D">
              <w:rPr>
                <w:rFonts w:ascii="Times New Roman" w:eastAsia="Times New Roman" w:hAnsi="Times New Roman" w:cs="Times New Roman"/>
                <w:b/>
                <w:i/>
                <w:color w:val="000000" w:themeColor="text1"/>
                <w:sz w:val="16"/>
                <w:szCs w:val="16"/>
                <w:lang w:eastAsia="ru-RU"/>
              </w:rPr>
              <w:t>- 18,2</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4. Прочие секторы</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341 137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344 719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66,5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314 236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b/>
                <w:bCs/>
                <w:i/>
                <w:color w:val="000000" w:themeColor="text1"/>
                <w:sz w:val="16"/>
                <w:szCs w:val="16"/>
                <w:lang w:eastAsia="ru-RU"/>
              </w:rPr>
            </w:pPr>
            <w:r w:rsidRPr="007F352D">
              <w:rPr>
                <w:rFonts w:ascii="Times New Roman" w:eastAsia="Times New Roman" w:hAnsi="Times New Roman" w:cs="Times New Roman"/>
                <w:b/>
                <w:bCs/>
                <w:i/>
                <w:color w:val="000000" w:themeColor="text1"/>
                <w:sz w:val="16"/>
                <w:szCs w:val="16"/>
                <w:lang w:eastAsia="ru-RU"/>
              </w:rPr>
              <w:t>69,1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-30 483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b/>
                <w:i/>
                <w:color w:val="000000" w:themeColor="text1"/>
                <w:sz w:val="16"/>
                <w:szCs w:val="16"/>
                <w:lang w:eastAsia="ru-RU"/>
              </w:rPr>
            </w:pPr>
            <w:r w:rsidRPr="007F352D">
              <w:rPr>
                <w:rFonts w:ascii="Times New Roman" w:eastAsia="Times New Roman" w:hAnsi="Times New Roman" w:cs="Times New Roman"/>
                <w:b/>
                <w:i/>
                <w:color w:val="000000" w:themeColor="text1"/>
                <w:sz w:val="16"/>
                <w:szCs w:val="16"/>
                <w:lang w:eastAsia="ru-RU"/>
              </w:rPr>
              <w:t>- 8,8</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долговые обязательства перед прямыми инвесторами и предприятиями прямого инвестирования</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136 436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144 400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27,9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136 262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30,0</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-8 138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- 5,6</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кредиты и депозиты</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187 836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181 358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158 919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35,0</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-22 439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- 12,4</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долговые ценные бумаги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5 987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8 162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7 427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1,6</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-735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- 9,0</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 xml:space="preserve">торговые кредиты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2 981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3 073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3 063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0,7</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- 0,3</w:t>
            </w:r>
          </w:p>
        </w:tc>
      </w:tr>
      <w:tr w:rsidR="007F352D" w:rsidRPr="007F352D" w:rsidTr="00FB5109">
        <w:trPr>
          <w:trHeight w:val="30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задолженность по финансовому лизингу</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4 681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4 239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3 698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0,8</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-541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- 12,8</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tcPr>
          <w:p w:rsidR="00C977D3" w:rsidRPr="007F352D" w:rsidRDefault="00C977D3" w:rsidP="00FB5109">
            <w:pPr>
              <w:spacing w:after="0" w:line="240" w:lineRule="auto"/>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прочая задолженность</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3 217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3 487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0,7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4 868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1,1</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1 381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39,6</w:t>
            </w:r>
          </w:p>
        </w:tc>
      </w:tr>
      <w:tr w:rsidR="007F352D" w:rsidRPr="007F352D" w:rsidTr="00FB5109">
        <w:trPr>
          <w:trHeight w:val="60"/>
          <w:jc w:val="center"/>
        </w:trPr>
        <w:tc>
          <w:tcPr>
            <w:tcW w:w="2850"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 xml:space="preserve">Справочно: </w:t>
            </w:r>
          </w:p>
          <w:p w:rsidR="00C977D3" w:rsidRPr="007F352D" w:rsidRDefault="00C977D3" w:rsidP="00FB5109">
            <w:pPr>
              <w:spacing w:after="0" w:line="240" w:lineRule="auto"/>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Международные резервы Российской Федерации</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377 741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432 742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iCs/>
                <w:color w:val="000000" w:themeColor="text1"/>
                <w:sz w:val="16"/>
                <w:szCs w:val="16"/>
                <w:lang w:eastAsia="ru-RU"/>
              </w:rPr>
            </w:pPr>
            <w:r w:rsidRPr="007F352D">
              <w:rPr>
                <w:rFonts w:ascii="Times New Roman" w:eastAsia="Times New Roman" w:hAnsi="Times New Roman" w:cs="Times New Roman"/>
                <w:i/>
                <w:iCs/>
                <w:color w:val="000000" w:themeColor="text1"/>
                <w:sz w:val="16"/>
                <w:szCs w:val="16"/>
                <w:lang w:eastAsia="ru-RU"/>
              </w:rPr>
              <w:t>468 495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35 753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FB5109">
            <w:pPr>
              <w:spacing w:after="0" w:line="240" w:lineRule="auto"/>
              <w:jc w:val="center"/>
              <w:rPr>
                <w:rFonts w:ascii="Times New Roman" w:eastAsia="Times New Roman" w:hAnsi="Times New Roman" w:cs="Times New Roman"/>
                <w:i/>
                <w:color w:val="000000" w:themeColor="text1"/>
                <w:sz w:val="16"/>
                <w:szCs w:val="16"/>
                <w:lang w:eastAsia="ru-RU"/>
              </w:rPr>
            </w:pPr>
            <w:r w:rsidRPr="007F352D">
              <w:rPr>
                <w:rFonts w:ascii="Times New Roman" w:eastAsia="Times New Roman" w:hAnsi="Times New Roman" w:cs="Times New Roman"/>
                <w:i/>
                <w:color w:val="000000" w:themeColor="text1"/>
                <w:sz w:val="16"/>
                <w:szCs w:val="16"/>
                <w:lang w:eastAsia="ru-RU"/>
              </w:rPr>
              <w:t>8,3</w:t>
            </w:r>
          </w:p>
        </w:tc>
      </w:tr>
    </w:tbl>
    <w:p w:rsidR="00C977D3" w:rsidRPr="007F352D" w:rsidRDefault="00C977D3" w:rsidP="00C977D3">
      <w:pPr>
        <w:spacing w:before="120" w:after="120" w:line="240" w:lineRule="auto"/>
        <w:jc w:val="center"/>
        <w:rPr>
          <w:rFonts w:ascii="Times New Roman" w:eastAsia="Times New Roman" w:hAnsi="Times New Roman" w:cs="Times New Roman"/>
          <w:snapToGrid w:val="0"/>
          <w:color w:val="000000" w:themeColor="text1"/>
          <w:sz w:val="24"/>
          <w:szCs w:val="24"/>
          <w:lang w:eastAsia="ru-RU"/>
        </w:rPr>
      </w:pPr>
    </w:p>
    <w:p w:rsidR="00C977D3" w:rsidRPr="007F352D" w:rsidRDefault="00707FF7" w:rsidP="00C977D3">
      <w:pPr>
        <w:widowControl w:val="0"/>
        <w:spacing w:line="240" w:lineRule="auto"/>
        <w:jc w:val="right"/>
        <w:rPr>
          <w:rFonts w:ascii="Times New Roman" w:hAnsi="Times New Roman" w:cs="Times New Roman"/>
          <w:color w:val="000000" w:themeColor="text1"/>
          <w:sz w:val="24"/>
          <w:szCs w:val="24"/>
        </w:rPr>
      </w:pPr>
      <w:r w:rsidRPr="007F352D">
        <w:rPr>
          <w:rFonts w:ascii="Times New Roman" w:hAnsi="Times New Roman" w:cs="Times New Roman"/>
          <w:color w:val="000000" w:themeColor="text1"/>
          <w:sz w:val="24"/>
          <w:szCs w:val="24"/>
        </w:rPr>
        <w:t>Таблица</w:t>
      </w:r>
      <w:r w:rsidR="002121AF">
        <w:rPr>
          <w:rFonts w:ascii="Times New Roman" w:hAnsi="Times New Roman" w:cs="Times New Roman"/>
          <w:color w:val="000000" w:themeColor="text1"/>
          <w:sz w:val="24"/>
          <w:szCs w:val="24"/>
        </w:rPr>
        <w:t xml:space="preserve"> №</w:t>
      </w:r>
      <w:r w:rsidRPr="007F352D">
        <w:rPr>
          <w:rFonts w:ascii="Times New Roman" w:hAnsi="Times New Roman" w:cs="Times New Roman"/>
          <w:color w:val="000000" w:themeColor="text1"/>
          <w:sz w:val="24"/>
          <w:szCs w:val="24"/>
        </w:rPr>
        <w:t xml:space="preserve"> </w:t>
      </w:r>
      <w:r w:rsidR="00C977D3" w:rsidRPr="007F352D">
        <w:rPr>
          <w:rFonts w:ascii="Times New Roman" w:hAnsi="Times New Roman" w:cs="Times New Roman"/>
          <w:color w:val="000000" w:themeColor="text1"/>
          <w:sz w:val="24"/>
          <w:szCs w:val="24"/>
        </w:rPr>
        <w:t>1</w:t>
      </w:r>
      <w:r w:rsidR="004178E0">
        <w:rPr>
          <w:rFonts w:ascii="Times New Roman" w:hAnsi="Times New Roman" w:cs="Times New Roman"/>
          <w:color w:val="000000" w:themeColor="text1"/>
          <w:sz w:val="24"/>
          <w:szCs w:val="24"/>
        </w:rPr>
        <w:t>2</w:t>
      </w:r>
    </w:p>
    <w:p w:rsidR="00C977D3" w:rsidRPr="007F352D" w:rsidRDefault="00C977D3" w:rsidP="00C977D3">
      <w:pPr>
        <w:spacing w:before="120" w:after="120" w:line="240" w:lineRule="auto"/>
        <w:jc w:val="center"/>
        <w:rPr>
          <w:rFonts w:ascii="Times New Roman" w:eastAsia="Times New Roman" w:hAnsi="Times New Roman" w:cs="Times New Roman"/>
          <w:color w:val="000000" w:themeColor="text1"/>
          <w:sz w:val="24"/>
        </w:rPr>
      </w:pPr>
      <w:r w:rsidRPr="007F352D">
        <w:rPr>
          <w:rFonts w:ascii="Times New Roman" w:eastAsia="Times New Roman" w:hAnsi="Times New Roman" w:cs="Times New Roman"/>
          <w:color w:val="000000" w:themeColor="text1"/>
          <w:sz w:val="24"/>
        </w:rPr>
        <w:t>Объем совокупного внешнего долга Российской Федерации в сопоставлении с международными резервами в 20</w:t>
      </w:r>
      <w:r w:rsidR="004178E0">
        <w:rPr>
          <w:rFonts w:ascii="Times New Roman" w:eastAsia="Times New Roman" w:hAnsi="Times New Roman" w:cs="Times New Roman"/>
          <w:color w:val="000000" w:themeColor="text1"/>
          <w:sz w:val="24"/>
        </w:rPr>
        <w:t>15</w:t>
      </w:r>
      <w:r w:rsidRPr="007F352D">
        <w:rPr>
          <w:rFonts w:ascii="Times New Roman" w:eastAsia="Times New Roman" w:hAnsi="Times New Roman" w:cs="Times New Roman"/>
          <w:color w:val="000000" w:themeColor="text1"/>
          <w:sz w:val="24"/>
        </w:rPr>
        <w:t> – 2018 годах</w:t>
      </w:r>
    </w:p>
    <w:p w:rsidR="00C977D3" w:rsidRPr="007F352D" w:rsidRDefault="00E91AB0" w:rsidP="00582CF9">
      <w:pPr>
        <w:spacing w:after="0" w:line="240" w:lineRule="auto"/>
        <w:ind w:right="-425" w:firstLine="709"/>
        <w:jc w:val="right"/>
        <w:rPr>
          <w:rFonts w:ascii="Times New Roman" w:eastAsia="Times New Roman" w:hAnsi="Times New Roman" w:cs="Times New Roman"/>
          <w:color w:val="000000" w:themeColor="text1"/>
          <w:sz w:val="20"/>
          <w:szCs w:val="20"/>
        </w:rPr>
      </w:pPr>
      <w:r w:rsidRPr="007F352D">
        <w:rPr>
          <w:rFonts w:ascii="Times New Roman" w:eastAsia="Times New Roman" w:hAnsi="Times New Roman" w:cs="Times New Roman"/>
          <w:color w:val="000000" w:themeColor="text1"/>
          <w:sz w:val="20"/>
          <w:szCs w:val="20"/>
        </w:rPr>
        <w:t>(</w:t>
      </w:r>
      <w:r w:rsidR="00C977D3" w:rsidRPr="007F352D">
        <w:rPr>
          <w:rFonts w:ascii="Times New Roman" w:eastAsia="Times New Roman" w:hAnsi="Times New Roman" w:cs="Times New Roman"/>
          <w:color w:val="000000" w:themeColor="text1"/>
          <w:sz w:val="20"/>
          <w:szCs w:val="20"/>
        </w:rPr>
        <w:t>млрд. долларов США</w:t>
      </w:r>
      <w:r w:rsidRPr="007F352D">
        <w:rPr>
          <w:rFonts w:ascii="Times New Roman" w:eastAsia="Times New Roman" w:hAnsi="Times New Roman" w:cs="Times New Roman"/>
          <w:color w:val="000000" w:themeColor="text1"/>
          <w:sz w:val="20"/>
          <w:szCs w:val="20"/>
        </w:rPr>
        <w:t>)</w:t>
      </w:r>
    </w:p>
    <w:tbl>
      <w:tblPr>
        <w:tblW w:w="10338" w:type="dxa"/>
        <w:jc w:val="center"/>
        <w:tblLayout w:type="fixed"/>
        <w:tblLook w:val="04A0" w:firstRow="1" w:lastRow="0" w:firstColumn="1" w:lastColumn="0" w:noHBand="0" w:noVBand="1"/>
      </w:tblPr>
      <w:tblGrid>
        <w:gridCol w:w="959"/>
        <w:gridCol w:w="1426"/>
        <w:gridCol w:w="700"/>
        <w:gridCol w:w="1005"/>
        <w:gridCol w:w="850"/>
        <w:gridCol w:w="1547"/>
        <w:gridCol w:w="1276"/>
        <w:gridCol w:w="1149"/>
        <w:gridCol w:w="1426"/>
      </w:tblGrid>
      <w:tr w:rsidR="00C977D3" w:rsidRPr="007F352D" w:rsidTr="00632B98">
        <w:trPr>
          <w:trHeight w:val="510"/>
          <w:tblHeader/>
          <w:jc w:val="center"/>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Дата</w:t>
            </w:r>
          </w:p>
        </w:tc>
        <w:tc>
          <w:tcPr>
            <w:tcW w:w="1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Международные резервы Российской Федерации</w:t>
            </w:r>
          </w:p>
        </w:tc>
        <w:tc>
          <w:tcPr>
            <w:tcW w:w="2555" w:type="dxa"/>
            <w:gridSpan w:val="3"/>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в том числе фонды</w:t>
            </w:r>
          </w:p>
        </w:tc>
        <w:tc>
          <w:tcPr>
            <w:tcW w:w="1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Международные  резервы Российской Федерации без учета фондов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 xml:space="preserve">Совокупный внешний долг Российской Федерации </w:t>
            </w:r>
          </w:p>
        </w:tc>
        <w:tc>
          <w:tcPr>
            <w:tcW w:w="25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 xml:space="preserve">Отношение совокупного внешнего долга Российской Федерации (%) </w:t>
            </w:r>
            <w:proofErr w:type="gramStart"/>
            <w:r w:rsidRPr="007F352D">
              <w:rPr>
                <w:rFonts w:ascii="Times New Roman" w:eastAsia="Times New Roman" w:hAnsi="Times New Roman" w:cs="Times New Roman"/>
                <w:b/>
                <w:bCs/>
                <w:color w:val="000000" w:themeColor="text1"/>
                <w:sz w:val="16"/>
                <w:szCs w:val="16"/>
                <w:lang w:eastAsia="ru-RU"/>
              </w:rPr>
              <w:t>к</w:t>
            </w:r>
            <w:proofErr w:type="gramEnd"/>
            <w:r w:rsidRPr="007F352D">
              <w:rPr>
                <w:rFonts w:ascii="Times New Roman" w:eastAsia="Times New Roman" w:hAnsi="Times New Roman" w:cs="Times New Roman"/>
                <w:b/>
                <w:bCs/>
                <w:color w:val="000000" w:themeColor="text1"/>
                <w:sz w:val="16"/>
                <w:szCs w:val="16"/>
                <w:lang w:eastAsia="ru-RU"/>
              </w:rPr>
              <w:t xml:space="preserve">: </w:t>
            </w:r>
          </w:p>
        </w:tc>
      </w:tr>
      <w:tr w:rsidR="00C977D3" w:rsidRPr="007F352D" w:rsidTr="00632B98">
        <w:trPr>
          <w:trHeight w:val="300"/>
          <w:tblHeader/>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700" w:type="dxa"/>
            <w:vMerge w:val="restart"/>
            <w:tcBorders>
              <w:top w:val="nil"/>
              <w:left w:val="single" w:sz="4" w:space="0" w:color="auto"/>
              <w:bottom w:val="single" w:sz="4" w:space="0" w:color="000000"/>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proofErr w:type="spellStart"/>
            <w:r w:rsidRPr="007F352D">
              <w:rPr>
                <w:rFonts w:ascii="Times New Roman" w:eastAsia="Times New Roman" w:hAnsi="Times New Roman" w:cs="Times New Roman"/>
                <w:b/>
                <w:bCs/>
                <w:color w:val="000000" w:themeColor="text1"/>
                <w:sz w:val="16"/>
                <w:szCs w:val="16"/>
                <w:lang w:eastAsia="ru-RU"/>
              </w:rPr>
              <w:t>Стаб</w:t>
            </w:r>
            <w:proofErr w:type="gramStart"/>
            <w:r w:rsidRPr="007F352D">
              <w:rPr>
                <w:rFonts w:ascii="Times New Roman" w:eastAsia="Times New Roman" w:hAnsi="Times New Roman" w:cs="Times New Roman"/>
                <w:b/>
                <w:bCs/>
                <w:color w:val="000000" w:themeColor="text1"/>
                <w:sz w:val="16"/>
                <w:szCs w:val="16"/>
                <w:lang w:eastAsia="ru-RU"/>
              </w:rPr>
              <w:t>.ф</w:t>
            </w:r>
            <w:proofErr w:type="gramEnd"/>
            <w:r w:rsidRPr="007F352D">
              <w:rPr>
                <w:rFonts w:ascii="Times New Roman" w:eastAsia="Times New Roman" w:hAnsi="Times New Roman" w:cs="Times New Roman"/>
                <w:b/>
                <w:bCs/>
                <w:color w:val="000000" w:themeColor="text1"/>
                <w:sz w:val="16"/>
                <w:szCs w:val="16"/>
                <w:lang w:eastAsia="ru-RU"/>
              </w:rPr>
              <w:t>онд</w:t>
            </w:r>
            <w:proofErr w:type="spellEnd"/>
          </w:p>
        </w:tc>
        <w:tc>
          <w:tcPr>
            <w:tcW w:w="1005" w:type="dxa"/>
            <w:vMerge w:val="restart"/>
            <w:tcBorders>
              <w:top w:val="nil"/>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Резервный фонд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ФНБ</w:t>
            </w:r>
          </w:p>
        </w:tc>
        <w:tc>
          <w:tcPr>
            <w:tcW w:w="1547"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2575" w:type="dxa"/>
            <w:gridSpan w:val="2"/>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r>
      <w:tr w:rsidR="00C977D3" w:rsidRPr="007F352D" w:rsidTr="00632B98">
        <w:trPr>
          <w:trHeight w:val="630"/>
          <w:tblHeader/>
          <w:jc w:val="center"/>
        </w:trPr>
        <w:tc>
          <w:tcPr>
            <w:tcW w:w="959"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700" w:type="dxa"/>
            <w:vMerge/>
            <w:tcBorders>
              <w:top w:val="nil"/>
              <w:left w:val="single" w:sz="4" w:space="0" w:color="auto"/>
              <w:bottom w:val="single" w:sz="4" w:space="0" w:color="000000"/>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005" w:type="dxa"/>
            <w:vMerge/>
            <w:tcBorders>
              <w:top w:val="nil"/>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547"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977D3" w:rsidRPr="007F352D" w:rsidRDefault="00C977D3" w:rsidP="00632B98">
            <w:pPr>
              <w:spacing w:after="0" w:line="240" w:lineRule="auto"/>
              <w:rPr>
                <w:rFonts w:ascii="Times New Roman" w:eastAsia="Times New Roman" w:hAnsi="Times New Roman" w:cs="Times New Roman"/>
                <w:b/>
                <w:bCs/>
                <w:color w:val="000000" w:themeColor="text1"/>
                <w:sz w:val="16"/>
                <w:szCs w:val="16"/>
                <w:lang w:eastAsia="ru-RU"/>
              </w:rPr>
            </w:pPr>
          </w:p>
        </w:tc>
        <w:tc>
          <w:tcPr>
            <w:tcW w:w="1149"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proofErr w:type="spellStart"/>
            <w:proofErr w:type="gramStart"/>
            <w:r w:rsidRPr="007F352D">
              <w:rPr>
                <w:rFonts w:ascii="Times New Roman" w:eastAsia="Times New Roman" w:hAnsi="Times New Roman" w:cs="Times New Roman"/>
                <w:b/>
                <w:bCs/>
                <w:color w:val="000000" w:themeColor="text1"/>
                <w:sz w:val="16"/>
                <w:szCs w:val="16"/>
                <w:lang w:eastAsia="ru-RU"/>
              </w:rPr>
              <w:t>международ-ным</w:t>
            </w:r>
            <w:proofErr w:type="spellEnd"/>
            <w:proofErr w:type="gramEnd"/>
            <w:r w:rsidRPr="007F352D">
              <w:rPr>
                <w:rFonts w:ascii="Times New Roman" w:eastAsia="Times New Roman" w:hAnsi="Times New Roman" w:cs="Times New Roman"/>
                <w:b/>
                <w:bCs/>
                <w:color w:val="000000" w:themeColor="text1"/>
                <w:sz w:val="16"/>
                <w:szCs w:val="16"/>
                <w:lang w:eastAsia="ru-RU"/>
              </w:rPr>
              <w:t xml:space="preserve"> резервам</w:t>
            </w:r>
          </w:p>
        </w:tc>
        <w:tc>
          <w:tcPr>
            <w:tcW w:w="1426"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b/>
                <w:bCs/>
                <w:color w:val="000000" w:themeColor="text1"/>
                <w:sz w:val="16"/>
                <w:szCs w:val="16"/>
                <w:lang w:eastAsia="ru-RU"/>
              </w:rPr>
            </w:pPr>
            <w:r w:rsidRPr="007F352D">
              <w:rPr>
                <w:rFonts w:ascii="Times New Roman" w:eastAsia="Times New Roman" w:hAnsi="Times New Roman" w:cs="Times New Roman"/>
                <w:b/>
                <w:bCs/>
                <w:color w:val="000000" w:themeColor="text1"/>
                <w:sz w:val="16"/>
                <w:szCs w:val="16"/>
                <w:lang w:eastAsia="ru-RU"/>
              </w:rPr>
              <w:t>международным  резервам без учета фондов</w:t>
            </w:r>
          </w:p>
        </w:tc>
      </w:tr>
      <w:tr w:rsidR="00C977D3" w:rsidRPr="007F352D" w:rsidTr="00632B98">
        <w:trPr>
          <w:trHeight w:val="300"/>
          <w:jc w:val="center"/>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01.01.2015</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385,46</w:t>
            </w:r>
          </w:p>
        </w:tc>
        <w:tc>
          <w:tcPr>
            <w:tcW w:w="70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rPr>
                <w:rFonts w:ascii="Times New Roman" w:eastAsia="Times New Roman" w:hAnsi="Times New Roman" w:cs="Times New Roman"/>
                <w:color w:val="000000" w:themeColor="text1"/>
                <w:lang w:eastAsia="ru-RU"/>
              </w:rPr>
            </w:pPr>
            <w:r w:rsidRPr="007F352D">
              <w:rPr>
                <w:rFonts w:ascii="Times New Roman" w:eastAsia="Times New Roman" w:hAnsi="Times New Roman" w:cs="Times New Roman"/>
                <w:color w:val="000000" w:themeColor="text1"/>
                <w:lang w:eastAsia="ru-RU"/>
              </w:rPr>
              <w:t> </w:t>
            </w:r>
          </w:p>
        </w:tc>
        <w:tc>
          <w:tcPr>
            <w:tcW w:w="1005"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87,91</w:t>
            </w:r>
          </w:p>
        </w:tc>
        <w:tc>
          <w:tcPr>
            <w:tcW w:w="85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78,00</w:t>
            </w:r>
          </w:p>
        </w:tc>
        <w:tc>
          <w:tcPr>
            <w:tcW w:w="1547"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219,55</w:t>
            </w:r>
          </w:p>
        </w:tc>
        <w:tc>
          <w:tcPr>
            <w:tcW w:w="127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599,9</w:t>
            </w:r>
          </w:p>
        </w:tc>
        <w:tc>
          <w:tcPr>
            <w:tcW w:w="1149"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155,6</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273,2</w:t>
            </w:r>
          </w:p>
        </w:tc>
      </w:tr>
      <w:tr w:rsidR="00C977D3" w:rsidRPr="007F352D" w:rsidTr="00632B98">
        <w:trPr>
          <w:trHeight w:val="300"/>
          <w:jc w:val="center"/>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01.01.2016</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368,4</w:t>
            </w:r>
          </w:p>
        </w:tc>
        <w:tc>
          <w:tcPr>
            <w:tcW w:w="70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rPr>
                <w:rFonts w:ascii="Times New Roman" w:eastAsia="Times New Roman" w:hAnsi="Times New Roman" w:cs="Times New Roman"/>
                <w:color w:val="000000" w:themeColor="text1"/>
                <w:lang w:eastAsia="ru-RU"/>
              </w:rPr>
            </w:pPr>
            <w:r w:rsidRPr="007F352D">
              <w:rPr>
                <w:rFonts w:ascii="Times New Roman" w:eastAsia="Times New Roman" w:hAnsi="Times New Roman" w:cs="Times New Roman"/>
                <w:color w:val="000000" w:themeColor="text1"/>
                <w:lang w:eastAsia="ru-RU"/>
              </w:rPr>
              <w:t> </w:t>
            </w:r>
          </w:p>
        </w:tc>
        <w:tc>
          <w:tcPr>
            <w:tcW w:w="1005"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49,95</w:t>
            </w:r>
          </w:p>
        </w:tc>
        <w:tc>
          <w:tcPr>
            <w:tcW w:w="85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71,72</w:t>
            </w:r>
          </w:p>
        </w:tc>
        <w:tc>
          <w:tcPr>
            <w:tcW w:w="1547"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246,73</w:t>
            </w:r>
          </w:p>
        </w:tc>
        <w:tc>
          <w:tcPr>
            <w:tcW w:w="127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518,48</w:t>
            </w:r>
          </w:p>
        </w:tc>
        <w:tc>
          <w:tcPr>
            <w:tcW w:w="1149"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140,7</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210,1</w:t>
            </w:r>
          </w:p>
        </w:tc>
      </w:tr>
      <w:tr w:rsidR="00C977D3" w:rsidRPr="007F352D" w:rsidTr="00632B98">
        <w:trPr>
          <w:trHeight w:val="300"/>
          <w:jc w:val="center"/>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01.01.2017</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377,74</w:t>
            </w:r>
          </w:p>
        </w:tc>
        <w:tc>
          <w:tcPr>
            <w:tcW w:w="70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rPr>
                <w:rFonts w:ascii="Times New Roman" w:eastAsia="Times New Roman" w:hAnsi="Times New Roman" w:cs="Times New Roman"/>
                <w:color w:val="000000" w:themeColor="text1"/>
                <w:lang w:eastAsia="ru-RU"/>
              </w:rPr>
            </w:pPr>
            <w:r w:rsidRPr="007F352D">
              <w:rPr>
                <w:rFonts w:ascii="Times New Roman" w:eastAsia="Times New Roman" w:hAnsi="Times New Roman" w:cs="Times New Roman"/>
                <w:color w:val="000000" w:themeColor="text1"/>
                <w:lang w:eastAsia="ru-RU"/>
              </w:rPr>
              <w:t> </w:t>
            </w:r>
          </w:p>
        </w:tc>
        <w:tc>
          <w:tcPr>
            <w:tcW w:w="1005"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16,03</w:t>
            </w:r>
          </w:p>
        </w:tc>
        <w:tc>
          <w:tcPr>
            <w:tcW w:w="850"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71,87</w:t>
            </w:r>
          </w:p>
        </w:tc>
        <w:tc>
          <w:tcPr>
            <w:tcW w:w="1547" w:type="dxa"/>
            <w:tcBorders>
              <w:top w:val="nil"/>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289,84</w:t>
            </w:r>
          </w:p>
        </w:tc>
        <w:tc>
          <w:tcPr>
            <w:tcW w:w="127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511,75</w:t>
            </w:r>
          </w:p>
        </w:tc>
        <w:tc>
          <w:tcPr>
            <w:tcW w:w="1149"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135,5</w:t>
            </w:r>
          </w:p>
        </w:tc>
        <w:tc>
          <w:tcPr>
            <w:tcW w:w="1426" w:type="dxa"/>
            <w:tcBorders>
              <w:top w:val="nil"/>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bCs/>
                <w:color w:val="000000" w:themeColor="text1"/>
                <w:sz w:val="16"/>
                <w:szCs w:val="16"/>
                <w:lang w:eastAsia="ru-RU"/>
              </w:rPr>
              <w:t>176,6</w:t>
            </w:r>
          </w:p>
        </w:tc>
      </w:tr>
      <w:tr w:rsidR="00C977D3" w:rsidRPr="007F352D" w:rsidTr="00632B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01.01.2018</w:t>
            </w:r>
          </w:p>
        </w:tc>
        <w:tc>
          <w:tcPr>
            <w:tcW w:w="142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432,74</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C977D3" w:rsidRPr="007F352D" w:rsidRDefault="00C977D3" w:rsidP="00632B98">
            <w:pPr>
              <w:spacing w:after="0" w:line="240" w:lineRule="auto"/>
              <w:rPr>
                <w:rFonts w:ascii="Times New Roman" w:eastAsia="Times New Roman" w:hAnsi="Times New Roman" w:cs="Times New Roman"/>
                <w:color w:val="000000" w:themeColor="text1"/>
                <w:lang w:eastAsia="ru-RU"/>
              </w:rPr>
            </w:pPr>
            <w:r w:rsidRPr="007F352D">
              <w:rPr>
                <w:rFonts w:ascii="Times New Roman" w:eastAsia="Times New Roman" w:hAnsi="Times New Roman" w:cs="Times New Roman"/>
                <w:color w:val="000000" w:themeColor="text1"/>
                <w:lang w:eastAsia="ru-RU"/>
              </w:rPr>
              <w:t> </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65,15</w:t>
            </w:r>
          </w:p>
        </w:tc>
        <w:tc>
          <w:tcPr>
            <w:tcW w:w="1547" w:type="dxa"/>
            <w:tcBorders>
              <w:top w:val="single" w:sz="4" w:space="0" w:color="auto"/>
              <w:left w:val="nil"/>
              <w:bottom w:val="single" w:sz="4" w:space="0" w:color="auto"/>
              <w:right w:val="single" w:sz="4" w:space="0" w:color="auto"/>
            </w:tcBorders>
            <w:shd w:val="clear" w:color="auto" w:fill="auto"/>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367,59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518,21</w:t>
            </w:r>
          </w:p>
        </w:tc>
        <w:tc>
          <w:tcPr>
            <w:tcW w:w="1149"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119,8</w:t>
            </w:r>
          </w:p>
        </w:tc>
        <w:tc>
          <w:tcPr>
            <w:tcW w:w="1426" w:type="dxa"/>
            <w:tcBorders>
              <w:top w:val="single" w:sz="4" w:space="0" w:color="auto"/>
              <w:left w:val="nil"/>
              <w:bottom w:val="single" w:sz="4" w:space="0" w:color="auto"/>
              <w:right w:val="single" w:sz="4" w:space="0" w:color="auto"/>
            </w:tcBorders>
            <w:shd w:val="clear" w:color="auto" w:fill="auto"/>
            <w:noWrap/>
            <w:vAlign w:val="center"/>
            <w:hideMark/>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141,0</w:t>
            </w:r>
          </w:p>
        </w:tc>
      </w:tr>
      <w:tr w:rsidR="00C977D3" w:rsidRPr="007F352D" w:rsidTr="00632B98">
        <w:trPr>
          <w:trHeight w:val="300"/>
          <w:jc w:val="cent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01.01.2019</w:t>
            </w:r>
          </w:p>
        </w:tc>
        <w:tc>
          <w:tcPr>
            <w:tcW w:w="1426"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468,49</w:t>
            </w:r>
          </w:p>
        </w:tc>
        <w:tc>
          <w:tcPr>
            <w:tcW w:w="700" w:type="dxa"/>
            <w:tcBorders>
              <w:top w:val="single" w:sz="4" w:space="0" w:color="auto"/>
              <w:left w:val="nil"/>
              <w:bottom w:val="single" w:sz="4" w:space="0" w:color="auto"/>
              <w:right w:val="single" w:sz="4" w:space="0" w:color="auto"/>
            </w:tcBorders>
            <w:shd w:val="clear" w:color="auto" w:fill="auto"/>
            <w:noWrap/>
            <w:vAlign w:val="bottom"/>
          </w:tcPr>
          <w:p w:rsidR="00C977D3" w:rsidRPr="007F352D" w:rsidRDefault="00C977D3" w:rsidP="00632B98">
            <w:pPr>
              <w:spacing w:after="0" w:line="240" w:lineRule="auto"/>
              <w:rPr>
                <w:rFonts w:ascii="Times New Roman" w:eastAsia="Times New Roman" w:hAnsi="Times New Roman" w:cs="Times New Roman"/>
                <w:color w:val="000000" w:themeColor="text1"/>
                <w:lang w:eastAsia="ru-RU"/>
              </w:rPr>
            </w:pPr>
          </w:p>
        </w:tc>
        <w:tc>
          <w:tcPr>
            <w:tcW w:w="1005"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58,10</w:t>
            </w:r>
          </w:p>
        </w:tc>
        <w:tc>
          <w:tcPr>
            <w:tcW w:w="1547" w:type="dxa"/>
            <w:tcBorders>
              <w:top w:val="single" w:sz="4" w:space="0" w:color="auto"/>
              <w:left w:val="nil"/>
              <w:bottom w:val="single" w:sz="4" w:space="0" w:color="auto"/>
              <w:right w:val="single" w:sz="4" w:space="0" w:color="auto"/>
            </w:tcBorders>
            <w:shd w:val="clear" w:color="auto" w:fill="auto"/>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410,39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454,68</w:t>
            </w:r>
          </w:p>
        </w:tc>
        <w:tc>
          <w:tcPr>
            <w:tcW w:w="1149"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97,1</w:t>
            </w:r>
          </w:p>
        </w:tc>
        <w:tc>
          <w:tcPr>
            <w:tcW w:w="1426" w:type="dxa"/>
            <w:tcBorders>
              <w:top w:val="single" w:sz="4" w:space="0" w:color="auto"/>
              <w:left w:val="nil"/>
              <w:bottom w:val="single" w:sz="4" w:space="0" w:color="auto"/>
              <w:right w:val="single" w:sz="4" w:space="0" w:color="auto"/>
            </w:tcBorders>
            <w:shd w:val="clear" w:color="auto" w:fill="auto"/>
            <w:noWrap/>
            <w:vAlign w:val="center"/>
          </w:tcPr>
          <w:p w:rsidR="00C977D3" w:rsidRPr="007F352D" w:rsidRDefault="00C977D3" w:rsidP="00632B98">
            <w:pPr>
              <w:spacing w:after="0" w:line="240" w:lineRule="auto"/>
              <w:jc w:val="center"/>
              <w:rPr>
                <w:rFonts w:ascii="Times New Roman" w:eastAsia="Times New Roman" w:hAnsi="Times New Roman" w:cs="Times New Roman"/>
                <w:color w:val="000000" w:themeColor="text1"/>
                <w:sz w:val="16"/>
                <w:szCs w:val="16"/>
                <w:lang w:eastAsia="ru-RU"/>
              </w:rPr>
            </w:pPr>
            <w:r w:rsidRPr="007F352D">
              <w:rPr>
                <w:rFonts w:ascii="Times New Roman" w:eastAsia="Times New Roman" w:hAnsi="Times New Roman" w:cs="Times New Roman"/>
                <w:color w:val="000000" w:themeColor="text1"/>
                <w:sz w:val="16"/>
                <w:szCs w:val="16"/>
                <w:lang w:eastAsia="ru-RU"/>
              </w:rPr>
              <w:t>110,8</w:t>
            </w:r>
          </w:p>
        </w:tc>
      </w:tr>
    </w:tbl>
    <w:p w:rsidR="00C977D3" w:rsidRPr="007F352D" w:rsidRDefault="00C977D3" w:rsidP="004178E0">
      <w:pPr>
        <w:spacing w:before="120" w:after="120" w:line="240" w:lineRule="auto"/>
        <w:rPr>
          <w:rFonts w:ascii="Times New Roman" w:eastAsia="Times New Roman" w:hAnsi="Times New Roman" w:cs="Times New Roman"/>
          <w:snapToGrid w:val="0"/>
          <w:color w:val="000000" w:themeColor="text1"/>
          <w:sz w:val="24"/>
          <w:szCs w:val="24"/>
          <w:lang w:eastAsia="ru-RU"/>
        </w:rPr>
      </w:pPr>
    </w:p>
    <w:sectPr w:rsidR="00C977D3" w:rsidRPr="007F352D" w:rsidSect="00ED3D67">
      <w:headerReference w:type="default" r:id="rId11"/>
      <w:pgSz w:w="11906" w:h="16838"/>
      <w:pgMar w:top="1134" w:right="1133"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DDE" w:rsidRDefault="001E1DDE" w:rsidP="00E659D0">
      <w:pPr>
        <w:spacing w:after="0" w:line="240" w:lineRule="auto"/>
      </w:pPr>
      <w:r>
        <w:separator/>
      </w:r>
    </w:p>
  </w:endnote>
  <w:endnote w:type="continuationSeparator" w:id="0">
    <w:p w:rsidR="001E1DDE" w:rsidRDefault="001E1DDE"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DDE" w:rsidRDefault="001E1DDE" w:rsidP="00E659D0">
      <w:pPr>
        <w:spacing w:after="0" w:line="240" w:lineRule="auto"/>
      </w:pPr>
      <w:r>
        <w:separator/>
      </w:r>
    </w:p>
  </w:footnote>
  <w:footnote w:type="continuationSeparator" w:id="0">
    <w:p w:rsidR="001E1DDE" w:rsidRDefault="001E1DDE" w:rsidP="00E659D0">
      <w:pPr>
        <w:spacing w:after="0" w:line="240" w:lineRule="auto"/>
      </w:pPr>
      <w:r>
        <w:continuationSeparator/>
      </w:r>
    </w:p>
  </w:footnote>
  <w:footnote w:id="1">
    <w:p w:rsidR="001D4951" w:rsidRPr="007920F5" w:rsidRDefault="001D4951" w:rsidP="001D4951">
      <w:pPr>
        <w:widowControl w:val="0"/>
        <w:shd w:val="clear" w:color="auto" w:fill="FFFFFF" w:themeFill="background1"/>
        <w:overflowPunct w:val="0"/>
        <w:autoSpaceDE w:val="0"/>
        <w:autoSpaceDN w:val="0"/>
        <w:adjustRightInd w:val="0"/>
        <w:spacing w:after="0" w:line="240" w:lineRule="auto"/>
        <w:contextualSpacing/>
        <w:jc w:val="both"/>
        <w:textAlignment w:val="baseline"/>
        <w:rPr>
          <w:sz w:val="16"/>
          <w:szCs w:val="16"/>
        </w:rPr>
      </w:pPr>
      <w:r w:rsidRPr="000C7BAA">
        <w:rPr>
          <w:rStyle w:val="a4"/>
          <w:sz w:val="16"/>
          <w:szCs w:val="16"/>
        </w:rPr>
        <w:footnoteRef/>
      </w:r>
      <w:r w:rsidRPr="000C7BAA">
        <w:rPr>
          <w:sz w:val="16"/>
          <w:szCs w:val="16"/>
        </w:rPr>
        <w:t xml:space="preserve"> </w:t>
      </w:r>
      <w:r w:rsidRPr="000C7BAA">
        <w:rPr>
          <w:rFonts w:ascii="Times New Roman" w:eastAsia="Times New Roman" w:hAnsi="Times New Roman" w:cs="Times New Roman"/>
          <w:sz w:val="16"/>
          <w:szCs w:val="16"/>
          <w:lang w:eastAsia="ru-RU"/>
        </w:rPr>
        <w:t>В соответствии со статьей 98</w:t>
      </w:r>
      <w:r w:rsidRPr="000C7BAA">
        <w:rPr>
          <w:rFonts w:ascii="Times New Roman" w:eastAsia="Times New Roman" w:hAnsi="Times New Roman" w:cs="Times New Roman"/>
          <w:sz w:val="16"/>
          <w:szCs w:val="16"/>
          <w:vertAlign w:val="superscript"/>
          <w:lang w:eastAsia="ru-RU"/>
        </w:rPr>
        <w:t>1</w:t>
      </w:r>
      <w:r w:rsidRPr="000C7BAA">
        <w:rPr>
          <w:rFonts w:ascii="Times New Roman" w:eastAsia="Times New Roman" w:hAnsi="Times New Roman" w:cs="Times New Roman"/>
          <w:sz w:val="16"/>
          <w:szCs w:val="16"/>
          <w:lang w:eastAsia="ru-RU"/>
        </w:rPr>
        <w:t xml:space="preserve"> Бюджетного кодекса Российской Федерации в случае, если истек срок государственной гарантии Российской Федерации, а также в случае исполнения в полном объеме принципалом своих обязательств </w:t>
      </w:r>
      <w:r w:rsidRPr="000C7BAA">
        <w:rPr>
          <w:rFonts w:ascii="Times New Roman" w:eastAsia="Times New Roman" w:hAnsi="Times New Roman" w:cs="Times New Roman"/>
          <w:b/>
          <w:sz w:val="16"/>
          <w:szCs w:val="16"/>
          <w:lang w:eastAsia="ru-RU"/>
        </w:rPr>
        <w:t>долговое обязательство считается полностью прекращенным и списывается</w:t>
      </w:r>
      <w:r w:rsidRPr="000C7BAA">
        <w:rPr>
          <w:rFonts w:ascii="Times New Roman" w:eastAsia="Times New Roman" w:hAnsi="Times New Roman" w:cs="Times New Roman"/>
          <w:sz w:val="16"/>
          <w:szCs w:val="16"/>
          <w:lang w:eastAsia="ru-RU"/>
        </w:rPr>
        <w:t xml:space="preserve"> с государственного внутреннего долга Российской Федерации. </w:t>
      </w:r>
      <w:proofErr w:type="gramStart"/>
      <w:r w:rsidRPr="000C7BAA">
        <w:rPr>
          <w:rFonts w:ascii="Times New Roman" w:eastAsia="Times New Roman" w:hAnsi="Times New Roman" w:cs="Times New Roman"/>
          <w:sz w:val="16"/>
          <w:szCs w:val="16"/>
          <w:lang w:eastAsia="ru-RU"/>
        </w:rPr>
        <w:t>При этом Минфином России издается акт о списании с государственного внутреннего долга Российской Федерации долговых обязательств, выраженных в валюте Российской Федерации, в соответствии с которым осуществляется уменьшение объема государственного</w:t>
      </w:r>
      <w:r w:rsidRPr="007920F5">
        <w:rPr>
          <w:rFonts w:ascii="Times New Roman" w:eastAsia="Times New Roman" w:hAnsi="Times New Roman" w:cs="Times New Roman"/>
          <w:sz w:val="16"/>
          <w:szCs w:val="16"/>
          <w:lang w:eastAsia="ru-RU"/>
        </w:rPr>
        <w:t xml:space="preserve"> внутреннего долга по видам списываемых государственных долговых обязательств на сумму их списания, но без отражения соответствующих сумм списания (уменьшения) в источниках финансирования дефицита федерального бюджета.</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893128"/>
      <w:docPartObj>
        <w:docPartGallery w:val="Page Numbers (Top of Page)"/>
        <w:docPartUnique/>
      </w:docPartObj>
    </w:sdtPr>
    <w:sdtEndPr>
      <w:rPr>
        <w:rFonts w:ascii="Times New Roman" w:hAnsi="Times New Roman" w:cs="Times New Roman"/>
        <w:sz w:val="24"/>
        <w:szCs w:val="24"/>
      </w:rPr>
    </w:sdtEndPr>
    <w:sdtContent>
      <w:p w:rsidR="00632B98" w:rsidRPr="009D3F50" w:rsidRDefault="00632B98">
        <w:pPr>
          <w:pStyle w:val="a7"/>
          <w:jc w:val="center"/>
          <w:rPr>
            <w:rFonts w:ascii="Times New Roman" w:hAnsi="Times New Roman" w:cs="Times New Roman"/>
            <w:sz w:val="24"/>
            <w:szCs w:val="24"/>
          </w:rPr>
        </w:pPr>
        <w:r w:rsidRPr="009D3F50">
          <w:rPr>
            <w:rFonts w:ascii="Times New Roman" w:hAnsi="Times New Roman" w:cs="Times New Roman"/>
            <w:sz w:val="24"/>
            <w:szCs w:val="24"/>
          </w:rPr>
          <w:fldChar w:fldCharType="begin"/>
        </w:r>
        <w:r w:rsidRPr="009D3F50">
          <w:rPr>
            <w:rFonts w:ascii="Times New Roman" w:hAnsi="Times New Roman" w:cs="Times New Roman"/>
            <w:sz w:val="24"/>
            <w:szCs w:val="24"/>
          </w:rPr>
          <w:instrText>PAGE   \* MERGEFORMAT</w:instrText>
        </w:r>
        <w:r w:rsidRPr="009D3F50">
          <w:rPr>
            <w:rFonts w:ascii="Times New Roman" w:hAnsi="Times New Roman" w:cs="Times New Roman"/>
            <w:sz w:val="24"/>
            <w:szCs w:val="24"/>
          </w:rPr>
          <w:fldChar w:fldCharType="separate"/>
        </w:r>
        <w:r w:rsidR="009D3F50">
          <w:rPr>
            <w:rFonts w:ascii="Times New Roman" w:hAnsi="Times New Roman" w:cs="Times New Roman"/>
            <w:noProof/>
            <w:sz w:val="24"/>
            <w:szCs w:val="24"/>
          </w:rPr>
          <w:t>3</w:t>
        </w:r>
        <w:r w:rsidRPr="009D3F5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11FB8"/>
    <w:rsid w:val="000127E5"/>
    <w:rsid w:val="00026751"/>
    <w:rsid w:val="00031A24"/>
    <w:rsid w:val="0003492E"/>
    <w:rsid w:val="000E3394"/>
    <w:rsid w:val="00105A21"/>
    <w:rsid w:val="00111898"/>
    <w:rsid w:val="00114C60"/>
    <w:rsid w:val="00132F9D"/>
    <w:rsid w:val="00143D22"/>
    <w:rsid w:val="00155974"/>
    <w:rsid w:val="00162C13"/>
    <w:rsid w:val="0017290F"/>
    <w:rsid w:val="001B4EED"/>
    <w:rsid w:val="001B6F01"/>
    <w:rsid w:val="001D4951"/>
    <w:rsid w:val="001E1377"/>
    <w:rsid w:val="001E1DDE"/>
    <w:rsid w:val="001F4104"/>
    <w:rsid w:val="001F4164"/>
    <w:rsid w:val="00200CFE"/>
    <w:rsid w:val="002045F7"/>
    <w:rsid w:val="002121AF"/>
    <w:rsid w:val="00240765"/>
    <w:rsid w:val="00244A17"/>
    <w:rsid w:val="00247E45"/>
    <w:rsid w:val="00252AA6"/>
    <w:rsid w:val="002B072C"/>
    <w:rsid w:val="00306DDF"/>
    <w:rsid w:val="0031585D"/>
    <w:rsid w:val="00320C07"/>
    <w:rsid w:val="0032586B"/>
    <w:rsid w:val="0035262F"/>
    <w:rsid w:val="003955BF"/>
    <w:rsid w:val="003C2A27"/>
    <w:rsid w:val="003E5016"/>
    <w:rsid w:val="003F7652"/>
    <w:rsid w:val="00406CAE"/>
    <w:rsid w:val="00407246"/>
    <w:rsid w:val="00407EC0"/>
    <w:rsid w:val="004178E0"/>
    <w:rsid w:val="00443B92"/>
    <w:rsid w:val="00461BCD"/>
    <w:rsid w:val="00465E20"/>
    <w:rsid w:val="00475B89"/>
    <w:rsid w:val="004A3131"/>
    <w:rsid w:val="004B5144"/>
    <w:rsid w:val="004C4EDE"/>
    <w:rsid w:val="004C6DE0"/>
    <w:rsid w:val="004D39B4"/>
    <w:rsid w:val="004E0EDB"/>
    <w:rsid w:val="004F67B8"/>
    <w:rsid w:val="005032C2"/>
    <w:rsid w:val="005060D2"/>
    <w:rsid w:val="00506AA9"/>
    <w:rsid w:val="00517393"/>
    <w:rsid w:val="00532FAC"/>
    <w:rsid w:val="005451DD"/>
    <w:rsid w:val="00545679"/>
    <w:rsid w:val="005555D9"/>
    <w:rsid w:val="00564B90"/>
    <w:rsid w:val="005669F1"/>
    <w:rsid w:val="00582CF9"/>
    <w:rsid w:val="0058449B"/>
    <w:rsid w:val="00594A20"/>
    <w:rsid w:val="005A254E"/>
    <w:rsid w:val="005A609F"/>
    <w:rsid w:val="005E0853"/>
    <w:rsid w:val="005F3842"/>
    <w:rsid w:val="00621B3C"/>
    <w:rsid w:val="00630348"/>
    <w:rsid w:val="00632B98"/>
    <w:rsid w:val="00633E99"/>
    <w:rsid w:val="00647CD3"/>
    <w:rsid w:val="00665A46"/>
    <w:rsid w:val="0069067B"/>
    <w:rsid w:val="006A1D0D"/>
    <w:rsid w:val="006A7C14"/>
    <w:rsid w:val="006B46E0"/>
    <w:rsid w:val="006D4003"/>
    <w:rsid w:val="00707FF7"/>
    <w:rsid w:val="00722273"/>
    <w:rsid w:val="00727BA1"/>
    <w:rsid w:val="00735DEF"/>
    <w:rsid w:val="007414FD"/>
    <w:rsid w:val="007516E3"/>
    <w:rsid w:val="00756702"/>
    <w:rsid w:val="00760418"/>
    <w:rsid w:val="0077401B"/>
    <w:rsid w:val="007E4421"/>
    <w:rsid w:val="007F352D"/>
    <w:rsid w:val="00800DC9"/>
    <w:rsid w:val="00820068"/>
    <w:rsid w:val="00823672"/>
    <w:rsid w:val="00836FC4"/>
    <w:rsid w:val="00856E80"/>
    <w:rsid w:val="00863A7E"/>
    <w:rsid w:val="008664DD"/>
    <w:rsid w:val="008A0771"/>
    <w:rsid w:val="008E3BD3"/>
    <w:rsid w:val="008E5D0F"/>
    <w:rsid w:val="008F516C"/>
    <w:rsid w:val="00945A69"/>
    <w:rsid w:val="00952E45"/>
    <w:rsid w:val="00956E7B"/>
    <w:rsid w:val="00977732"/>
    <w:rsid w:val="00985A82"/>
    <w:rsid w:val="0099097A"/>
    <w:rsid w:val="009C595A"/>
    <w:rsid w:val="009D3F50"/>
    <w:rsid w:val="009D6FAB"/>
    <w:rsid w:val="009F0275"/>
    <w:rsid w:val="00A0203E"/>
    <w:rsid w:val="00A0741C"/>
    <w:rsid w:val="00A5388F"/>
    <w:rsid w:val="00A73934"/>
    <w:rsid w:val="00AD524F"/>
    <w:rsid w:val="00B02614"/>
    <w:rsid w:val="00B1220B"/>
    <w:rsid w:val="00B171BB"/>
    <w:rsid w:val="00B31AF2"/>
    <w:rsid w:val="00B66FF8"/>
    <w:rsid w:val="00B72EAD"/>
    <w:rsid w:val="00B756D8"/>
    <w:rsid w:val="00BC2737"/>
    <w:rsid w:val="00BF184B"/>
    <w:rsid w:val="00C103DF"/>
    <w:rsid w:val="00C17361"/>
    <w:rsid w:val="00C26F5A"/>
    <w:rsid w:val="00C31918"/>
    <w:rsid w:val="00C410FB"/>
    <w:rsid w:val="00C9135C"/>
    <w:rsid w:val="00C977D3"/>
    <w:rsid w:val="00CA6115"/>
    <w:rsid w:val="00CD306F"/>
    <w:rsid w:val="00D02401"/>
    <w:rsid w:val="00D37FDB"/>
    <w:rsid w:val="00D44DED"/>
    <w:rsid w:val="00D6718D"/>
    <w:rsid w:val="00DA2D69"/>
    <w:rsid w:val="00DA7CA4"/>
    <w:rsid w:val="00DB6A0D"/>
    <w:rsid w:val="00DD252D"/>
    <w:rsid w:val="00DE0242"/>
    <w:rsid w:val="00DF6231"/>
    <w:rsid w:val="00E27028"/>
    <w:rsid w:val="00E412F3"/>
    <w:rsid w:val="00E46856"/>
    <w:rsid w:val="00E659D0"/>
    <w:rsid w:val="00E76EC8"/>
    <w:rsid w:val="00E87E24"/>
    <w:rsid w:val="00E91AB0"/>
    <w:rsid w:val="00EA2FD3"/>
    <w:rsid w:val="00EC5F2F"/>
    <w:rsid w:val="00ED3D67"/>
    <w:rsid w:val="00F15009"/>
    <w:rsid w:val="00F57304"/>
    <w:rsid w:val="00F703F7"/>
    <w:rsid w:val="00F8656D"/>
    <w:rsid w:val="00F87089"/>
    <w:rsid w:val="00F970CB"/>
    <w:rsid w:val="00FB5109"/>
    <w:rsid w:val="00FC45DB"/>
    <w:rsid w:val="00FC5E63"/>
    <w:rsid w:val="00FF1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header"/>
    <w:basedOn w:val="a"/>
    <w:link w:val="a8"/>
    <w:uiPriority w:val="99"/>
    <w:unhideWhenUsed/>
    <w:rsid w:val="00E412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12F3"/>
  </w:style>
  <w:style w:type="paragraph" w:styleId="a9">
    <w:name w:val="footer"/>
    <w:basedOn w:val="a"/>
    <w:link w:val="aa"/>
    <w:uiPriority w:val="99"/>
    <w:unhideWhenUsed/>
    <w:rsid w:val="00E412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12F3"/>
  </w:style>
  <w:style w:type="paragraph" w:styleId="ab">
    <w:name w:val="Balloon Text"/>
    <w:basedOn w:val="a"/>
    <w:link w:val="ac"/>
    <w:uiPriority w:val="99"/>
    <w:semiHidden/>
    <w:unhideWhenUsed/>
    <w:rsid w:val="006D400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40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header"/>
    <w:basedOn w:val="a"/>
    <w:link w:val="a8"/>
    <w:uiPriority w:val="99"/>
    <w:unhideWhenUsed/>
    <w:rsid w:val="00E412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12F3"/>
  </w:style>
  <w:style w:type="paragraph" w:styleId="a9">
    <w:name w:val="footer"/>
    <w:basedOn w:val="a"/>
    <w:link w:val="aa"/>
    <w:uiPriority w:val="99"/>
    <w:unhideWhenUsed/>
    <w:rsid w:val="00E412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12F3"/>
  </w:style>
  <w:style w:type="paragraph" w:styleId="ab">
    <w:name w:val="Balloon Text"/>
    <w:basedOn w:val="a"/>
    <w:link w:val="ac"/>
    <w:uiPriority w:val="99"/>
    <w:semiHidden/>
    <w:unhideWhenUsed/>
    <w:rsid w:val="006D400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40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inogradov_PV\Desktop\&#1052;&#1072;&#1090;&#1077;&#1088;&#1080;&#1072;&#1083;&#1099;\2017\&#1041;&#1102;&#1076;&#1078;&#1077;&#1090;\&#1043;&#1086;&#1089;&#1076;&#1086;&#1083;&#1075;\&#1076;&#1080;&#1072;&#1075;&#1088;&#1072;&#1084;&#1084;&#1072;%20&#1087;&#1086;%20&#1076;&#1086;&#1083;&#1075;&#1091;%202018-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Vinogradov_PV\Desktop\&#1052;&#1072;&#1090;&#1077;&#1088;&#1080;&#1072;&#1083;&#1099;\2019\&#1041;&#1102;&#1076;&#1078;&#1077;&#1090;\&#1048;&#1089;&#1087;&#1086;&#1083;&#1085;&#1077;&#1085;&#1080;&#1077;%202018\&#1073;&#1102;&#1076;&#1078;&#1077;&#1090;%202018\&#1052;&#1072;&#1090;&#1077;&#1088;&#1080;&#1072;&#1083;&#1099;\&#1075;&#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84890124028615"/>
          <c:y val="8.735205174235236E-2"/>
          <c:w val="0.77885021159685353"/>
          <c:h val="0.69649738544156314"/>
        </c:manualLayout>
      </c:layout>
      <c:barChart>
        <c:barDir val="col"/>
        <c:grouping val="stacked"/>
        <c:varyColors val="0"/>
        <c:ser>
          <c:idx val="0"/>
          <c:order val="0"/>
          <c:tx>
            <c:strRef>
              <c:f>Лист1!$B$1</c:f>
              <c:strCache>
                <c:ptCount val="1"/>
                <c:pt idx="0">
                  <c:v>Государственный внутренний долг Российской Федерации</c:v>
                </c:pt>
              </c:strCache>
            </c:strRef>
          </c:tx>
          <c:spPr>
            <a:solidFill>
              <a:srgbClr val="92D050"/>
            </a:solidFill>
          </c:spPr>
          <c:invertIfNegative val="0"/>
          <c:dLbls>
            <c:dLbl>
              <c:idx val="0"/>
              <c:layout>
                <c:manualLayout>
                  <c:x val="-1.6899028305872412E-3"/>
                  <c:y val="1.3280212483399638E-2"/>
                </c:manualLayout>
              </c:layout>
              <c:showLegendKey val="0"/>
              <c:showVal val="1"/>
              <c:showCatName val="0"/>
              <c:showSerName val="0"/>
              <c:showPercent val="0"/>
              <c:showBubbleSize val="0"/>
            </c:dLbl>
            <c:dLbl>
              <c:idx val="1"/>
              <c:layout>
                <c:manualLayout>
                  <c:x val="-2.2049102696906843E-3"/>
                  <c:y val="-1.1746045723997026E-2"/>
                </c:manualLayout>
              </c:layout>
              <c:showLegendKey val="0"/>
              <c:showVal val="1"/>
              <c:showCatName val="0"/>
              <c:showSerName val="0"/>
              <c:showPercent val="0"/>
              <c:showBubbleSize val="0"/>
            </c:dLbl>
            <c:dLbl>
              <c:idx val="2"/>
              <c:layout>
                <c:manualLayout>
                  <c:x val="-1.0297346505080281E-3"/>
                  <c:y val="-2.5923136759520602E-2"/>
                </c:manualLayout>
              </c:layout>
              <c:showLegendKey val="0"/>
              <c:showVal val="1"/>
              <c:showCatName val="0"/>
              <c:showSerName val="0"/>
              <c:showPercent val="0"/>
              <c:showBubbleSize val="0"/>
            </c:dLbl>
            <c:dLbl>
              <c:idx val="3"/>
              <c:layout>
                <c:manualLayout>
                  <c:x val="5.1486732525401406E-4"/>
                  <c:y val="-2.5923136759520602E-2"/>
                </c:manualLayout>
              </c:layout>
              <c:showLegendKey val="0"/>
              <c:showVal val="1"/>
              <c:showCatName val="0"/>
              <c:showSerName val="0"/>
              <c:showPercent val="0"/>
              <c:showBubbleSize val="0"/>
            </c:dLbl>
            <c:dLbl>
              <c:idx val="4"/>
              <c:layout>
                <c:manualLayout>
                  <c:x val="2.5138260432378081E-3"/>
                  <c:y val="-4.0324812051902435E-2"/>
                </c:manualLayout>
              </c:layout>
              <c:showLegendKey val="0"/>
              <c:showVal val="1"/>
              <c:showCatName val="0"/>
              <c:showSerName val="0"/>
              <c:showPercent val="0"/>
              <c:showBubbleSize val="0"/>
            </c:dLbl>
            <c:dLbl>
              <c:idx val="5"/>
              <c:layout>
                <c:manualLayout>
                  <c:x val="0"/>
                  <c:y val="-5.4726530641867693E-2"/>
                </c:manualLayout>
              </c:layout>
              <c:showLegendKey val="0"/>
              <c:showVal val="1"/>
              <c:showCatName val="0"/>
              <c:showSerName val="0"/>
              <c:showPercent val="0"/>
              <c:showBubbleSize val="0"/>
            </c:dLbl>
            <c:dLbl>
              <c:idx val="6"/>
              <c:layout>
                <c:manualLayout>
                  <c:x val="-9.217255680014474E-17"/>
                  <c:y val="-5.1846186923874556E-2"/>
                </c:manualLayout>
              </c:layout>
              <c:showLegendKey val="0"/>
              <c:showVal val="1"/>
              <c:showCatName val="0"/>
              <c:showSerName val="0"/>
              <c:showPercent val="0"/>
              <c:showBubbleSize val="0"/>
            </c:dLbl>
            <c:dLbl>
              <c:idx val="7"/>
              <c:layout>
                <c:manualLayout>
                  <c:x val="-2.5138260432378081E-3"/>
                  <c:y val="-8.352996782179789E-2"/>
                </c:manualLayout>
              </c:layout>
              <c:showLegendKey val="0"/>
              <c:showVal val="1"/>
              <c:showCatName val="0"/>
              <c:showSerName val="0"/>
              <c:showPercent val="0"/>
              <c:showBubbleSize val="0"/>
            </c:dLbl>
            <c:dLbl>
              <c:idx val="8"/>
              <c:layout>
                <c:manualLayout>
                  <c:x val="-2.5138260432379001E-3"/>
                  <c:y val="-9.7931686411763155E-2"/>
                </c:manualLayout>
              </c:layout>
              <c:showLegendKey val="0"/>
              <c:showVal val="1"/>
              <c:showCatName val="0"/>
              <c:showSerName val="0"/>
              <c:showPercent val="0"/>
              <c:showBubbleSize val="0"/>
            </c:dLbl>
            <c:dLbl>
              <c:idx val="9"/>
              <c:layout>
                <c:manualLayout>
                  <c:x val="-5.0276520864756162E-3"/>
                  <c:y val="-0.11521374871972129"/>
                </c:manualLayout>
              </c:layout>
              <c:showLegendKey val="0"/>
              <c:showVal val="1"/>
              <c:showCatName val="0"/>
              <c:showSerName val="0"/>
              <c:showPercent val="0"/>
              <c:showBubbleSize val="0"/>
            </c:dLbl>
            <c:spPr>
              <a:solidFill>
                <a:schemeClr val="bg1"/>
              </a:solidFill>
              <a:ln>
                <a:solidFill>
                  <a:schemeClr val="tx1"/>
                </a:solidFill>
              </a:ln>
            </c:spPr>
            <c:txPr>
              <a:bodyPr/>
              <a:lstStyle/>
              <a:p>
                <a:pPr>
                  <a:defRPr sz="1100"/>
                </a:pPr>
                <a:endParaRPr lang="ru-RU"/>
              </a:p>
            </c:txPr>
            <c:showLegendKey val="0"/>
            <c:showVal val="1"/>
            <c:showCatName val="0"/>
            <c:showSerName val="0"/>
            <c:showPercent val="0"/>
            <c:showBubbleSize val="0"/>
            <c:showLeaderLines val="0"/>
          </c:dLbls>
          <c:cat>
            <c:numRef>
              <c:f>Лист1!$A$2:$A$11</c:f>
              <c:numCache>
                <c:formatCode>General</c:formatCode>
                <c:ptCount val="4"/>
                <c:pt idx="0">
                  <c:v>2015</c:v>
                </c:pt>
                <c:pt idx="1">
                  <c:v>2016</c:v>
                </c:pt>
                <c:pt idx="2">
                  <c:v>2017</c:v>
                </c:pt>
                <c:pt idx="3">
                  <c:v>2018</c:v>
                </c:pt>
              </c:numCache>
            </c:numRef>
          </c:cat>
          <c:val>
            <c:numRef>
              <c:f>Лист1!$B$2:$B$11</c:f>
              <c:numCache>
                <c:formatCode>#,##0.0</c:formatCode>
                <c:ptCount val="4"/>
                <c:pt idx="0">
                  <c:v>7307.6</c:v>
                </c:pt>
                <c:pt idx="1">
                  <c:v>8003.5</c:v>
                </c:pt>
                <c:pt idx="2">
                  <c:v>8689.6</c:v>
                </c:pt>
                <c:pt idx="3">
                  <c:v>9176.4</c:v>
                </c:pt>
              </c:numCache>
            </c:numRef>
          </c:val>
        </c:ser>
        <c:ser>
          <c:idx val="1"/>
          <c:order val="1"/>
          <c:tx>
            <c:strRef>
              <c:f>Лист1!$D$1</c:f>
              <c:strCache>
                <c:ptCount val="1"/>
                <c:pt idx="0">
                  <c:v>Государственный  внешний долг Российской Федерации</c:v>
                </c:pt>
              </c:strCache>
            </c:strRef>
          </c:tx>
          <c:spPr>
            <a:solidFill>
              <a:schemeClr val="tx2">
                <a:lumMod val="60000"/>
                <a:lumOff val="40000"/>
              </a:schemeClr>
            </a:solidFill>
          </c:spPr>
          <c:invertIfNegative val="0"/>
          <c:dLbls>
            <c:dLbl>
              <c:idx val="3"/>
              <c:layout>
                <c:manualLayout>
                  <c:x val="0"/>
                  <c:y val="1.6068635087117308E-2"/>
                </c:manualLayout>
              </c:layout>
              <c:showLegendKey val="0"/>
              <c:showVal val="1"/>
              <c:showCatName val="0"/>
              <c:showSerName val="0"/>
              <c:showPercent val="0"/>
              <c:showBubbleSize val="0"/>
            </c:dLbl>
            <c:spPr>
              <a:solidFill>
                <a:schemeClr val="bg1">
                  <a:lumMod val="85000"/>
                </a:schemeClr>
              </a:solidFill>
              <a:ln>
                <a:solidFill>
                  <a:schemeClr val="tx1"/>
                </a:solidFill>
              </a:ln>
            </c:spPr>
            <c:txPr>
              <a:bodyPr/>
              <a:lstStyle/>
              <a:p>
                <a:pPr>
                  <a:defRPr sz="1100"/>
                </a:pPr>
                <a:endParaRPr lang="ru-RU"/>
              </a:p>
            </c:txPr>
            <c:showLegendKey val="0"/>
            <c:showVal val="1"/>
            <c:showCatName val="0"/>
            <c:showSerName val="0"/>
            <c:showPercent val="0"/>
            <c:showBubbleSize val="0"/>
            <c:showLeaderLines val="0"/>
          </c:dLbls>
          <c:cat>
            <c:numRef>
              <c:f>Лист1!$A$2:$A$11</c:f>
              <c:numCache>
                <c:formatCode>General</c:formatCode>
                <c:ptCount val="4"/>
                <c:pt idx="0">
                  <c:v>2015</c:v>
                </c:pt>
                <c:pt idx="1">
                  <c:v>2016</c:v>
                </c:pt>
                <c:pt idx="2">
                  <c:v>2017</c:v>
                </c:pt>
                <c:pt idx="3">
                  <c:v>2018</c:v>
                </c:pt>
              </c:numCache>
            </c:numRef>
          </c:cat>
          <c:val>
            <c:numRef>
              <c:f>Лист1!$D$2:$D$11</c:f>
              <c:numCache>
                <c:formatCode>#,##0.0</c:formatCode>
                <c:ptCount val="4"/>
                <c:pt idx="0">
                  <c:v>3644.3</c:v>
                </c:pt>
                <c:pt idx="1">
                  <c:v>3106.3</c:v>
                </c:pt>
                <c:pt idx="2">
                  <c:v>2870.1</c:v>
                </c:pt>
                <c:pt idx="3">
                  <c:v>3414.9</c:v>
                </c:pt>
              </c:numCache>
            </c:numRef>
          </c:val>
        </c:ser>
        <c:dLbls>
          <c:showLegendKey val="0"/>
          <c:showVal val="0"/>
          <c:showCatName val="0"/>
          <c:showSerName val="0"/>
          <c:showPercent val="0"/>
          <c:showBubbleSize val="0"/>
        </c:dLbls>
        <c:gapWidth val="150"/>
        <c:overlap val="100"/>
        <c:axId val="41991168"/>
        <c:axId val="42756928"/>
      </c:barChart>
      <c:lineChart>
        <c:grouping val="standard"/>
        <c:varyColors val="0"/>
        <c:ser>
          <c:idx val="2"/>
          <c:order val="2"/>
          <c:tx>
            <c:strRef>
              <c:f>Лист1!$F$1</c:f>
              <c:strCache>
                <c:ptCount val="1"/>
                <c:pt idx="0">
                  <c:v>Государственный  долг Российской Федерации - всего</c:v>
                </c:pt>
              </c:strCache>
            </c:strRef>
          </c:tx>
          <c:spPr>
            <a:ln>
              <a:solidFill>
                <a:srgbClr val="FF0000"/>
              </a:solidFill>
            </a:ln>
          </c:spPr>
          <c:marker>
            <c:spPr>
              <a:solidFill>
                <a:schemeClr val="bg1"/>
              </a:solidFill>
            </c:spPr>
          </c:marker>
          <c:dLbls>
            <c:dLbl>
              <c:idx val="0"/>
              <c:layout>
                <c:manualLayout>
                  <c:x val="-5.5972736429326632E-2"/>
                  <c:y val="-3.4547565437302211E-2"/>
                </c:manualLayout>
              </c:layout>
              <c:dLblPos val="r"/>
              <c:showLegendKey val="0"/>
              <c:showVal val="1"/>
              <c:showCatName val="0"/>
              <c:showSerName val="0"/>
              <c:showPercent val="0"/>
              <c:showBubbleSize val="0"/>
            </c:dLbl>
            <c:dLbl>
              <c:idx val="1"/>
              <c:layout>
                <c:manualLayout>
                  <c:x val="-5.7971811023622047E-2"/>
                  <c:y val="-3.1340608147454263E-2"/>
                </c:manualLayout>
              </c:layout>
              <c:dLblPos val="r"/>
              <c:showLegendKey val="0"/>
              <c:showVal val="1"/>
              <c:showCatName val="0"/>
              <c:showSerName val="0"/>
              <c:showPercent val="0"/>
              <c:showBubbleSize val="0"/>
            </c:dLbl>
            <c:dLbl>
              <c:idx val="2"/>
              <c:layout>
                <c:manualLayout>
                  <c:x val="-8.597385826771653E-2"/>
                  <c:y val="-2.1685950831708739E-2"/>
                </c:manualLayout>
              </c:layout>
              <c:dLblPos val="r"/>
              <c:showLegendKey val="0"/>
              <c:showVal val="1"/>
              <c:showCatName val="0"/>
              <c:showSerName val="0"/>
              <c:showPercent val="0"/>
              <c:showBubbleSize val="0"/>
            </c:dLbl>
            <c:dLbl>
              <c:idx val="3"/>
              <c:layout>
                <c:manualLayout>
                  <c:x val="-5.3973710128279395E-2"/>
                  <c:y val="-2.8120111402455288E-2"/>
                </c:manualLayout>
              </c:layout>
              <c:dLblPos val="r"/>
              <c:showLegendKey val="0"/>
              <c:showVal val="1"/>
              <c:showCatName val="0"/>
              <c:showSerName val="0"/>
              <c:showPercent val="0"/>
              <c:showBubbleSize val="0"/>
            </c:dLbl>
            <c:dLbl>
              <c:idx val="4"/>
              <c:layout>
                <c:manualLayout>
                  <c:x val="-6.3599798893916537E-2"/>
                  <c:y val="-2.1660184759307591E-2"/>
                </c:manualLayout>
              </c:layout>
              <c:dLblPos val="r"/>
              <c:showLegendKey val="0"/>
              <c:showVal val="1"/>
              <c:showCatName val="0"/>
              <c:showSerName val="0"/>
              <c:showPercent val="0"/>
              <c:showBubbleSize val="0"/>
            </c:dLbl>
            <c:dLbl>
              <c:idx val="5"/>
              <c:layout>
                <c:manualLayout>
                  <c:x val="-5.3973710128279249E-2"/>
                  <c:y val="-2.1692657367608364E-2"/>
                </c:manualLayout>
              </c:layout>
              <c:dLblPos val="r"/>
              <c:showLegendKey val="0"/>
              <c:showVal val="1"/>
              <c:showCatName val="0"/>
              <c:showSerName val="0"/>
              <c:showPercent val="0"/>
              <c:showBubbleSize val="0"/>
            </c:dLbl>
            <c:dLbl>
              <c:idx val="6"/>
              <c:layout>
                <c:manualLayout>
                  <c:x val="-6.0209300760481865E-2"/>
                  <c:y val="-2.0051501452872614E-2"/>
                </c:manualLayout>
              </c:layout>
              <c:dLblPos val="r"/>
              <c:showLegendKey val="0"/>
              <c:showVal val="1"/>
              <c:showCatName val="0"/>
              <c:showSerName val="0"/>
              <c:showPercent val="0"/>
              <c:showBubbleSize val="0"/>
            </c:dLbl>
            <c:dLbl>
              <c:idx val="7"/>
              <c:layout>
                <c:manualLayout>
                  <c:x val="-7.1141453128176768E-2"/>
                  <c:y val="-2.4540680490415613E-2"/>
                </c:manualLayout>
              </c:layout>
              <c:dLblPos val="r"/>
              <c:showLegendKey val="0"/>
              <c:showVal val="1"/>
              <c:showCatName val="0"/>
              <c:showSerName val="0"/>
              <c:showPercent val="0"/>
              <c:showBubbleSize val="0"/>
            </c:dLbl>
            <c:dLbl>
              <c:idx val="8"/>
              <c:layout>
                <c:manualLayout>
                  <c:x val="-6.7683410269611985E-2"/>
                  <c:y val="-3.1770348585631165E-2"/>
                </c:manualLayout>
              </c:layout>
              <c:dLblPos val="r"/>
              <c:showLegendKey val="0"/>
              <c:showVal val="1"/>
              <c:showCatName val="0"/>
              <c:showSerName val="0"/>
              <c:showPercent val="0"/>
              <c:showBubbleSize val="0"/>
            </c:dLbl>
            <c:dLbl>
              <c:idx val="9"/>
              <c:layout>
                <c:manualLayout>
                  <c:x val="-5.8726198404462054E-2"/>
                  <c:y val="-2.0471441100987451E-2"/>
                </c:manualLayout>
              </c:layout>
              <c:dLblPos val="r"/>
              <c:showLegendKey val="0"/>
              <c:showVal val="1"/>
              <c:showCatName val="0"/>
              <c:showSerName val="0"/>
              <c:showPercent val="0"/>
              <c:showBubbleSize val="0"/>
            </c:dLbl>
            <c:dLbl>
              <c:idx val="10"/>
              <c:layout>
                <c:manualLayout>
                  <c:x val="-4.7689609385362902E-2"/>
                  <c:y val="-3.3843536710805928E-2"/>
                </c:manualLayout>
              </c:layout>
              <c:dLblPos val="r"/>
              <c:showLegendKey val="0"/>
              <c:showVal val="1"/>
              <c:showCatName val="0"/>
              <c:showSerName val="0"/>
              <c:showPercent val="0"/>
              <c:showBubbleSize val="0"/>
            </c:dLbl>
            <c:dLbl>
              <c:idx val="11"/>
              <c:layout>
                <c:manualLayout>
                  <c:x val="-4.2432328089892744E-2"/>
                  <c:y val="-2.2933421978631661E-2"/>
                </c:manualLayout>
              </c:layout>
              <c:dLblPos val="r"/>
              <c:showLegendKey val="0"/>
              <c:showVal val="1"/>
              <c:showCatName val="0"/>
              <c:showSerName val="0"/>
              <c:showPercent val="0"/>
              <c:showBubbleSize val="0"/>
            </c:dLbl>
            <c:txPr>
              <a:bodyPr/>
              <a:lstStyle/>
              <a:p>
                <a:pPr>
                  <a:defRPr sz="1050"/>
                </a:pPr>
                <a:endParaRPr lang="ru-RU"/>
              </a:p>
            </c:txPr>
            <c:dLblPos val="t"/>
            <c:showLegendKey val="0"/>
            <c:showVal val="1"/>
            <c:showCatName val="0"/>
            <c:showSerName val="0"/>
            <c:showPercent val="0"/>
            <c:showBubbleSize val="0"/>
            <c:showLeaderLines val="0"/>
          </c:dLbls>
          <c:cat>
            <c:numRef>
              <c:f>'долг 2006-2019'!$B$7:$B$16</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Лист1!$F$2:$F$11</c:f>
              <c:numCache>
                <c:formatCode>#,##0.0</c:formatCode>
                <c:ptCount val="4"/>
                <c:pt idx="0">
                  <c:v>10951.9</c:v>
                </c:pt>
                <c:pt idx="1">
                  <c:v>11109.8</c:v>
                </c:pt>
                <c:pt idx="2">
                  <c:v>11559.7</c:v>
                </c:pt>
                <c:pt idx="3">
                  <c:v>12591.3</c:v>
                </c:pt>
              </c:numCache>
            </c:numRef>
          </c:val>
          <c:smooth val="0"/>
        </c:ser>
        <c:dLbls>
          <c:showLegendKey val="0"/>
          <c:showVal val="0"/>
          <c:showCatName val="0"/>
          <c:showSerName val="0"/>
          <c:showPercent val="0"/>
          <c:showBubbleSize val="0"/>
        </c:dLbls>
        <c:marker val="1"/>
        <c:smooth val="0"/>
        <c:axId val="41991168"/>
        <c:axId val="42756928"/>
      </c:lineChart>
      <c:lineChart>
        <c:grouping val="standard"/>
        <c:varyColors val="0"/>
        <c:ser>
          <c:idx val="3"/>
          <c:order val="3"/>
          <c:tx>
            <c:strRef>
              <c:f>Лист1!$G$1</c:f>
              <c:strCache>
                <c:ptCount val="1"/>
                <c:pt idx="0">
                  <c:v>Отношение государственного долга Российской Федерации к ВВП, %</c:v>
                </c:pt>
              </c:strCache>
            </c:strRef>
          </c:tx>
          <c:dLbls>
            <c:dLbl>
              <c:idx val="0"/>
              <c:layout>
                <c:manualLayout>
                  <c:x val="-2.7652042871086573E-2"/>
                  <c:y val="-3.0136914892917099E-2"/>
                </c:manualLayout>
              </c:layout>
              <c:showLegendKey val="0"/>
              <c:showVal val="1"/>
              <c:showCatName val="0"/>
              <c:showSerName val="0"/>
              <c:showPercent val="0"/>
              <c:showBubbleSize val="0"/>
            </c:dLbl>
            <c:dLbl>
              <c:idx val="1"/>
              <c:layout>
                <c:manualLayout>
                  <c:x val="-3.3913700787401573E-2"/>
                  <c:y val="-4.0568144416031598E-2"/>
                </c:manualLayout>
              </c:layout>
              <c:showLegendKey val="0"/>
              <c:showVal val="1"/>
              <c:showCatName val="0"/>
              <c:showSerName val="0"/>
              <c:showPercent val="0"/>
              <c:showBubbleSize val="0"/>
            </c:dLbl>
            <c:dLbl>
              <c:idx val="2"/>
              <c:layout>
                <c:manualLayout>
                  <c:x val="-3.426535433070866E-2"/>
                  <c:y val="-5.4122591589234624E-2"/>
                </c:manualLayout>
              </c:layout>
              <c:showLegendKey val="0"/>
              <c:showVal val="1"/>
              <c:showCatName val="0"/>
              <c:showSerName val="0"/>
              <c:showPercent val="0"/>
              <c:showBubbleSize val="0"/>
            </c:dLbl>
            <c:dLbl>
              <c:idx val="3"/>
              <c:layout>
                <c:manualLayout>
                  <c:x val="-3.897133858267731E-2"/>
                  <c:y val="-9.847988454819355E-2"/>
                </c:manualLayout>
              </c:layout>
              <c:showLegendKey val="0"/>
              <c:showVal val="1"/>
              <c:showCatName val="0"/>
              <c:showSerName val="0"/>
              <c:showPercent val="0"/>
              <c:showBubbleSize val="0"/>
            </c:dLbl>
            <c:dLbl>
              <c:idx val="4"/>
              <c:layout>
                <c:manualLayout>
                  <c:x val="-2.995212415934756E-2"/>
                  <c:y val="-3.2964791318183674E-2"/>
                </c:manualLayout>
              </c:layout>
              <c:showLegendKey val="0"/>
              <c:showVal val="1"/>
              <c:showCatName val="0"/>
              <c:showSerName val="0"/>
              <c:showPercent val="0"/>
              <c:showBubbleSize val="0"/>
            </c:dLbl>
            <c:dLbl>
              <c:idx val="5"/>
              <c:layout>
                <c:manualLayout>
                  <c:x val="-4.1549161384733121E-2"/>
                  <c:y val="-2.3622047244094488E-2"/>
                </c:manualLayout>
              </c:layout>
              <c:showLegendKey val="0"/>
              <c:showVal val="1"/>
              <c:showCatName val="0"/>
              <c:showSerName val="0"/>
              <c:showPercent val="0"/>
              <c:showBubbleSize val="0"/>
            </c:dLbl>
            <c:dLbl>
              <c:idx val="6"/>
              <c:layout>
                <c:manualLayout>
                  <c:x val="-4.735474242190324E-2"/>
                  <c:y val="-1.7247588902829451E-2"/>
                </c:manualLayout>
              </c:layout>
              <c:showLegendKey val="0"/>
              <c:showVal val="1"/>
              <c:showCatName val="0"/>
              <c:showSerName val="0"/>
              <c:showPercent val="0"/>
              <c:showBubbleSize val="0"/>
            </c:dLbl>
            <c:dLbl>
              <c:idx val="7"/>
              <c:layout>
                <c:manualLayout>
                  <c:x val="-3.919795211085142E-2"/>
                  <c:y val="-5.4733436533156272E-2"/>
                </c:manualLayout>
              </c:layout>
              <c:showLegendKey val="0"/>
              <c:showVal val="1"/>
              <c:showCatName val="0"/>
              <c:showSerName val="0"/>
              <c:showPercent val="0"/>
              <c:showBubbleSize val="0"/>
            </c:dLbl>
            <c:dLbl>
              <c:idx val="8"/>
              <c:layout>
                <c:manualLayout>
                  <c:x val="-3.9688857065369725E-2"/>
                  <c:y val="-5.3539679912789052E-2"/>
                </c:manualLayout>
              </c:layout>
              <c:showLegendKey val="0"/>
              <c:showVal val="1"/>
              <c:showCatName val="0"/>
              <c:showSerName val="0"/>
              <c:showPercent val="0"/>
              <c:showBubbleSize val="0"/>
            </c:dLbl>
            <c:dLbl>
              <c:idx val="9"/>
              <c:layout>
                <c:manualLayout>
                  <c:x val="-3.6885655538176444E-2"/>
                  <c:y val="-0.13498969329910082"/>
                </c:manualLayout>
              </c:layout>
              <c:showLegendKey val="0"/>
              <c:showVal val="1"/>
              <c:showCatName val="0"/>
              <c:showSerName val="0"/>
              <c:showPercent val="0"/>
              <c:showBubbleSize val="0"/>
            </c:dLbl>
            <c:dLbl>
              <c:idx val="10"/>
              <c:layout>
                <c:manualLayout>
                  <c:x val="6.117256202982349E-4"/>
                  <c:y val="1.4221892036887982E-2"/>
                </c:manualLayout>
              </c:layout>
              <c:showLegendKey val="0"/>
              <c:showVal val="1"/>
              <c:showCatName val="0"/>
              <c:showSerName val="0"/>
              <c:showPercent val="0"/>
              <c:showBubbleSize val="0"/>
            </c:dLbl>
            <c:dLbl>
              <c:idx val="11"/>
              <c:layout>
                <c:manualLayout>
                  <c:x val="-1.1191284847189122E-2"/>
                  <c:y val="9.3225436862997245E-3"/>
                </c:manualLayout>
              </c:layout>
              <c:showLegendKey val="0"/>
              <c:showVal val="1"/>
              <c:showCatName val="0"/>
              <c:showSerName val="0"/>
              <c:showPercent val="0"/>
              <c:showBubbleSize val="0"/>
            </c:dLbl>
            <c:txPr>
              <a:bodyPr/>
              <a:lstStyle/>
              <a:p>
                <a:pPr>
                  <a:defRPr sz="1050" b="0">
                    <a:solidFill>
                      <a:sysClr val="windowText" lastClr="000000"/>
                    </a:solidFill>
                  </a:defRPr>
                </a:pPr>
                <a:endParaRPr lang="ru-RU"/>
              </a:p>
            </c:txPr>
            <c:showLegendKey val="0"/>
            <c:showVal val="1"/>
            <c:showCatName val="0"/>
            <c:showSerName val="0"/>
            <c:showPercent val="0"/>
            <c:showBubbleSize val="0"/>
            <c:showLeaderLines val="0"/>
          </c:dLbls>
          <c:val>
            <c:numRef>
              <c:f>Лист1!$G$2:$G$11</c:f>
              <c:numCache>
                <c:formatCode>0.0</c:formatCode>
                <c:ptCount val="4"/>
                <c:pt idx="0">
                  <c:v>13.180085757988213</c:v>
                </c:pt>
                <c:pt idx="1">
                  <c:v>12.916239411632032</c:v>
                </c:pt>
                <c:pt idx="2">
                  <c:v>12.551071483247251</c:v>
                </c:pt>
                <c:pt idx="3">
                  <c:v>12.121495093178583</c:v>
                </c:pt>
              </c:numCache>
            </c:numRef>
          </c:val>
          <c:smooth val="0"/>
        </c:ser>
        <c:dLbls>
          <c:showLegendKey val="0"/>
          <c:showVal val="0"/>
          <c:showCatName val="0"/>
          <c:showSerName val="0"/>
          <c:showPercent val="0"/>
          <c:showBubbleSize val="0"/>
        </c:dLbls>
        <c:marker val="1"/>
        <c:smooth val="0"/>
        <c:axId val="42157056"/>
        <c:axId val="42757504"/>
      </c:lineChart>
      <c:catAx>
        <c:axId val="41991168"/>
        <c:scaling>
          <c:orientation val="minMax"/>
        </c:scaling>
        <c:delete val="0"/>
        <c:axPos val="b"/>
        <c:numFmt formatCode="General" sourceLinked="1"/>
        <c:majorTickMark val="out"/>
        <c:minorTickMark val="none"/>
        <c:tickLblPos val="nextTo"/>
        <c:crossAx val="42756928"/>
        <c:crosses val="autoZero"/>
        <c:auto val="1"/>
        <c:lblAlgn val="ctr"/>
        <c:lblOffset val="100"/>
        <c:noMultiLvlLbl val="0"/>
      </c:catAx>
      <c:valAx>
        <c:axId val="42756928"/>
        <c:scaling>
          <c:orientation val="minMax"/>
        </c:scaling>
        <c:delete val="0"/>
        <c:axPos val="l"/>
        <c:majorGridlines>
          <c:spPr>
            <a:ln>
              <a:noFill/>
            </a:ln>
          </c:spPr>
        </c:majorGridlines>
        <c:title>
          <c:tx>
            <c:rich>
              <a:bodyPr rot="0" vert="horz"/>
              <a:lstStyle/>
              <a:p>
                <a:pPr>
                  <a:defRPr/>
                </a:pPr>
                <a:r>
                  <a:rPr lang="ru-RU"/>
                  <a:t>млрд.</a:t>
                </a:r>
                <a:r>
                  <a:rPr lang="ru-RU" baseline="0"/>
                  <a:t> рублей</a:t>
                </a:r>
                <a:endParaRPr lang="ru-RU"/>
              </a:p>
            </c:rich>
          </c:tx>
          <c:layout>
            <c:manualLayout>
              <c:xMode val="edge"/>
              <c:yMode val="edge"/>
              <c:x val="9.9951315052368983E-3"/>
              <c:y val="1.7752786525981175E-2"/>
            </c:manualLayout>
          </c:layout>
          <c:overlay val="0"/>
        </c:title>
        <c:numFmt formatCode="#,##0" sourceLinked="0"/>
        <c:majorTickMark val="out"/>
        <c:minorTickMark val="none"/>
        <c:tickLblPos val="nextTo"/>
        <c:txPr>
          <a:bodyPr/>
          <a:lstStyle/>
          <a:p>
            <a:pPr>
              <a:defRPr sz="1050"/>
            </a:pPr>
            <a:endParaRPr lang="ru-RU"/>
          </a:p>
        </c:txPr>
        <c:crossAx val="41991168"/>
        <c:crosses val="autoZero"/>
        <c:crossBetween val="between"/>
      </c:valAx>
      <c:valAx>
        <c:axId val="42757504"/>
        <c:scaling>
          <c:orientation val="minMax"/>
          <c:min val="0"/>
        </c:scaling>
        <c:delete val="0"/>
        <c:axPos val="r"/>
        <c:title>
          <c:tx>
            <c:rich>
              <a:bodyPr rot="0" vert="horz"/>
              <a:lstStyle/>
              <a:p>
                <a:pPr>
                  <a:defRPr sz="1000"/>
                </a:pPr>
                <a:r>
                  <a:rPr lang="ru-RU" sz="1000"/>
                  <a:t>%</a:t>
                </a:r>
              </a:p>
            </c:rich>
          </c:tx>
          <c:layout>
            <c:manualLayout>
              <c:xMode val="edge"/>
              <c:yMode val="edge"/>
              <c:x val="0.91299308856331873"/>
              <c:y val="1.6395869526432929E-2"/>
            </c:manualLayout>
          </c:layout>
          <c:overlay val="0"/>
        </c:title>
        <c:numFmt formatCode="0" sourceLinked="0"/>
        <c:majorTickMark val="out"/>
        <c:minorTickMark val="none"/>
        <c:tickLblPos val="nextTo"/>
        <c:txPr>
          <a:bodyPr/>
          <a:lstStyle/>
          <a:p>
            <a:pPr>
              <a:defRPr sz="1050"/>
            </a:pPr>
            <a:endParaRPr lang="ru-RU"/>
          </a:p>
        </c:txPr>
        <c:crossAx val="42157056"/>
        <c:crosses val="max"/>
        <c:crossBetween val="between"/>
      </c:valAx>
      <c:catAx>
        <c:axId val="42157056"/>
        <c:scaling>
          <c:orientation val="minMax"/>
        </c:scaling>
        <c:delete val="1"/>
        <c:axPos val="b"/>
        <c:majorTickMark val="out"/>
        <c:minorTickMark val="none"/>
        <c:tickLblPos val="nextTo"/>
        <c:crossAx val="42757504"/>
        <c:crosses val="autoZero"/>
        <c:auto val="1"/>
        <c:lblAlgn val="ctr"/>
        <c:lblOffset val="100"/>
        <c:noMultiLvlLbl val="0"/>
      </c:catAx>
    </c:plotArea>
    <c:legend>
      <c:legendPos val="b"/>
      <c:layout>
        <c:manualLayout>
          <c:xMode val="edge"/>
          <c:yMode val="edge"/>
          <c:x val="0.10423845465629189"/>
          <c:y val="0.84396084951532457"/>
          <c:w val="0.82616718260085886"/>
          <c:h val="0.12302322209723784"/>
        </c:manualLayout>
      </c:layout>
      <c:overlay val="0"/>
      <c:txPr>
        <a:bodyPr/>
        <a:lstStyle/>
        <a:p>
          <a:pPr>
            <a:defRPr sz="700"/>
          </a:pPr>
          <a:endParaRPr lang="ru-RU"/>
        </a:p>
      </c:txPr>
    </c:legend>
    <c:plotVisOnly val="1"/>
    <c:dispBlanksAs val="gap"/>
    <c:showDLblsOverMax val="0"/>
  </c:chart>
  <c:spPr>
    <a:ln>
      <a:noFill/>
    </a:ln>
  </c:spPr>
  <c:txPr>
    <a:bodyPr/>
    <a:lstStyle/>
    <a:p>
      <a:pPr>
        <a:defRPr sz="960">
          <a:latin typeface="Times New Roman" pitchFamily="18" charset="0"/>
          <a:cs typeface="Times New Roman"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18744531933509"/>
          <c:y val="0.12037037037037036"/>
          <c:w val="0.82518763524465399"/>
          <c:h val="0.56067462447823457"/>
        </c:manualLayout>
      </c:layout>
      <c:barChart>
        <c:barDir val="col"/>
        <c:grouping val="clustered"/>
        <c:varyColors val="0"/>
        <c:ser>
          <c:idx val="0"/>
          <c:order val="0"/>
          <c:tx>
            <c:strRef>
              <c:f>'14.4 расходы на обслуживание'!$A$7</c:f>
              <c:strCache>
                <c:ptCount val="1"/>
                <c:pt idx="0">
                  <c:v>расходы на обслуживание государсвтенного внутреннего долга</c:v>
                </c:pt>
              </c:strCache>
            </c:strRef>
          </c:tx>
          <c:invertIfNegative val="0"/>
          <c:dLbls>
            <c:txPr>
              <a:bodyPr/>
              <a:lstStyle/>
              <a:p>
                <a:pPr>
                  <a:defRPr sz="1000"/>
                </a:pPr>
                <a:endParaRPr lang="ru-RU"/>
              </a:p>
            </c:txPr>
            <c:dLblPos val="outEnd"/>
            <c:showLegendKey val="0"/>
            <c:showVal val="1"/>
            <c:showCatName val="0"/>
            <c:showSerName val="0"/>
            <c:showPercent val="0"/>
            <c:showBubbleSize val="0"/>
            <c:showLeaderLines val="0"/>
          </c:dLbls>
          <c:cat>
            <c:strRef>
              <c:f>'14.4 расходы на обслуживание'!$B$6:$G$6</c:f>
              <c:strCache>
                <c:ptCount val="4"/>
                <c:pt idx="0">
                  <c:v>2015</c:v>
                </c:pt>
                <c:pt idx="1">
                  <c:v>2016</c:v>
                </c:pt>
                <c:pt idx="2">
                  <c:v>2017</c:v>
                </c:pt>
                <c:pt idx="3">
                  <c:v>2018</c:v>
                </c:pt>
              </c:strCache>
            </c:strRef>
          </c:cat>
          <c:val>
            <c:numRef>
              <c:f>'14.4 расходы на обслуживание'!$B$7:$G$7</c:f>
              <c:numCache>
                <c:formatCode>0.0</c:formatCode>
                <c:ptCount val="4"/>
                <c:pt idx="0">
                  <c:v>358.28</c:v>
                </c:pt>
                <c:pt idx="1">
                  <c:v>458.95</c:v>
                </c:pt>
                <c:pt idx="2">
                  <c:v>527.61</c:v>
                </c:pt>
                <c:pt idx="3">
                  <c:v>570.55820608005001</c:v>
                </c:pt>
              </c:numCache>
            </c:numRef>
          </c:val>
        </c:ser>
        <c:ser>
          <c:idx val="1"/>
          <c:order val="1"/>
          <c:tx>
            <c:strRef>
              <c:f>'14.4 расходы на обслуживание'!$A$8</c:f>
              <c:strCache>
                <c:ptCount val="1"/>
                <c:pt idx="0">
                  <c:v>расходы на обслуживание государсвтенного внешнего дола</c:v>
                </c:pt>
              </c:strCache>
            </c:strRef>
          </c:tx>
          <c:spPr>
            <a:pattFill prst="dkUpDiag">
              <a:fgClr>
                <a:schemeClr val="accent2">
                  <a:lumMod val="75000"/>
                </a:schemeClr>
              </a:fgClr>
              <a:bgClr>
                <a:schemeClr val="bg1"/>
              </a:bgClr>
            </a:pattFill>
          </c:spPr>
          <c:invertIfNegative val="0"/>
          <c:dLbls>
            <c:txPr>
              <a:bodyPr/>
              <a:lstStyle/>
              <a:p>
                <a:pPr>
                  <a:defRPr sz="1000"/>
                </a:pPr>
                <a:endParaRPr lang="ru-RU"/>
              </a:p>
            </c:txPr>
            <c:dLblPos val="outEnd"/>
            <c:showLegendKey val="0"/>
            <c:showVal val="1"/>
            <c:showCatName val="0"/>
            <c:showSerName val="0"/>
            <c:showPercent val="0"/>
            <c:showBubbleSize val="0"/>
            <c:showLeaderLines val="0"/>
          </c:dLbls>
          <c:cat>
            <c:strRef>
              <c:f>'14.4 расходы на обслуживание'!$B$6:$G$6</c:f>
              <c:strCache>
                <c:ptCount val="4"/>
                <c:pt idx="0">
                  <c:v>2015</c:v>
                </c:pt>
                <c:pt idx="1">
                  <c:v>2016</c:v>
                </c:pt>
                <c:pt idx="2">
                  <c:v>2017</c:v>
                </c:pt>
                <c:pt idx="3">
                  <c:v>2018</c:v>
                </c:pt>
              </c:strCache>
            </c:strRef>
          </c:cat>
          <c:val>
            <c:numRef>
              <c:f>'14.4 расходы на обслуживание'!$B$8:$G$8</c:f>
              <c:numCache>
                <c:formatCode>0.0</c:formatCode>
                <c:ptCount val="4"/>
                <c:pt idx="0">
                  <c:v>160.43</c:v>
                </c:pt>
                <c:pt idx="1">
                  <c:v>162.31</c:v>
                </c:pt>
                <c:pt idx="2">
                  <c:v>181.55</c:v>
                </c:pt>
                <c:pt idx="3">
                  <c:v>235.41643009439002</c:v>
                </c:pt>
              </c:numCache>
            </c:numRef>
          </c:val>
        </c:ser>
        <c:dLbls>
          <c:showLegendKey val="0"/>
          <c:showVal val="0"/>
          <c:showCatName val="0"/>
          <c:showSerName val="0"/>
          <c:showPercent val="0"/>
          <c:showBubbleSize val="0"/>
        </c:dLbls>
        <c:gapWidth val="150"/>
        <c:axId val="137183232"/>
        <c:axId val="42902656"/>
      </c:barChart>
      <c:lineChart>
        <c:grouping val="standard"/>
        <c:varyColors val="0"/>
        <c:ser>
          <c:idx val="2"/>
          <c:order val="2"/>
          <c:tx>
            <c:strRef>
              <c:f>'14.4 расходы на обслуживание'!$A$9</c:f>
              <c:strCache>
                <c:ptCount val="1"/>
                <c:pt idx="0">
                  <c:v>расходы на обслуживание государсвтенного долга</c:v>
                </c:pt>
              </c:strCache>
            </c:strRef>
          </c:tx>
          <c:dLbls>
            <c:dLbl>
              <c:idx val="3"/>
              <c:layout>
                <c:manualLayout>
                  <c:x val="-3.8421599169262799E-2"/>
                  <c:y val="-4.3516752874089883E-2"/>
                </c:manualLayout>
              </c:layout>
              <c:dLblPos val="r"/>
              <c:showLegendKey val="0"/>
              <c:showVal val="1"/>
              <c:showCatName val="0"/>
              <c:showSerName val="0"/>
              <c:showPercent val="0"/>
              <c:showBubbleSize val="0"/>
            </c:dLbl>
            <c:txPr>
              <a:bodyPr/>
              <a:lstStyle/>
              <a:p>
                <a:pPr>
                  <a:defRPr sz="1000"/>
                </a:pPr>
                <a:endParaRPr lang="ru-RU"/>
              </a:p>
            </c:txPr>
            <c:dLblPos val="t"/>
            <c:showLegendKey val="0"/>
            <c:showVal val="1"/>
            <c:showCatName val="0"/>
            <c:showSerName val="0"/>
            <c:showPercent val="0"/>
            <c:showBubbleSize val="0"/>
            <c:showLeaderLines val="0"/>
          </c:dLbls>
          <c:cat>
            <c:strRef>
              <c:f>'14.4 расходы на обслуживание'!$B$6:$G$6</c:f>
              <c:strCache>
                <c:ptCount val="4"/>
                <c:pt idx="0">
                  <c:v>2015</c:v>
                </c:pt>
                <c:pt idx="1">
                  <c:v>2016</c:v>
                </c:pt>
                <c:pt idx="2">
                  <c:v>2017</c:v>
                </c:pt>
                <c:pt idx="3">
                  <c:v>2018</c:v>
                </c:pt>
              </c:strCache>
            </c:strRef>
          </c:cat>
          <c:val>
            <c:numRef>
              <c:f>'14.4 расходы на обслуживание'!$B$9:$G$9</c:f>
              <c:numCache>
                <c:formatCode>0.0</c:formatCode>
                <c:ptCount val="4"/>
                <c:pt idx="0">
                  <c:v>518.71</c:v>
                </c:pt>
                <c:pt idx="1">
                  <c:v>621.26</c:v>
                </c:pt>
                <c:pt idx="2">
                  <c:v>709.16000000000008</c:v>
                </c:pt>
                <c:pt idx="3">
                  <c:v>805.97463617444009</c:v>
                </c:pt>
              </c:numCache>
            </c:numRef>
          </c:val>
          <c:smooth val="0"/>
        </c:ser>
        <c:dLbls>
          <c:showLegendKey val="0"/>
          <c:showVal val="0"/>
          <c:showCatName val="0"/>
          <c:showSerName val="0"/>
          <c:showPercent val="0"/>
          <c:showBubbleSize val="0"/>
        </c:dLbls>
        <c:marker val="1"/>
        <c:smooth val="0"/>
        <c:axId val="137183232"/>
        <c:axId val="42902656"/>
      </c:lineChart>
      <c:catAx>
        <c:axId val="137183232"/>
        <c:scaling>
          <c:orientation val="minMax"/>
        </c:scaling>
        <c:delete val="0"/>
        <c:axPos val="b"/>
        <c:title>
          <c:tx>
            <c:rich>
              <a:bodyPr/>
              <a:lstStyle/>
              <a:p>
                <a:pPr>
                  <a:defRPr sz="900" b="0"/>
                </a:pPr>
                <a:r>
                  <a:rPr lang="ru-RU" sz="900" b="0"/>
                  <a:t>млрд. рублей</a:t>
                </a:r>
              </a:p>
            </c:rich>
          </c:tx>
          <c:layout>
            <c:manualLayout>
              <c:xMode val="edge"/>
              <c:yMode val="edge"/>
              <c:x val="6.1213910761154849E-3"/>
              <c:y val="2.3148148148148147E-3"/>
            </c:manualLayout>
          </c:layout>
          <c:overlay val="0"/>
        </c:title>
        <c:majorTickMark val="out"/>
        <c:minorTickMark val="none"/>
        <c:tickLblPos val="nextTo"/>
        <c:txPr>
          <a:bodyPr/>
          <a:lstStyle/>
          <a:p>
            <a:pPr>
              <a:defRPr sz="1000" b="1"/>
            </a:pPr>
            <a:endParaRPr lang="ru-RU"/>
          </a:p>
        </c:txPr>
        <c:crossAx val="42902656"/>
        <c:crosses val="autoZero"/>
        <c:auto val="1"/>
        <c:lblAlgn val="ctr"/>
        <c:lblOffset val="100"/>
        <c:noMultiLvlLbl val="0"/>
      </c:catAx>
      <c:valAx>
        <c:axId val="42902656"/>
        <c:scaling>
          <c:orientation val="minMax"/>
        </c:scaling>
        <c:delete val="0"/>
        <c:axPos val="l"/>
        <c:majorGridlines>
          <c:spPr>
            <a:ln>
              <a:noFill/>
            </a:ln>
          </c:spPr>
        </c:majorGridlines>
        <c:numFmt formatCode="#,##0" sourceLinked="0"/>
        <c:majorTickMark val="out"/>
        <c:minorTickMark val="none"/>
        <c:tickLblPos val="nextTo"/>
        <c:crossAx val="137183232"/>
        <c:crosses val="autoZero"/>
        <c:crossBetween val="between"/>
      </c:valAx>
    </c:plotArea>
    <c:legend>
      <c:legendPos val="b"/>
      <c:layout/>
      <c:overlay val="0"/>
    </c:legend>
    <c:plotVisOnly val="1"/>
    <c:dispBlanksAs val="gap"/>
    <c:showDLblsOverMax val="0"/>
  </c:chart>
  <c:spPr>
    <a:ln>
      <a:solidFill>
        <a:schemeClr val="bg1"/>
      </a:solid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2D507-B8AE-45BC-97BA-9412E001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2995</Words>
  <Characters>17075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Захарова С.В.</cp:lastModifiedBy>
  <cp:revision>12</cp:revision>
  <cp:lastPrinted>2019-05-28T15:23:00Z</cp:lastPrinted>
  <dcterms:created xsi:type="dcterms:W3CDTF">2019-08-22T08:18:00Z</dcterms:created>
  <dcterms:modified xsi:type="dcterms:W3CDTF">2019-08-30T09:26:00Z</dcterms:modified>
</cp:coreProperties>
</file>