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D904F" w14:textId="77777777" w:rsidR="00154E71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86692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54E71">
        <w:rPr>
          <w:rFonts w:ascii="Times New Roman" w:hAnsi="Times New Roman" w:cs="Times New Roman"/>
          <w:sz w:val="24"/>
          <w:szCs w:val="24"/>
        </w:rPr>
        <w:t>11</w:t>
      </w:r>
    </w:p>
    <w:p w14:paraId="350049E5" w14:textId="276615D2" w:rsidR="00A35541" w:rsidRPr="00866920" w:rsidRDefault="00A35541" w:rsidP="006C2491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866920"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14:paraId="671F9DF8" w14:textId="77777777" w:rsidR="001C5629" w:rsidRPr="00866920" w:rsidRDefault="001C5629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42FC33BF" w14:textId="4293DFBF" w:rsidR="001C5629" w:rsidRDefault="001C5629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3DFB878A" w14:textId="520D6446" w:rsidR="003F555C" w:rsidRPr="003F555C" w:rsidRDefault="003F555C" w:rsidP="003F555C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F555C">
        <w:rPr>
          <w:rFonts w:ascii="Times New Roman" w:hAnsi="Times New Roman" w:cs="Times New Roman"/>
          <w:bCs/>
          <w:sz w:val="24"/>
          <w:szCs w:val="24"/>
        </w:rPr>
        <w:t>Таблица 1</w:t>
      </w:r>
    </w:p>
    <w:p w14:paraId="66805E8B" w14:textId="200AC43D" w:rsidR="003F555C" w:rsidRDefault="003F555C" w:rsidP="003F555C">
      <w:pPr>
        <w:overflowPunct w:val="0"/>
        <w:autoSpaceDE w:val="0"/>
        <w:autoSpaceDN w:val="0"/>
        <w:adjustRightInd w:val="0"/>
        <w:spacing w:after="0" w:line="240" w:lineRule="auto"/>
        <w:ind w:right="5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бюджетных ассигнованиях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предоставление субсидий юридическим лицам</w:t>
      </w:r>
      <w:r w:rsidRPr="008F0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которые не будут использованы до конца 2020 года</w:t>
      </w:r>
      <w:r w:rsidR="00D45DA7">
        <w:rPr>
          <w:rStyle w:val="ac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</w:p>
    <w:p w14:paraId="65B7E27F" w14:textId="77777777" w:rsidR="003F555C" w:rsidRPr="008F0F89" w:rsidRDefault="003F555C" w:rsidP="003F555C">
      <w:pPr>
        <w:overflowPunct w:val="0"/>
        <w:autoSpaceDE w:val="0"/>
        <w:autoSpaceDN w:val="0"/>
        <w:adjustRightInd w:val="0"/>
        <w:spacing w:after="0" w:line="240" w:lineRule="auto"/>
        <w:ind w:right="50"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790078" w14:textId="77777777" w:rsidR="003F555C" w:rsidRPr="008F0F89" w:rsidRDefault="003F555C" w:rsidP="003F555C">
      <w:pPr>
        <w:overflowPunct w:val="0"/>
        <w:autoSpaceDE w:val="0"/>
        <w:autoSpaceDN w:val="0"/>
        <w:adjustRightInd w:val="0"/>
        <w:spacing w:after="0" w:line="240" w:lineRule="auto"/>
        <w:ind w:left="284" w:firstLine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F0F89">
        <w:rPr>
          <w:rFonts w:ascii="Times New Roman" w:eastAsia="Times New Roman" w:hAnsi="Times New Roman" w:cs="Times New Roman"/>
          <w:sz w:val="20"/>
          <w:szCs w:val="28"/>
          <w:lang w:eastAsia="ru-RU"/>
        </w:rPr>
        <w:t>(млн. рублей)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560"/>
        <w:gridCol w:w="2381"/>
        <w:gridCol w:w="1275"/>
        <w:gridCol w:w="1134"/>
        <w:gridCol w:w="567"/>
      </w:tblGrid>
      <w:tr w:rsidR="003F555C" w:rsidRPr="008F0F89" w14:paraId="39B08705" w14:textId="77777777" w:rsidTr="003F555C">
        <w:trPr>
          <w:trHeight w:val="460"/>
          <w:tblHeader/>
        </w:trPr>
        <w:tc>
          <w:tcPr>
            <w:tcW w:w="567" w:type="dxa"/>
            <w:vMerge w:val="restart"/>
            <w:vAlign w:val="center"/>
          </w:tcPr>
          <w:p w14:paraId="6F13EFBB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№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val="en-US" w:eastAsia="ru-RU"/>
              </w:rPr>
              <w:t xml:space="preserve"> 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п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val="en-US" w:eastAsia="ru-RU"/>
              </w:rPr>
              <w:t>/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п</w:t>
            </w:r>
          </w:p>
        </w:tc>
        <w:tc>
          <w:tcPr>
            <w:tcW w:w="3006" w:type="dxa"/>
            <w:vMerge w:val="restart"/>
            <w:vAlign w:val="center"/>
          </w:tcPr>
          <w:p w14:paraId="6AE0C79A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14:paraId="4C5643B9" w14:textId="77777777" w:rsidR="003F555C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, которая не будет использована</w:t>
            </w:r>
          </w:p>
        </w:tc>
        <w:tc>
          <w:tcPr>
            <w:tcW w:w="2381" w:type="dxa"/>
            <w:vMerge w:val="restart"/>
            <w:tcBorders>
              <w:right w:val="single" w:sz="12" w:space="0" w:color="auto"/>
            </w:tcBorders>
            <w:vAlign w:val="center"/>
          </w:tcPr>
          <w:p w14:paraId="2470F5E3" w14:textId="77777777" w:rsidR="003F555C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Примечание</w:t>
            </w:r>
          </w:p>
        </w:tc>
        <w:tc>
          <w:tcPr>
            <w:tcW w:w="2976" w:type="dxa"/>
            <w:gridSpan w:val="3"/>
            <w:tcBorders>
              <w:left w:val="single" w:sz="12" w:space="0" w:color="auto"/>
            </w:tcBorders>
            <w:vAlign w:val="center"/>
          </w:tcPr>
          <w:p w14:paraId="1C95CB9A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  <w:proofErr w:type="spellStart"/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>Справочно</w:t>
            </w:r>
            <w:proofErr w:type="spellEnd"/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>:</w:t>
            </w:r>
          </w:p>
        </w:tc>
      </w:tr>
      <w:tr w:rsidR="003F555C" w:rsidRPr="008F0F89" w14:paraId="39F07CAD" w14:textId="77777777" w:rsidTr="003F555C">
        <w:trPr>
          <w:trHeight w:val="460"/>
          <w:tblHeader/>
        </w:trPr>
        <w:tc>
          <w:tcPr>
            <w:tcW w:w="567" w:type="dxa"/>
            <w:vMerge/>
            <w:vAlign w:val="center"/>
          </w:tcPr>
          <w:p w14:paraId="4438ADDF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  <w:vMerge/>
            <w:vAlign w:val="center"/>
          </w:tcPr>
          <w:p w14:paraId="4D7322CC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550ABD55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12" w:space="0" w:color="auto"/>
            </w:tcBorders>
            <w:vAlign w:val="center"/>
          </w:tcPr>
          <w:p w14:paraId="180E3BD3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7519CE3D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 xml:space="preserve">сводная роспись с </w:t>
            </w:r>
            <w:proofErr w:type="gramStart"/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>изменения-ми</w:t>
            </w:r>
            <w:proofErr w:type="gramEnd"/>
          </w:p>
        </w:tc>
        <w:tc>
          <w:tcPr>
            <w:tcW w:w="1134" w:type="dxa"/>
            <w:vAlign w:val="center"/>
          </w:tcPr>
          <w:p w14:paraId="7A09EA06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  <w:proofErr w:type="spellStart"/>
            <w:proofErr w:type="gramStart"/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>исполне-ние</w:t>
            </w:r>
            <w:proofErr w:type="spellEnd"/>
            <w:proofErr w:type="gramEnd"/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 xml:space="preserve"> на 1 октября 2020 г.</w:t>
            </w:r>
          </w:p>
        </w:tc>
        <w:tc>
          <w:tcPr>
            <w:tcW w:w="567" w:type="dxa"/>
            <w:vAlign w:val="center"/>
          </w:tcPr>
          <w:p w14:paraId="6963EFB9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  <w:t>%</w:t>
            </w:r>
          </w:p>
        </w:tc>
      </w:tr>
      <w:tr w:rsidR="003F555C" w:rsidRPr="008F0F89" w14:paraId="60182910" w14:textId="77777777" w:rsidTr="003F555C">
        <w:tc>
          <w:tcPr>
            <w:tcW w:w="567" w:type="dxa"/>
          </w:tcPr>
          <w:p w14:paraId="59EBC4F9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1.</w:t>
            </w:r>
          </w:p>
        </w:tc>
        <w:tc>
          <w:tcPr>
            <w:tcW w:w="3006" w:type="dxa"/>
          </w:tcPr>
          <w:p w14:paraId="44F07347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Минпромторг России</w:t>
            </w:r>
            <w:r w:rsidRPr="008F0F8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(глава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Pr="008F0F8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8F0F8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1560" w:type="dxa"/>
          </w:tcPr>
          <w:p w14:paraId="57833712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5FE483EE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5CA62BDC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6DED6E10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8A43F2B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F555C" w:rsidRPr="008F0F89" w14:paraId="7A92D957" w14:textId="77777777" w:rsidTr="003F555C">
        <w:tc>
          <w:tcPr>
            <w:tcW w:w="567" w:type="dxa"/>
          </w:tcPr>
          <w:p w14:paraId="19EC3FDA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</w:tcPr>
          <w:p w14:paraId="175A5D66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российским организациям на возмещение части затрат на реализацию проектов производства медицинских изделий</w:t>
            </w:r>
          </w:p>
        </w:tc>
        <w:tc>
          <w:tcPr>
            <w:tcW w:w="1560" w:type="dxa"/>
          </w:tcPr>
          <w:p w14:paraId="00BDC54F" w14:textId="77777777" w:rsidR="003F555C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0B472478" w14:textId="77777777" w:rsidR="003F555C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Экономия по результатам проведения конкурсных процедур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434ECEFC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736,5</w:t>
            </w:r>
          </w:p>
        </w:tc>
        <w:tc>
          <w:tcPr>
            <w:tcW w:w="1134" w:type="dxa"/>
          </w:tcPr>
          <w:p w14:paraId="41677226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</w:tcPr>
          <w:p w14:paraId="389300CF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3F555C" w:rsidRPr="0066409B" w14:paraId="340F044B" w14:textId="77777777" w:rsidTr="003F555C">
        <w:tc>
          <w:tcPr>
            <w:tcW w:w="567" w:type="dxa"/>
          </w:tcPr>
          <w:p w14:paraId="6EA8DE22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2.</w:t>
            </w:r>
          </w:p>
        </w:tc>
        <w:tc>
          <w:tcPr>
            <w:tcW w:w="3006" w:type="dxa"/>
          </w:tcPr>
          <w:p w14:paraId="5F5E9E2F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proofErr w:type="spellStart"/>
            <w:r w:rsidRPr="00A956A8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Минпросвещения</w:t>
            </w:r>
            <w:proofErr w:type="spellEnd"/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России (глава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 </w:t>
            </w:r>
            <w:r w:rsidRPr="00A956A8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073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14:paraId="4BE75733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05092F79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4C6EF6AB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7F9E36C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28969641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</w:tr>
      <w:tr w:rsidR="003F555C" w:rsidRPr="0066409B" w14:paraId="227C6A0C" w14:textId="77777777" w:rsidTr="003F555C">
        <w:tc>
          <w:tcPr>
            <w:tcW w:w="567" w:type="dxa"/>
          </w:tcPr>
          <w:p w14:paraId="3F24926E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</w:tcPr>
          <w:p w14:paraId="79124FFD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  <w:tc>
          <w:tcPr>
            <w:tcW w:w="1560" w:type="dxa"/>
          </w:tcPr>
          <w:p w14:paraId="4E93886F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5,4</w:t>
            </w: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0CE5D6FB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Перевод ранее запланированных мероприятий в дистанционный формат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687507B0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35,0</w:t>
            </w:r>
          </w:p>
        </w:tc>
        <w:tc>
          <w:tcPr>
            <w:tcW w:w="1134" w:type="dxa"/>
          </w:tcPr>
          <w:p w14:paraId="6CB4E717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21,9</w:t>
            </w:r>
          </w:p>
        </w:tc>
        <w:tc>
          <w:tcPr>
            <w:tcW w:w="567" w:type="dxa"/>
          </w:tcPr>
          <w:p w14:paraId="73125CBB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62,6</w:t>
            </w:r>
          </w:p>
        </w:tc>
      </w:tr>
      <w:tr w:rsidR="003F555C" w:rsidRPr="0066409B" w14:paraId="0DA5CF32" w14:textId="77777777" w:rsidTr="003F555C">
        <w:tc>
          <w:tcPr>
            <w:tcW w:w="567" w:type="dxa"/>
          </w:tcPr>
          <w:p w14:paraId="19FD086E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3.</w:t>
            </w:r>
          </w:p>
        </w:tc>
        <w:tc>
          <w:tcPr>
            <w:tcW w:w="3006" w:type="dxa"/>
          </w:tcPr>
          <w:p w14:paraId="1B393509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Минобрнауки России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(глава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 </w:t>
            </w:r>
            <w:r w:rsidRPr="00A956A8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075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14:paraId="7CB46246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2F2B06A0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20A9F0E2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8ACFE4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125623BD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</w:tr>
      <w:tr w:rsidR="003F555C" w:rsidRPr="0066409B" w14:paraId="487B94B6" w14:textId="77777777" w:rsidTr="003F555C">
        <w:tc>
          <w:tcPr>
            <w:tcW w:w="567" w:type="dxa"/>
          </w:tcPr>
          <w:p w14:paraId="2D0A7A38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</w:tcPr>
          <w:p w14:paraId="05FF9402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  <w:tc>
          <w:tcPr>
            <w:tcW w:w="1560" w:type="dxa"/>
          </w:tcPr>
          <w:p w14:paraId="38DDC627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48,3</w:t>
            </w: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2F078D34" w14:textId="77777777" w:rsidR="003F555C" w:rsidRPr="00A956A8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A956A8">
              <w:rPr>
                <w:rFonts w:ascii="Times New Roman" w:hAnsi="Times New Roman"/>
                <w:sz w:val="20"/>
                <w:szCs w:val="28"/>
                <w:lang w:eastAsia="ru-RU"/>
              </w:rPr>
              <w:t>Экономия в связи с отсутствием необходимости формирования призового фонда текущих технологических конкурсов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4FC0BEDC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168,6</w:t>
            </w:r>
          </w:p>
        </w:tc>
        <w:tc>
          <w:tcPr>
            <w:tcW w:w="1134" w:type="dxa"/>
          </w:tcPr>
          <w:p w14:paraId="3066D5E4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22,2</w:t>
            </w:r>
          </w:p>
        </w:tc>
        <w:tc>
          <w:tcPr>
            <w:tcW w:w="567" w:type="dxa"/>
          </w:tcPr>
          <w:p w14:paraId="742848BE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13,2</w:t>
            </w:r>
          </w:p>
        </w:tc>
      </w:tr>
      <w:tr w:rsidR="003F555C" w:rsidRPr="0066409B" w14:paraId="7B0020AF" w14:textId="77777777" w:rsidTr="003F555C">
        <w:tc>
          <w:tcPr>
            <w:tcW w:w="567" w:type="dxa"/>
          </w:tcPr>
          <w:p w14:paraId="4804F557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4.</w:t>
            </w:r>
          </w:p>
        </w:tc>
        <w:tc>
          <w:tcPr>
            <w:tcW w:w="3006" w:type="dxa"/>
          </w:tcPr>
          <w:p w14:paraId="0144E1AD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Роспечать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(глава</w:t>
            </w:r>
            <w:r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 </w:t>
            </w:r>
            <w:r w:rsidRPr="00056950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135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14:paraId="4A925FDF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6C74C66D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56ED35CA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5355954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4AB0C847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</w:tr>
      <w:tr w:rsidR="003F555C" w:rsidRPr="0066409B" w14:paraId="5441E0A6" w14:textId="77777777" w:rsidTr="003F555C">
        <w:tc>
          <w:tcPr>
            <w:tcW w:w="567" w:type="dxa"/>
          </w:tcPr>
          <w:p w14:paraId="4EF2D20F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</w:tcPr>
          <w:p w14:paraId="54716649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Оказание государственной поддержки организациям, осуществляющим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сети «Интернет» сайтов, имеющих социальное или образовательное значение</w:t>
            </w:r>
          </w:p>
        </w:tc>
        <w:tc>
          <w:tcPr>
            <w:tcW w:w="1560" w:type="dxa"/>
          </w:tcPr>
          <w:p w14:paraId="1D6DDA62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25,1</w:t>
            </w: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1A5FAF9B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Экономия по результатам проведения конкурсных процедур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63E08427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663,6</w:t>
            </w:r>
          </w:p>
        </w:tc>
        <w:tc>
          <w:tcPr>
            <w:tcW w:w="1134" w:type="dxa"/>
          </w:tcPr>
          <w:p w14:paraId="373ACADF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143,5</w:t>
            </w:r>
          </w:p>
        </w:tc>
        <w:tc>
          <w:tcPr>
            <w:tcW w:w="567" w:type="dxa"/>
          </w:tcPr>
          <w:p w14:paraId="6585ACC5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21,6</w:t>
            </w:r>
          </w:p>
        </w:tc>
      </w:tr>
      <w:tr w:rsidR="003F555C" w:rsidRPr="0066409B" w14:paraId="542E50D3" w14:textId="77777777" w:rsidTr="003F555C">
        <w:tc>
          <w:tcPr>
            <w:tcW w:w="567" w:type="dxa"/>
          </w:tcPr>
          <w:p w14:paraId="7E542D66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5.</w:t>
            </w:r>
          </w:p>
        </w:tc>
        <w:tc>
          <w:tcPr>
            <w:tcW w:w="3006" w:type="dxa"/>
          </w:tcPr>
          <w:p w14:paraId="7E5E8DDF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Минспорт России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 xml:space="preserve"> (глава</w:t>
            </w:r>
            <w:r w:rsidRPr="00056950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 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7</w:t>
            </w:r>
            <w:r w:rsidRPr="00056950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77</w:t>
            </w:r>
            <w:r w:rsidRPr="008F0F89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14:paraId="0C75B2E7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1A5D0A62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7E64097F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ECD3A4E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  <w:tc>
          <w:tcPr>
            <w:tcW w:w="567" w:type="dxa"/>
          </w:tcPr>
          <w:p w14:paraId="0242B535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b/>
                <w:i/>
                <w:iCs/>
                <w:sz w:val="20"/>
                <w:szCs w:val="28"/>
                <w:lang w:eastAsia="ru-RU"/>
              </w:rPr>
            </w:pPr>
          </w:p>
        </w:tc>
      </w:tr>
      <w:tr w:rsidR="003F555C" w:rsidRPr="0066409B" w14:paraId="14B584DB" w14:textId="77777777" w:rsidTr="003F555C">
        <w:tc>
          <w:tcPr>
            <w:tcW w:w="567" w:type="dxa"/>
          </w:tcPr>
          <w:p w14:paraId="0FDF8CB1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006" w:type="dxa"/>
          </w:tcPr>
          <w:p w14:paraId="0E252B36" w14:textId="77777777" w:rsidR="003F555C" w:rsidRPr="008F0F89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Субсидия ФГУП «Спорт-Инжиниринг» на эксплуатацию стадионов в городах Волгограде, Екатеринбурге, Калининграде, Нижнем Новгороде, Ростове-на-Дону, Самаре и Саранске</w:t>
            </w:r>
          </w:p>
        </w:tc>
        <w:tc>
          <w:tcPr>
            <w:tcW w:w="1560" w:type="dxa"/>
          </w:tcPr>
          <w:p w14:paraId="42F75FFA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8,4</w:t>
            </w:r>
          </w:p>
        </w:tc>
        <w:tc>
          <w:tcPr>
            <w:tcW w:w="2381" w:type="dxa"/>
            <w:tcBorders>
              <w:right w:val="single" w:sz="12" w:space="0" w:color="auto"/>
            </w:tcBorders>
          </w:tcPr>
          <w:p w14:paraId="2729DDDA" w14:textId="77777777" w:rsidR="003F555C" w:rsidRPr="00056950" w:rsidRDefault="003F555C" w:rsidP="009C373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056950">
              <w:rPr>
                <w:rFonts w:ascii="Times New Roman" w:hAnsi="Times New Roman"/>
                <w:sz w:val="20"/>
                <w:szCs w:val="28"/>
                <w:lang w:eastAsia="ru-RU"/>
              </w:rPr>
              <w:t>Ликвидация ФГУП «Спорт-Инжиниринг»</w:t>
            </w:r>
          </w:p>
        </w:tc>
        <w:tc>
          <w:tcPr>
            <w:tcW w:w="1275" w:type="dxa"/>
            <w:tcBorders>
              <w:left w:val="single" w:sz="12" w:space="0" w:color="auto"/>
            </w:tcBorders>
          </w:tcPr>
          <w:p w14:paraId="0C30BA7B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8,4</w:t>
            </w:r>
          </w:p>
        </w:tc>
        <w:tc>
          <w:tcPr>
            <w:tcW w:w="1134" w:type="dxa"/>
          </w:tcPr>
          <w:p w14:paraId="446EC2B2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0,0</w:t>
            </w:r>
          </w:p>
        </w:tc>
        <w:tc>
          <w:tcPr>
            <w:tcW w:w="567" w:type="dxa"/>
          </w:tcPr>
          <w:p w14:paraId="6830017A" w14:textId="77777777" w:rsidR="003F555C" w:rsidRPr="005954F2" w:rsidRDefault="003F555C" w:rsidP="009C373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</w:pPr>
            <w:r w:rsidRPr="005954F2">
              <w:rPr>
                <w:rFonts w:ascii="Times New Roman" w:hAnsi="Times New Roman"/>
                <w:i/>
                <w:iCs/>
                <w:sz w:val="20"/>
                <w:szCs w:val="28"/>
                <w:lang w:eastAsia="ru-RU"/>
              </w:rPr>
              <w:t>0,0</w:t>
            </w:r>
          </w:p>
        </w:tc>
      </w:tr>
    </w:tbl>
    <w:p w14:paraId="12B68FBE" w14:textId="77777777" w:rsidR="003F555C" w:rsidRPr="008F0F89" w:rsidRDefault="003F555C" w:rsidP="003F555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0B518C3" w14:textId="77777777" w:rsidR="003F555C" w:rsidRDefault="003F555C" w:rsidP="003F555C">
      <w:pPr>
        <w:spacing w:after="0" w:line="360" w:lineRule="auto"/>
      </w:pPr>
    </w:p>
    <w:p w14:paraId="07CE5DE8" w14:textId="2DF63262" w:rsidR="003F555C" w:rsidRDefault="003F555C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br w:type="page"/>
      </w:r>
    </w:p>
    <w:p w14:paraId="69B0A13B" w14:textId="7E0EC363" w:rsidR="003F555C" w:rsidRPr="003F555C" w:rsidRDefault="003F555C" w:rsidP="003F555C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F555C">
        <w:rPr>
          <w:rFonts w:ascii="Times New Roman" w:hAnsi="Times New Roman" w:cs="Times New Roman"/>
          <w:bCs/>
          <w:sz w:val="24"/>
          <w:szCs w:val="24"/>
        </w:rPr>
        <w:lastRenderedPageBreak/>
        <w:t>Таблица 2</w:t>
      </w:r>
    </w:p>
    <w:p w14:paraId="6059FB81" w14:textId="08378D8A" w:rsidR="00AA1D4A" w:rsidRPr="00866920" w:rsidRDefault="000D593F" w:rsidP="00FC5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920">
        <w:rPr>
          <w:rFonts w:ascii="Times New Roman" w:hAnsi="Times New Roman" w:cs="Times New Roman"/>
          <w:b/>
          <w:sz w:val="24"/>
          <w:szCs w:val="24"/>
        </w:rPr>
        <w:t>Информация о</w:t>
      </w:r>
      <w:r w:rsidR="00701577" w:rsidRPr="008669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24D" w:rsidRPr="00866920">
        <w:rPr>
          <w:rFonts w:ascii="Times New Roman" w:hAnsi="Times New Roman" w:cs="Times New Roman"/>
          <w:b/>
          <w:sz w:val="24"/>
          <w:szCs w:val="24"/>
        </w:rPr>
        <w:t>недостатках</w:t>
      </w:r>
      <w:r w:rsidR="001018E9">
        <w:rPr>
          <w:rFonts w:ascii="Times New Roman" w:hAnsi="Times New Roman" w:cs="Times New Roman"/>
          <w:b/>
          <w:sz w:val="24"/>
          <w:szCs w:val="24"/>
        </w:rPr>
        <w:t xml:space="preserve"> и причинах низкого уровня</w:t>
      </w:r>
      <w:r w:rsidR="0029424D" w:rsidRPr="00866920">
        <w:rPr>
          <w:rFonts w:ascii="Times New Roman" w:hAnsi="Times New Roman" w:cs="Times New Roman"/>
          <w:b/>
          <w:sz w:val="24"/>
          <w:szCs w:val="24"/>
        </w:rPr>
        <w:t xml:space="preserve"> предоставлени</w:t>
      </w:r>
      <w:r w:rsidR="001018E9">
        <w:rPr>
          <w:rFonts w:ascii="Times New Roman" w:hAnsi="Times New Roman" w:cs="Times New Roman"/>
          <w:b/>
          <w:sz w:val="24"/>
          <w:szCs w:val="24"/>
        </w:rPr>
        <w:t>я</w:t>
      </w:r>
      <w:r w:rsidR="0029424D" w:rsidRPr="00866920">
        <w:rPr>
          <w:rFonts w:ascii="Times New Roman" w:hAnsi="Times New Roman" w:cs="Times New Roman"/>
          <w:b/>
          <w:sz w:val="24"/>
          <w:szCs w:val="24"/>
        </w:rPr>
        <w:t xml:space="preserve"> субсидий </w:t>
      </w:r>
      <w:r w:rsidRPr="00866920">
        <w:rPr>
          <w:rFonts w:ascii="Times New Roman" w:hAnsi="Times New Roman" w:cs="Times New Roman"/>
          <w:b/>
          <w:sz w:val="24"/>
          <w:szCs w:val="24"/>
        </w:rPr>
        <w:t>юридическим лицам</w:t>
      </w:r>
    </w:p>
    <w:p w14:paraId="77126AE3" w14:textId="77777777" w:rsidR="00FD7026" w:rsidRPr="00866920" w:rsidRDefault="00FD7026" w:rsidP="0083228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189B7D4E" w14:textId="77777777" w:rsidR="00A258C6" w:rsidRPr="00866920" w:rsidRDefault="00A258C6" w:rsidP="00A258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66920">
        <w:rPr>
          <w:rFonts w:ascii="Times New Roman" w:hAnsi="Times New Roman" w:cs="Times New Roman"/>
          <w:sz w:val="20"/>
          <w:szCs w:val="20"/>
        </w:rPr>
        <w:t>(млн. рублей)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7229"/>
        <w:gridCol w:w="1559"/>
      </w:tblGrid>
      <w:tr w:rsidR="00AA1D4A" w:rsidRPr="00866920" w14:paraId="476B84A9" w14:textId="77777777" w:rsidTr="000F46C2">
        <w:trPr>
          <w:tblHeader/>
        </w:trPr>
        <w:tc>
          <w:tcPr>
            <w:tcW w:w="1702" w:type="dxa"/>
            <w:vAlign w:val="center"/>
          </w:tcPr>
          <w:p w14:paraId="2022D01C" w14:textId="77777777" w:rsidR="00AA1D4A" w:rsidRPr="00866920" w:rsidRDefault="00AA1D4A" w:rsidP="00DE0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распорядитель средств федерального бюджета</w:t>
            </w:r>
          </w:p>
        </w:tc>
        <w:tc>
          <w:tcPr>
            <w:tcW w:w="7229" w:type="dxa"/>
            <w:vAlign w:val="center"/>
          </w:tcPr>
          <w:p w14:paraId="7296938B" w14:textId="77777777" w:rsidR="00AA1D4A" w:rsidRPr="00866920" w:rsidRDefault="00B91420" w:rsidP="007B2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о</w:t>
            </w:r>
            <w:r w:rsidR="00701577"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предоставлении субсидий</w:t>
            </w:r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юридическим лицам</w:t>
            </w:r>
            <w:r w:rsidR="007B2A48"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заключении соглашений</w:t>
            </w:r>
          </w:p>
        </w:tc>
        <w:tc>
          <w:tcPr>
            <w:tcW w:w="1559" w:type="dxa"/>
            <w:vAlign w:val="center"/>
          </w:tcPr>
          <w:p w14:paraId="15A71F61" w14:textId="77777777" w:rsidR="00AA1D4A" w:rsidRPr="00866920" w:rsidRDefault="004D1146" w:rsidP="004D11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расходов федерального бюджета на </w:t>
            </w:r>
            <w:proofErr w:type="spellStart"/>
            <w:proofErr w:type="gramStart"/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</w:t>
            </w:r>
            <w:r w:rsidR="001C5629"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proofErr w:type="gramEnd"/>
            <w:r w:rsidRPr="008669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субсидий</w:t>
            </w:r>
          </w:p>
        </w:tc>
      </w:tr>
      <w:tr w:rsidR="000F46C2" w:rsidRPr="00866920" w14:paraId="18FA44DE" w14:textId="77777777" w:rsidTr="009E330A">
        <w:tc>
          <w:tcPr>
            <w:tcW w:w="1702" w:type="dxa"/>
          </w:tcPr>
          <w:p w14:paraId="493FC639" w14:textId="77777777" w:rsidR="000F46C2" w:rsidRPr="00E202B3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Минсельхоз России</w:t>
            </w:r>
          </w:p>
        </w:tc>
        <w:tc>
          <w:tcPr>
            <w:tcW w:w="7229" w:type="dxa"/>
          </w:tcPr>
          <w:p w14:paraId="2EA4559F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отраслей агропромышленного комплекса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Государственной программы 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в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озмещение недополученных российскими кредитными организациями, международными финансовыми организациями и государственной корпорацией развития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>ВЭБ.РФ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Федеральным законом № 380-ФЗ (с изменениями) по Минсельхозу России предусмотрены бюджетные ассигнования в объеме 111 402,9 млн. рублей.</w:t>
            </w:r>
          </w:p>
          <w:p w14:paraId="7175713A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Сводной росписью с изменениями бюджетные ассигнования на предоставление указанных субсидий уменьшены на </w:t>
            </w:r>
            <w:r w:rsidRPr="006966E1">
              <w:rPr>
                <w:rFonts w:ascii="Times New Roman" w:hAnsi="Times New Roman" w:cs="Times New Roman"/>
                <w:bCs/>
                <w:sz w:val="20"/>
                <w:szCs w:val="20"/>
              </w:rPr>
              <w:t>29 589,9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млн. рублей, или на 26,6 %, по сравнению с Федеральным законом № 380-ФЗ (с изменениями) и составили 81 813,0 млн. рублей.</w:t>
            </w:r>
          </w:p>
          <w:p w14:paraId="4185AE50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Вместе с тем, по состоянию на 1 октября 2020 года исполнение расходов на предоставление указанных субсидий составило 46 284,1 млн. рублей, или 56,6 % показателя сводной росписи с изменениями в связи с 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>низки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темп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ами</w:t>
            </w:r>
            <w:r w:rsidRPr="006D7A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заключения соглашений с юридическими лицами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07D10CC" w14:textId="77777777" w:rsidR="000F46C2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81 813,0</w:t>
            </w:r>
          </w:p>
        </w:tc>
      </w:tr>
      <w:tr w:rsidR="000F46C2" w:rsidRPr="007074DD" w14:paraId="52D489A7" w14:textId="77777777" w:rsidTr="009E330A">
        <w:tc>
          <w:tcPr>
            <w:tcW w:w="1702" w:type="dxa"/>
          </w:tcPr>
          <w:p w14:paraId="236B8A43" w14:textId="77777777" w:rsidR="000F46C2" w:rsidRPr="007074DD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ФАДН России</w:t>
            </w:r>
          </w:p>
        </w:tc>
        <w:tc>
          <w:tcPr>
            <w:tcW w:w="7229" w:type="dxa"/>
          </w:tcPr>
          <w:p w14:paraId="6FA3FA0A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</w:t>
            </w:r>
            <w:r w:rsidRPr="00FC7898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Государственно-общественное партнерство в сфере государственной национальной политики 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</w:t>
            </w:r>
            <w:r w:rsidRPr="00FC7898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государственной национальной политики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на предоставление с</w:t>
            </w:r>
            <w:r w:rsidRPr="00FC7898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FC78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поддержку некоммерческих организаций в сфере духовно-просветительской деятельности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 по ФАДН России предусмотрены бюджетные ассигнования в объеме 1 937,5 млн. рублей.</w:t>
            </w:r>
          </w:p>
          <w:p w14:paraId="00BC3956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2020 года исполнение расходов на предоставление указанных субсидий составило 560,2 млн. рублей, или 28,9 % показателя сводной росписи, что связано с </w:t>
            </w:r>
            <w:r w:rsidRPr="000F46C2">
              <w:rPr>
                <w:rFonts w:ascii="Times New Roman" w:hAnsi="Times New Roman" w:cs="Times New Roman"/>
                <w:bCs/>
                <w:sz w:val="20"/>
                <w:szCs w:val="20"/>
              </w:rPr>
              <w:t>длительностью заключения соглашений с получателями средств федерального бюджета по итогам конкурсного отбора некоммерческих организаций – получателей субсидий (конкурсный отбор завершен 19 июня 2020 года)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FF05AB4" w14:textId="77777777" w:rsidR="000F46C2" w:rsidRDefault="000F46C2" w:rsidP="009E330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1 937,5</w:t>
            </w:r>
          </w:p>
        </w:tc>
      </w:tr>
      <w:tr w:rsidR="00FE31A7" w:rsidRPr="00866920" w14:paraId="77DA4CAF" w14:textId="77777777" w:rsidTr="001C5629">
        <w:tc>
          <w:tcPr>
            <w:tcW w:w="1702" w:type="dxa"/>
          </w:tcPr>
          <w:p w14:paraId="02CD189F" w14:textId="058729A9" w:rsidR="00FE31A7" w:rsidRPr="00E202B3" w:rsidRDefault="00E202B3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2B3">
              <w:rPr>
                <w:rFonts w:ascii="Times New Roman" w:hAnsi="Times New Roman" w:cs="Times New Roman"/>
                <w:sz w:val="20"/>
                <w:szCs w:val="20"/>
              </w:rPr>
              <w:t>Минэкономразвития</w:t>
            </w:r>
            <w:r w:rsidR="00FE31A7" w:rsidRPr="00E202B3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</w:tc>
        <w:tc>
          <w:tcPr>
            <w:tcW w:w="7229" w:type="dxa"/>
          </w:tcPr>
          <w:p w14:paraId="11363B58" w14:textId="1EB231F5" w:rsidR="00FE31A7" w:rsidRPr="00E202B3" w:rsidRDefault="00FE31A7" w:rsidP="00163655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одпрограмм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Развитие малого и среднего предпринимательства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Экономическое развитие и инновационная экономика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предоставление 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российским кредитным организациям на обеспечение отсрочки платежа по кредитам, выданным субъектам малого и среднего предпринимательства, за счет средств резервного фонда Правительства Российской Федерации</w:t>
            </w:r>
            <w:r w:rsid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сводной росписью с изменениями </w:t>
            </w:r>
            <w:r w:rsidR="007074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Минэкономразвития России 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предусмотрены бюджетные ассигнования в объеме </w:t>
            </w:r>
            <w:r w:rsidR="00E202B3"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1 500,0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 млн. рублей.</w:t>
            </w:r>
          </w:p>
          <w:p w14:paraId="5B39E397" w14:textId="6A66FD5C" w:rsidR="008E138A" w:rsidRPr="00866920" w:rsidRDefault="00E202B3" w:rsidP="002F76F8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1 октября 2020 года исполнение расходов на предоставление указанных субсидий составило 107,4 млн. рублей, или 7,2 % показателя сводной росписи с изменениями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что связано с их невостребованностью по причине реализации 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банками собственных антикризисных программ реструктуризации.</w:t>
            </w:r>
          </w:p>
        </w:tc>
        <w:tc>
          <w:tcPr>
            <w:tcW w:w="1559" w:type="dxa"/>
          </w:tcPr>
          <w:p w14:paraId="56DD0374" w14:textId="2898E3E8" w:rsidR="00FE31A7" w:rsidRPr="00E202B3" w:rsidRDefault="00E202B3" w:rsidP="00E0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2B3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</w:tr>
      <w:tr w:rsidR="000F46C2" w:rsidRPr="00866920" w14:paraId="3C697CA5" w14:textId="77777777" w:rsidTr="009E330A">
        <w:tc>
          <w:tcPr>
            <w:tcW w:w="1702" w:type="dxa"/>
          </w:tcPr>
          <w:p w14:paraId="3EE8CE65" w14:textId="77777777" w:rsidR="000F46C2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Росавиация</w:t>
            </w:r>
          </w:p>
        </w:tc>
        <w:tc>
          <w:tcPr>
            <w:tcW w:w="7229" w:type="dxa"/>
          </w:tcPr>
          <w:p w14:paraId="0442BC81" w14:textId="760F2F81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</w:t>
            </w:r>
            <w:r w:rsidRPr="00007CC4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реализации программы, включая развитие транспортной инфраструктуры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«Развитие транспортной системы» на предоставление с</w:t>
            </w:r>
            <w:r w:rsidRPr="00007CC4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007C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организациям воздушного транспорта на возмещение затрат, понесенных при выполнении мероприятий по вывозу граждан из иностранных государств, в которых сложилась неблагоприятная ситуация, связанная с распространением новой коронавирусной инфекции, за </w:t>
            </w:r>
            <w:r w:rsidRPr="00007CC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сводной росписью с изменениями по Росавиации предусмотрены бюджетные ассигнования в объеме 1 500,0 млн. рублей.</w:t>
            </w:r>
            <w:r w:rsidR="00FA2E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Соответствующие изменения в сводную роспись внесены 7 апреля 2020 года.</w:t>
            </w:r>
          </w:p>
          <w:p w14:paraId="0F46631A" w14:textId="66864C92" w:rsidR="000F46C2" w:rsidRDefault="000F46C2" w:rsidP="00FA2E1B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2020 года исполнение расходов на предоставление указанных субсидий составило 192,8 млн. рублей, или 12,9 % показателя сводной росписи с изменениями в связи </w:t>
            </w:r>
            <w:r w:rsidR="00FA2E1B">
              <w:rPr>
                <w:rFonts w:ascii="Times New Roman" w:hAnsi="Times New Roman" w:cs="Times New Roman"/>
                <w:bCs/>
                <w:sz w:val="20"/>
                <w:szCs w:val="20"/>
              </w:rPr>
              <w:t>с некорректным оформлением авиакомпаниями заявлений на получение бюджетных средств и необходимостью их дальнейшей доработки.</w:t>
            </w:r>
          </w:p>
        </w:tc>
        <w:tc>
          <w:tcPr>
            <w:tcW w:w="1559" w:type="dxa"/>
          </w:tcPr>
          <w:p w14:paraId="1A54A5CE" w14:textId="77777777" w:rsidR="000F46C2" w:rsidRDefault="000F46C2" w:rsidP="009E330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1 500,0</w:t>
            </w:r>
          </w:p>
        </w:tc>
      </w:tr>
      <w:tr w:rsidR="000F46C2" w:rsidRPr="007074DD" w14:paraId="407B8EFE" w14:textId="77777777" w:rsidTr="009E330A">
        <w:tc>
          <w:tcPr>
            <w:tcW w:w="1702" w:type="dxa"/>
          </w:tcPr>
          <w:p w14:paraId="7B2B0D4F" w14:textId="77777777" w:rsidR="000F46C2" w:rsidRPr="007074DD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4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Росжелдор</w:t>
            </w:r>
          </w:p>
        </w:tc>
        <w:tc>
          <w:tcPr>
            <w:tcW w:w="7229" w:type="dxa"/>
          </w:tcPr>
          <w:p w14:paraId="3DAA84D0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подпрограммы «Железнодорожный транспорт» госпрограммы «Развитие транспортной системы» на предоставление с</w:t>
            </w:r>
            <w:r w:rsidRPr="00DD115E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DD1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 по Росжелдору предусмотрены бюджетные ассигнования в объеме 604,8 млн. рублей.</w:t>
            </w:r>
          </w:p>
          <w:p w14:paraId="51B5F5CE" w14:textId="77777777" w:rsidR="000F46C2" w:rsidRDefault="000F46C2" w:rsidP="009E330A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2020 года исполнение расходов на предоставление указанных субсидий составило 310,0 млн. рублей, или 51,3 % показателя сводной росписи с изменениями </w:t>
            </w:r>
            <w:r w:rsidRPr="00DD1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связи с введенными ограничениями на передвижение граждан, вызванными пандемией </w:t>
            </w:r>
            <w:r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>новой коронавирусной инфекции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CA3BC4C" w14:textId="77777777" w:rsidR="000F46C2" w:rsidRDefault="000F46C2" w:rsidP="009E3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604,8</w:t>
            </w:r>
          </w:p>
        </w:tc>
      </w:tr>
      <w:tr w:rsidR="00702973" w:rsidRPr="00866920" w14:paraId="614C89DE" w14:textId="77777777" w:rsidTr="001C5629">
        <w:tc>
          <w:tcPr>
            <w:tcW w:w="1702" w:type="dxa"/>
          </w:tcPr>
          <w:p w14:paraId="36A6C583" w14:textId="04915835" w:rsidR="00702973" w:rsidRPr="00E202B3" w:rsidRDefault="00702973" w:rsidP="00702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2B3">
              <w:rPr>
                <w:rFonts w:ascii="Times New Roman" w:hAnsi="Times New Roman" w:cs="Times New Roman"/>
                <w:sz w:val="20"/>
                <w:szCs w:val="20"/>
              </w:rPr>
              <w:t>Минэкономразвития России</w:t>
            </w:r>
          </w:p>
        </w:tc>
        <w:tc>
          <w:tcPr>
            <w:tcW w:w="7229" w:type="dxa"/>
          </w:tcPr>
          <w:p w14:paraId="253DBFE6" w14:textId="0C71055D" w:rsidR="00702973" w:rsidRDefault="00702973" w:rsidP="00702973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рамках ф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>едеральн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ого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>Кадры для цифровой экономики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госпрограммы «</w:t>
            </w: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Экономическое развитие и инновационная экономика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 на г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>осударственн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ую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поддержка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АНО 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высшего образования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>Университет Иннополис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7029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целях обеспечения развития образовательных и научно-методических практик подготовки специалистов в сфере информационных и сквозных технологий, а также развития международного сотрудничества, интеграции российской образовательной системы и лучших зарубежных практик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сводной росписью с изменениями</w:t>
            </w:r>
            <w:r w:rsidR="007074D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Минэкономразвития России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предусмотрены бюджетные ассигнования в объеме 556,8 млн. рублей.</w:t>
            </w:r>
          </w:p>
          <w:p w14:paraId="36F41439" w14:textId="10A59FCC" w:rsidR="00702973" w:rsidRPr="008F699C" w:rsidRDefault="00702973" w:rsidP="00702973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02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2020 года исполнение расходов на предоставление указанных субсидий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осуществлялось в связи с отсутствием порядка их предоставления, который по состоянию на 1 октября 2020 года внесен в Правительство Российской Федерации.</w:t>
            </w:r>
          </w:p>
        </w:tc>
        <w:tc>
          <w:tcPr>
            <w:tcW w:w="1559" w:type="dxa"/>
          </w:tcPr>
          <w:p w14:paraId="4CB89C2F" w14:textId="60FE8BAD" w:rsidR="00702973" w:rsidRPr="00E202B3" w:rsidRDefault="00702973" w:rsidP="00702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556,8</w:t>
            </w:r>
          </w:p>
        </w:tc>
      </w:tr>
      <w:tr w:rsidR="007074DD" w:rsidRPr="007074DD" w14:paraId="7EC27701" w14:textId="77777777" w:rsidTr="002D6A01">
        <w:tc>
          <w:tcPr>
            <w:tcW w:w="1702" w:type="dxa"/>
          </w:tcPr>
          <w:p w14:paraId="29A4EE6B" w14:textId="19636DCD" w:rsidR="007074DD" w:rsidRPr="007074DD" w:rsidRDefault="007074DD" w:rsidP="00702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74DD">
              <w:rPr>
                <w:rFonts w:ascii="Times New Roman" w:hAnsi="Times New Roman" w:cs="Times New Roman"/>
                <w:sz w:val="20"/>
                <w:szCs w:val="20"/>
              </w:rPr>
              <w:t>Росжелдор</w:t>
            </w:r>
          </w:p>
        </w:tc>
        <w:tc>
          <w:tcPr>
            <w:tcW w:w="7229" w:type="dxa"/>
          </w:tcPr>
          <w:p w14:paraId="66403497" w14:textId="5F9E447C" w:rsidR="007074DD" w:rsidRDefault="007074DD" w:rsidP="00702973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рамках подпрограммы «Железнодорожный транспорт» госпрограммы «Развитие транспортной системы» 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>на предоставление с</w:t>
            </w:r>
            <w:r w:rsidR="00551587"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>убсиди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="00551587"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АО </w:t>
            </w:r>
            <w:r w:rsidR="00551587"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Транспортная компания 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551587"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>Гранд Сервис Экспресс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551587"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территорию Республики Крым и города федерального значения Севастополь и в обратном направлении </w:t>
            </w:r>
            <w:r w:rsidR="00551587">
              <w:rPr>
                <w:rFonts w:ascii="Times New Roman" w:hAnsi="Times New Roman" w:cs="Times New Roman"/>
                <w:bCs/>
                <w:sz w:val="20"/>
                <w:szCs w:val="20"/>
              </w:rPr>
              <w:t>сводной росписью с изменениями по Росжелдору предусмотрены бюджетные ассигнования в объеме 125,8 млн. рублей.</w:t>
            </w:r>
          </w:p>
          <w:p w14:paraId="375B593C" w14:textId="554D4E22" w:rsidR="00551587" w:rsidRPr="007074DD" w:rsidRDefault="00551587" w:rsidP="00702973">
            <w:pPr>
              <w:ind w:firstLine="45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состоянию на 1 октября 2020 года исполнение расходов на предоставление указанных субсидий составило 53,9 млн. рублей, или 42,9 % показателя сводной росписи с изменениями </w:t>
            </w:r>
            <w:r w:rsidRPr="00551587">
              <w:rPr>
                <w:rFonts w:ascii="Times New Roman" w:hAnsi="Times New Roman" w:cs="Times New Roman"/>
                <w:bCs/>
                <w:sz w:val="20"/>
                <w:szCs w:val="20"/>
              </w:rPr>
              <w:t>в связи со снижением пассажиропотока из-за распространения новой коронавирусной инфекции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67B2EE2" w14:textId="1436AA1C" w:rsidR="007074DD" w:rsidRPr="007074DD" w:rsidRDefault="00551587" w:rsidP="00702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</w:tr>
    </w:tbl>
    <w:p w14:paraId="7B2480AE" w14:textId="77777777" w:rsidR="00832282" w:rsidRDefault="00832282" w:rsidP="00E1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699583" w14:textId="77777777" w:rsidR="005F459E" w:rsidRDefault="005F459E" w:rsidP="00D076E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sectPr w:rsidR="005F459E" w:rsidSect="000A3B2F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3A8EF" w14:textId="77777777" w:rsidR="00233537" w:rsidRDefault="00233537" w:rsidP="00E15C89">
      <w:pPr>
        <w:spacing w:after="0" w:line="240" w:lineRule="auto"/>
      </w:pPr>
      <w:r>
        <w:separator/>
      </w:r>
    </w:p>
  </w:endnote>
  <w:endnote w:type="continuationSeparator" w:id="0">
    <w:p w14:paraId="6544B125" w14:textId="77777777" w:rsidR="00233537" w:rsidRDefault="00233537" w:rsidP="00E15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6D296" w14:textId="77777777" w:rsidR="00233537" w:rsidRDefault="00233537" w:rsidP="00E15C89">
      <w:pPr>
        <w:spacing w:after="0" w:line="240" w:lineRule="auto"/>
      </w:pPr>
      <w:r>
        <w:separator/>
      </w:r>
    </w:p>
  </w:footnote>
  <w:footnote w:type="continuationSeparator" w:id="0">
    <w:p w14:paraId="40A2818A" w14:textId="77777777" w:rsidR="00233537" w:rsidRDefault="00233537" w:rsidP="00E15C89">
      <w:pPr>
        <w:spacing w:after="0" w:line="240" w:lineRule="auto"/>
      </w:pPr>
      <w:r>
        <w:continuationSeparator/>
      </w:r>
    </w:p>
  </w:footnote>
  <w:footnote w:id="1">
    <w:p w14:paraId="581724A9" w14:textId="1872B9A9" w:rsidR="00D45DA7" w:rsidRDefault="00D45DA7">
      <w:pPr>
        <w:pStyle w:val="aa"/>
      </w:pPr>
      <w:r>
        <w:rPr>
          <w:rStyle w:val="ac"/>
        </w:rPr>
        <w:footnoteRef/>
      </w:r>
      <w:r>
        <w:t xml:space="preserve"> </w:t>
      </w:r>
      <w:r w:rsidRPr="00D45DA7">
        <w:rPr>
          <w:rFonts w:ascii="Times New Roman" w:hAnsi="Times New Roman" w:cs="Times New Roman"/>
        </w:rPr>
        <w:t>Письмо Минфина России от 6 октября 2020 г. № 01-02-02/16-87347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10034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345653" w14:textId="77777777" w:rsidR="00E15C89" w:rsidRPr="000A22CD" w:rsidRDefault="00E15C89">
        <w:pPr>
          <w:pStyle w:val="a4"/>
          <w:jc w:val="center"/>
          <w:rPr>
            <w:rFonts w:ascii="Times New Roman" w:hAnsi="Times New Roman" w:cs="Times New Roman"/>
          </w:rPr>
        </w:pPr>
        <w:r w:rsidRPr="000A22CD">
          <w:rPr>
            <w:rFonts w:ascii="Times New Roman" w:hAnsi="Times New Roman" w:cs="Times New Roman"/>
          </w:rPr>
          <w:fldChar w:fldCharType="begin"/>
        </w:r>
        <w:r w:rsidRPr="000A22CD">
          <w:rPr>
            <w:rFonts w:ascii="Times New Roman" w:hAnsi="Times New Roman" w:cs="Times New Roman"/>
          </w:rPr>
          <w:instrText>PAGE   \* MERGEFORMAT</w:instrText>
        </w:r>
        <w:r w:rsidRPr="000A22CD">
          <w:rPr>
            <w:rFonts w:ascii="Times New Roman" w:hAnsi="Times New Roman" w:cs="Times New Roman"/>
          </w:rPr>
          <w:fldChar w:fldCharType="separate"/>
        </w:r>
        <w:r w:rsidR="00D45DA7">
          <w:rPr>
            <w:rFonts w:ascii="Times New Roman" w:hAnsi="Times New Roman" w:cs="Times New Roman"/>
            <w:noProof/>
          </w:rPr>
          <w:t>2</w:t>
        </w:r>
        <w:r w:rsidRPr="000A22CD">
          <w:rPr>
            <w:rFonts w:ascii="Times New Roman" w:hAnsi="Times New Roman" w:cs="Times New Roman"/>
          </w:rPr>
          <w:fldChar w:fldCharType="end"/>
        </w:r>
      </w:p>
    </w:sdtContent>
  </w:sdt>
  <w:p w14:paraId="11E0885F" w14:textId="77777777" w:rsidR="00E15C89" w:rsidRDefault="00E15C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7B"/>
    <w:rsid w:val="00004113"/>
    <w:rsid w:val="00005CBA"/>
    <w:rsid w:val="00007CC4"/>
    <w:rsid w:val="000136AD"/>
    <w:rsid w:val="00016C31"/>
    <w:rsid w:val="00017F92"/>
    <w:rsid w:val="00020466"/>
    <w:rsid w:val="00022122"/>
    <w:rsid w:val="00034AA6"/>
    <w:rsid w:val="00035194"/>
    <w:rsid w:val="000476FF"/>
    <w:rsid w:val="0005206B"/>
    <w:rsid w:val="00055D23"/>
    <w:rsid w:val="00064928"/>
    <w:rsid w:val="00070EEC"/>
    <w:rsid w:val="000751A7"/>
    <w:rsid w:val="000840AA"/>
    <w:rsid w:val="00085775"/>
    <w:rsid w:val="00086ACE"/>
    <w:rsid w:val="0009670B"/>
    <w:rsid w:val="000978BC"/>
    <w:rsid w:val="000A22CD"/>
    <w:rsid w:val="000A3B2F"/>
    <w:rsid w:val="000B0A61"/>
    <w:rsid w:val="000B39DF"/>
    <w:rsid w:val="000B48F5"/>
    <w:rsid w:val="000B65D4"/>
    <w:rsid w:val="000B7D72"/>
    <w:rsid w:val="000C0801"/>
    <w:rsid w:val="000C4E95"/>
    <w:rsid w:val="000C7448"/>
    <w:rsid w:val="000D0B44"/>
    <w:rsid w:val="000D0F9E"/>
    <w:rsid w:val="000D593F"/>
    <w:rsid w:val="000E4374"/>
    <w:rsid w:val="000F26C8"/>
    <w:rsid w:val="000F468D"/>
    <w:rsid w:val="000F46C2"/>
    <w:rsid w:val="000F5265"/>
    <w:rsid w:val="000F737C"/>
    <w:rsid w:val="00100D72"/>
    <w:rsid w:val="001018E9"/>
    <w:rsid w:val="001201EC"/>
    <w:rsid w:val="001269DB"/>
    <w:rsid w:val="00126FEB"/>
    <w:rsid w:val="00137D56"/>
    <w:rsid w:val="00144804"/>
    <w:rsid w:val="00144C41"/>
    <w:rsid w:val="00145080"/>
    <w:rsid w:val="00154E71"/>
    <w:rsid w:val="00163655"/>
    <w:rsid w:val="0016404F"/>
    <w:rsid w:val="001731CF"/>
    <w:rsid w:val="001745DC"/>
    <w:rsid w:val="00176B05"/>
    <w:rsid w:val="001801E6"/>
    <w:rsid w:val="001874EE"/>
    <w:rsid w:val="001975A2"/>
    <w:rsid w:val="001A145A"/>
    <w:rsid w:val="001B13C0"/>
    <w:rsid w:val="001B5975"/>
    <w:rsid w:val="001C26F8"/>
    <w:rsid w:val="001C4CD3"/>
    <w:rsid w:val="001C5629"/>
    <w:rsid w:val="001D1062"/>
    <w:rsid w:val="001D5F9B"/>
    <w:rsid w:val="001E3B55"/>
    <w:rsid w:val="001F133E"/>
    <w:rsid w:val="001F4524"/>
    <w:rsid w:val="001F745B"/>
    <w:rsid w:val="00212DB2"/>
    <w:rsid w:val="00223ECC"/>
    <w:rsid w:val="00224745"/>
    <w:rsid w:val="00233537"/>
    <w:rsid w:val="00250BD1"/>
    <w:rsid w:val="00262635"/>
    <w:rsid w:val="0026378B"/>
    <w:rsid w:val="00273A34"/>
    <w:rsid w:val="002915BC"/>
    <w:rsid w:val="0029424D"/>
    <w:rsid w:val="00294581"/>
    <w:rsid w:val="00296201"/>
    <w:rsid w:val="002A2DAE"/>
    <w:rsid w:val="002A5964"/>
    <w:rsid w:val="002A7EC0"/>
    <w:rsid w:val="002B508F"/>
    <w:rsid w:val="002B531C"/>
    <w:rsid w:val="002C0DAD"/>
    <w:rsid w:val="002C6720"/>
    <w:rsid w:val="002E0527"/>
    <w:rsid w:val="002E0AAA"/>
    <w:rsid w:val="002E41DD"/>
    <w:rsid w:val="002F0959"/>
    <w:rsid w:val="002F1600"/>
    <w:rsid w:val="002F76F8"/>
    <w:rsid w:val="00324AEE"/>
    <w:rsid w:val="00325FFC"/>
    <w:rsid w:val="00326F3E"/>
    <w:rsid w:val="0033584A"/>
    <w:rsid w:val="00336C95"/>
    <w:rsid w:val="00343E2B"/>
    <w:rsid w:val="00345B4F"/>
    <w:rsid w:val="003543C8"/>
    <w:rsid w:val="003547B0"/>
    <w:rsid w:val="00380AC2"/>
    <w:rsid w:val="003827EA"/>
    <w:rsid w:val="003954AA"/>
    <w:rsid w:val="003A1F8A"/>
    <w:rsid w:val="003A5F4F"/>
    <w:rsid w:val="003C0147"/>
    <w:rsid w:val="003C7EEB"/>
    <w:rsid w:val="003D0AD0"/>
    <w:rsid w:val="003D11E6"/>
    <w:rsid w:val="003D6214"/>
    <w:rsid w:val="003E3F36"/>
    <w:rsid w:val="003F555C"/>
    <w:rsid w:val="00407F64"/>
    <w:rsid w:val="004175CA"/>
    <w:rsid w:val="00422F47"/>
    <w:rsid w:val="004328B6"/>
    <w:rsid w:val="0043307F"/>
    <w:rsid w:val="00434A1F"/>
    <w:rsid w:val="00443005"/>
    <w:rsid w:val="00445021"/>
    <w:rsid w:val="004467E4"/>
    <w:rsid w:val="00447BEF"/>
    <w:rsid w:val="00454DAD"/>
    <w:rsid w:val="00455E6B"/>
    <w:rsid w:val="0045630E"/>
    <w:rsid w:val="00462FB6"/>
    <w:rsid w:val="00463738"/>
    <w:rsid w:val="004754EA"/>
    <w:rsid w:val="00484577"/>
    <w:rsid w:val="00484E17"/>
    <w:rsid w:val="00490FA7"/>
    <w:rsid w:val="00493CE7"/>
    <w:rsid w:val="004B0D24"/>
    <w:rsid w:val="004C57DC"/>
    <w:rsid w:val="004C585A"/>
    <w:rsid w:val="004D1146"/>
    <w:rsid w:val="004D34C0"/>
    <w:rsid w:val="004E39FF"/>
    <w:rsid w:val="004E62FA"/>
    <w:rsid w:val="004F2582"/>
    <w:rsid w:val="005061BE"/>
    <w:rsid w:val="005061E1"/>
    <w:rsid w:val="0051557E"/>
    <w:rsid w:val="00526638"/>
    <w:rsid w:val="00532A5E"/>
    <w:rsid w:val="00534DBC"/>
    <w:rsid w:val="00542CE6"/>
    <w:rsid w:val="00551587"/>
    <w:rsid w:val="0055699E"/>
    <w:rsid w:val="005769F3"/>
    <w:rsid w:val="00591644"/>
    <w:rsid w:val="00592136"/>
    <w:rsid w:val="00595D61"/>
    <w:rsid w:val="005A587B"/>
    <w:rsid w:val="005A6BCF"/>
    <w:rsid w:val="005B06BF"/>
    <w:rsid w:val="005B2AB6"/>
    <w:rsid w:val="005B35B7"/>
    <w:rsid w:val="005B6AFD"/>
    <w:rsid w:val="005D1CEC"/>
    <w:rsid w:val="005D1D0F"/>
    <w:rsid w:val="005D337B"/>
    <w:rsid w:val="005D389D"/>
    <w:rsid w:val="005E4831"/>
    <w:rsid w:val="005E6D42"/>
    <w:rsid w:val="005F3C73"/>
    <w:rsid w:val="005F459E"/>
    <w:rsid w:val="005F655F"/>
    <w:rsid w:val="0060397B"/>
    <w:rsid w:val="006102F1"/>
    <w:rsid w:val="006158C8"/>
    <w:rsid w:val="00616A78"/>
    <w:rsid w:val="0061766F"/>
    <w:rsid w:val="006248EF"/>
    <w:rsid w:val="00632151"/>
    <w:rsid w:val="00637DCA"/>
    <w:rsid w:val="00657994"/>
    <w:rsid w:val="00657F73"/>
    <w:rsid w:val="00671597"/>
    <w:rsid w:val="00672ECA"/>
    <w:rsid w:val="00676781"/>
    <w:rsid w:val="00682AF1"/>
    <w:rsid w:val="006903E2"/>
    <w:rsid w:val="0069178D"/>
    <w:rsid w:val="006959AA"/>
    <w:rsid w:val="006966E1"/>
    <w:rsid w:val="006C2491"/>
    <w:rsid w:val="006C74A7"/>
    <w:rsid w:val="006D23CC"/>
    <w:rsid w:val="006D3362"/>
    <w:rsid w:val="006D372B"/>
    <w:rsid w:val="006D7ADA"/>
    <w:rsid w:val="006E07FE"/>
    <w:rsid w:val="006E3567"/>
    <w:rsid w:val="006E48E3"/>
    <w:rsid w:val="006E7BCA"/>
    <w:rsid w:val="006F074F"/>
    <w:rsid w:val="006F146B"/>
    <w:rsid w:val="006F1FAC"/>
    <w:rsid w:val="006F2315"/>
    <w:rsid w:val="00701577"/>
    <w:rsid w:val="00702973"/>
    <w:rsid w:val="007064D4"/>
    <w:rsid w:val="007074DD"/>
    <w:rsid w:val="007100A4"/>
    <w:rsid w:val="00710396"/>
    <w:rsid w:val="007302CE"/>
    <w:rsid w:val="007337B1"/>
    <w:rsid w:val="00736D1F"/>
    <w:rsid w:val="007376C8"/>
    <w:rsid w:val="00741FA8"/>
    <w:rsid w:val="007451E1"/>
    <w:rsid w:val="00746465"/>
    <w:rsid w:val="00766BC0"/>
    <w:rsid w:val="00767256"/>
    <w:rsid w:val="00772B17"/>
    <w:rsid w:val="007779DD"/>
    <w:rsid w:val="00792FA5"/>
    <w:rsid w:val="00793C30"/>
    <w:rsid w:val="007A1859"/>
    <w:rsid w:val="007A2A97"/>
    <w:rsid w:val="007A5F9E"/>
    <w:rsid w:val="007B0542"/>
    <w:rsid w:val="007B2A48"/>
    <w:rsid w:val="007B2F21"/>
    <w:rsid w:val="007B3735"/>
    <w:rsid w:val="007C2A0C"/>
    <w:rsid w:val="007D4345"/>
    <w:rsid w:val="007D56B2"/>
    <w:rsid w:val="007E39B3"/>
    <w:rsid w:val="007E5C03"/>
    <w:rsid w:val="007E675A"/>
    <w:rsid w:val="007F3ED5"/>
    <w:rsid w:val="008143A6"/>
    <w:rsid w:val="00820B3E"/>
    <w:rsid w:val="00821F6C"/>
    <w:rsid w:val="00832282"/>
    <w:rsid w:val="00842298"/>
    <w:rsid w:val="0084608F"/>
    <w:rsid w:val="0084656D"/>
    <w:rsid w:val="0084760C"/>
    <w:rsid w:val="008501FE"/>
    <w:rsid w:val="0085378B"/>
    <w:rsid w:val="00857C7C"/>
    <w:rsid w:val="00861798"/>
    <w:rsid w:val="00861D06"/>
    <w:rsid w:val="0086245E"/>
    <w:rsid w:val="00866920"/>
    <w:rsid w:val="008830D2"/>
    <w:rsid w:val="00885874"/>
    <w:rsid w:val="008A02E1"/>
    <w:rsid w:val="008A18DC"/>
    <w:rsid w:val="008A380E"/>
    <w:rsid w:val="008A7668"/>
    <w:rsid w:val="008B0A54"/>
    <w:rsid w:val="008B1DF5"/>
    <w:rsid w:val="008B582E"/>
    <w:rsid w:val="008C0397"/>
    <w:rsid w:val="008C338E"/>
    <w:rsid w:val="008C69FD"/>
    <w:rsid w:val="008D71C9"/>
    <w:rsid w:val="008E138A"/>
    <w:rsid w:val="008E6C0B"/>
    <w:rsid w:val="008E775D"/>
    <w:rsid w:val="008F1E15"/>
    <w:rsid w:val="008F4474"/>
    <w:rsid w:val="008F5C6B"/>
    <w:rsid w:val="008F682C"/>
    <w:rsid w:val="008F699C"/>
    <w:rsid w:val="008F7C7E"/>
    <w:rsid w:val="00902702"/>
    <w:rsid w:val="00913291"/>
    <w:rsid w:val="009146A0"/>
    <w:rsid w:val="009165F8"/>
    <w:rsid w:val="00923468"/>
    <w:rsid w:val="00924D3B"/>
    <w:rsid w:val="00926359"/>
    <w:rsid w:val="009273F9"/>
    <w:rsid w:val="0092792C"/>
    <w:rsid w:val="00934C26"/>
    <w:rsid w:val="009373C0"/>
    <w:rsid w:val="00942D12"/>
    <w:rsid w:val="009576AA"/>
    <w:rsid w:val="0096073B"/>
    <w:rsid w:val="009647EA"/>
    <w:rsid w:val="00970805"/>
    <w:rsid w:val="00975B1D"/>
    <w:rsid w:val="0098085B"/>
    <w:rsid w:val="009A5621"/>
    <w:rsid w:val="009B7E8B"/>
    <w:rsid w:val="009C68FC"/>
    <w:rsid w:val="009C75F2"/>
    <w:rsid w:val="009E2229"/>
    <w:rsid w:val="009E3477"/>
    <w:rsid w:val="009F503E"/>
    <w:rsid w:val="00A01D37"/>
    <w:rsid w:val="00A04BB7"/>
    <w:rsid w:val="00A221BC"/>
    <w:rsid w:val="00A258C6"/>
    <w:rsid w:val="00A2776C"/>
    <w:rsid w:val="00A33BFA"/>
    <w:rsid w:val="00A34FA9"/>
    <w:rsid w:val="00A35541"/>
    <w:rsid w:val="00A4524A"/>
    <w:rsid w:val="00A476E9"/>
    <w:rsid w:val="00A55D7E"/>
    <w:rsid w:val="00A67275"/>
    <w:rsid w:val="00A678A2"/>
    <w:rsid w:val="00A72FD7"/>
    <w:rsid w:val="00A767EA"/>
    <w:rsid w:val="00A80B48"/>
    <w:rsid w:val="00A81346"/>
    <w:rsid w:val="00A8172F"/>
    <w:rsid w:val="00A85F38"/>
    <w:rsid w:val="00AA1D4A"/>
    <w:rsid w:val="00AB7695"/>
    <w:rsid w:val="00AE3656"/>
    <w:rsid w:val="00AF031C"/>
    <w:rsid w:val="00AF1336"/>
    <w:rsid w:val="00AF40F0"/>
    <w:rsid w:val="00B051C4"/>
    <w:rsid w:val="00B168E0"/>
    <w:rsid w:val="00B16D3E"/>
    <w:rsid w:val="00B17B0E"/>
    <w:rsid w:val="00B2142A"/>
    <w:rsid w:val="00B250CB"/>
    <w:rsid w:val="00B26D3A"/>
    <w:rsid w:val="00B33697"/>
    <w:rsid w:val="00B44392"/>
    <w:rsid w:val="00B65C49"/>
    <w:rsid w:val="00B707D3"/>
    <w:rsid w:val="00B77610"/>
    <w:rsid w:val="00B91420"/>
    <w:rsid w:val="00B92825"/>
    <w:rsid w:val="00BA0335"/>
    <w:rsid w:val="00BA6AB2"/>
    <w:rsid w:val="00BB1466"/>
    <w:rsid w:val="00BB6CA6"/>
    <w:rsid w:val="00BB7139"/>
    <w:rsid w:val="00BC1F31"/>
    <w:rsid w:val="00BD177B"/>
    <w:rsid w:val="00BD27F5"/>
    <w:rsid w:val="00BD4ADD"/>
    <w:rsid w:val="00BE15B9"/>
    <w:rsid w:val="00BE5F3F"/>
    <w:rsid w:val="00BF333C"/>
    <w:rsid w:val="00C0705F"/>
    <w:rsid w:val="00C1091B"/>
    <w:rsid w:val="00C115C4"/>
    <w:rsid w:val="00C13FC4"/>
    <w:rsid w:val="00C23827"/>
    <w:rsid w:val="00C24C80"/>
    <w:rsid w:val="00C2588A"/>
    <w:rsid w:val="00C30559"/>
    <w:rsid w:val="00C34F96"/>
    <w:rsid w:val="00C3684F"/>
    <w:rsid w:val="00C42962"/>
    <w:rsid w:val="00C42D86"/>
    <w:rsid w:val="00C46E83"/>
    <w:rsid w:val="00C60519"/>
    <w:rsid w:val="00C64191"/>
    <w:rsid w:val="00C65DCE"/>
    <w:rsid w:val="00C75CCE"/>
    <w:rsid w:val="00C82564"/>
    <w:rsid w:val="00C92A04"/>
    <w:rsid w:val="00C94EDA"/>
    <w:rsid w:val="00C95A89"/>
    <w:rsid w:val="00CA5A28"/>
    <w:rsid w:val="00CB1573"/>
    <w:rsid w:val="00CC178D"/>
    <w:rsid w:val="00CD5435"/>
    <w:rsid w:val="00CD5C76"/>
    <w:rsid w:val="00CD6311"/>
    <w:rsid w:val="00CE25E5"/>
    <w:rsid w:val="00CE524D"/>
    <w:rsid w:val="00CE556E"/>
    <w:rsid w:val="00CE57ED"/>
    <w:rsid w:val="00CF084C"/>
    <w:rsid w:val="00CF2EAF"/>
    <w:rsid w:val="00CF6D1F"/>
    <w:rsid w:val="00D076EF"/>
    <w:rsid w:val="00D17D36"/>
    <w:rsid w:val="00D17E02"/>
    <w:rsid w:val="00D2059D"/>
    <w:rsid w:val="00D25295"/>
    <w:rsid w:val="00D321C1"/>
    <w:rsid w:val="00D35B0D"/>
    <w:rsid w:val="00D43E00"/>
    <w:rsid w:val="00D45DA7"/>
    <w:rsid w:val="00D57B8A"/>
    <w:rsid w:val="00D62458"/>
    <w:rsid w:val="00D7054A"/>
    <w:rsid w:val="00D85E27"/>
    <w:rsid w:val="00DA01EA"/>
    <w:rsid w:val="00DA38ED"/>
    <w:rsid w:val="00DB2718"/>
    <w:rsid w:val="00DC2078"/>
    <w:rsid w:val="00DC5D7B"/>
    <w:rsid w:val="00DD115E"/>
    <w:rsid w:val="00DD1885"/>
    <w:rsid w:val="00DE4A82"/>
    <w:rsid w:val="00DF356B"/>
    <w:rsid w:val="00E15C89"/>
    <w:rsid w:val="00E202B3"/>
    <w:rsid w:val="00E329E9"/>
    <w:rsid w:val="00E33718"/>
    <w:rsid w:val="00E467E3"/>
    <w:rsid w:val="00E47D50"/>
    <w:rsid w:val="00E519FA"/>
    <w:rsid w:val="00E55670"/>
    <w:rsid w:val="00E56A9E"/>
    <w:rsid w:val="00E56D66"/>
    <w:rsid w:val="00E6181B"/>
    <w:rsid w:val="00E62841"/>
    <w:rsid w:val="00E65A65"/>
    <w:rsid w:val="00E66431"/>
    <w:rsid w:val="00E73201"/>
    <w:rsid w:val="00E75813"/>
    <w:rsid w:val="00E7650A"/>
    <w:rsid w:val="00E86664"/>
    <w:rsid w:val="00EA09D5"/>
    <w:rsid w:val="00EA2CF4"/>
    <w:rsid w:val="00EA533A"/>
    <w:rsid w:val="00EA6913"/>
    <w:rsid w:val="00EA7775"/>
    <w:rsid w:val="00EB2717"/>
    <w:rsid w:val="00EB36A5"/>
    <w:rsid w:val="00EB6473"/>
    <w:rsid w:val="00EB67B8"/>
    <w:rsid w:val="00ED40D7"/>
    <w:rsid w:val="00ED6041"/>
    <w:rsid w:val="00EF0C2C"/>
    <w:rsid w:val="00EF10C2"/>
    <w:rsid w:val="00F1026F"/>
    <w:rsid w:val="00F261B2"/>
    <w:rsid w:val="00F27056"/>
    <w:rsid w:val="00F308E8"/>
    <w:rsid w:val="00F30AC0"/>
    <w:rsid w:val="00F42BF3"/>
    <w:rsid w:val="00F45EBC"/>
    <w:rsid w:val="00F54ED8"/>
    <w:rsid w:val="00F55D54"/>
    <w:rsid w:val="00F56B9A"/>
    <w:rsid w:val="00F576B4"/>
    <w:rsid w:val="00F84F92"/>
    <w:rsid w:val="00FA0C2F"/>
    <w:rsid w:val="00FA1C51"/>
    <w:rsid w:val="00FA2E1B"/>
    <w:rsid w:val="00FA7A38"/>
    <w:rsid w:val="00FB40F8"/>
    <w:rsid w:val="00FB7807"/>
    <w:rsid w:val="00FB7A19"/>
    <w:rsid w:val="00FB7ACB"/>
    <w:rsid w:val="00FB7DAE"/>
    <w:rsid w:val="00FC5354"/>
    <w:rsid w:val="00FC7898"/>
    <w:rsid w:val="00FD55F3"/>
    <w:rsid w:val="00FD7026"/>
    <w:rsid w:val="00FE31A7"/>
    <w:rsid w:val="00FF1B0C"/>
    <w:rsid w:val="00FF1B72"/>
    <w:rsid w:val="00FF1E19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4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CF08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F084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F084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F084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F08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5C89"/>
  </w:style>
  <w:style w:type="paragraph" w:styleId="a6">
    <w:name w:val="footer"/>
    <w:basedOn w:val="a"/>
    <w:link w:val="a7"/>
    <w:uiPriority w:val="99"/>
    <w:unhideWhenUsed/>
    <w:rsid w:val="00E15C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C89"/>
  </w:style>
  <w:style w:type="paragraph" w:styleId="a8">
    <w:name w:val="Balloon Text"/>
    <w:basedOn w:val="a"/>
    <w:link w:val="a9"/>
    <w:uiPriority w:val="99"/>
    <w:semiHidden/>
    <w:unhideWhenUsed/>
    <w:rsid w:val="00FF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B7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76725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67256"/>
    <w:rPr>
      <w:sz w:val="20"/>
      <w:szCs w:val="20"/>
    </w:rPr>
  </w:style>
  <w:style w:type="character" w:styleId="ac">
    <w:name w:val="footnote reference"/>
    <w:aliases w:val="Знак сноски-FN,Ciae niinee-FN,Знак сноски 1,fr,Used by Word for Help footnote symbols,Referencia nota al pie,SUPERS,Ciae niinee 1,Ссылка на сноску 45,Appel note de bas de page,анкета сноска,Odwołanie przypisu,Odwo³anie przypisu,сноска,Ref,FZ"/>
    <w:basedOn w:val="a0"/>
    <w:uiPriority w:val="99"/>
    <w:semiHidden/>
    <w:unhideWhenUsed/>
    <w:qFormat/>
    <w:rsid w:val="00767256"/>
    <w:rPr>
      <w:vertAlign w:val="superscript"/>
    </w:rPr>
  </w:style>
  <w:style w:type="paragraph" w:styleId="ad">
    <w:name w:val="Body Text"/>
    <w:basedOn w:val="a"/>
    <w:link w:val="ae"/>
    <w:uiPriority w:val="99"/>
    <w:semiHidden/>
    <w:unhideWhenUsed/>
    <w:rsid w:val="00FA0C2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A0C2F"/>
  </w:style>
  <w:style w:type="character" w:styleId="af">
    <w:name w:val="Hyperlink"/>
    <w:basedOn w:val="a0"/>
    <w:uiPriority w:val="99"/>
    <w:unhideWhenUsed/>
    <w:rsid w:val="00FB40F8"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CF084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F084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F084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F084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F08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92971-A48B-4358-B981-429189778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Калинкина Т.П.</cp:lastModifiedBy>
  <cp:revision>3</cp:revision>
  <cp:lastPrinted>2019-04-30T14:04:00Z</cp:lastPrinted>
  <dcterms:created xsi:type="dcterms:W3CDTF">2020-10-27T12:04:00Z</dcterms:created>
  <dcterms:modified xsi:type="dcterms:W3CDTF">2020-10-27T12:17:00Z</dcterms:modified>
</cp:coreProperties>
</file>