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9B" w:rsidRPr="00E1473F" w:rsidRDefault="00883EEA" w:rsidP="00CE7C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73F">
        <w:rPr>
          <w:rFonts w:ascii="Times New Roman" w:hAnsi="Times New Roman"/>
          <w:b/>
          <w:sz w:val="28"/>
          <w:szCs w:val="28"/>
        </w:rPr>
        <w:t>Оперативная и</w:t>
      </w:r>
      <w:r w:rsidR="00CE7C9B" w:rsidRPr="00E1473F">
        <w:rPr>
          <w:rFonts w:ascii="Times New Roman" w:hAnsi="Times New Roman"/>
          <w:b/>
          <w:sz w:val="28"/>
          <w:szCs w:val="28"/>
        </w:rPr>
        <w:t xml:space="preserve">нформация </w:t>
      </w:r>
    </w:p>
    <w:p w:rsidR="00757F5F" w:rsidRPr="00E1473F" w:rsidRDefault="00C64E41" w:rsidP="00CE7C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="00CE7C9B" w:rsidRPr="00E1473F">
        <w:rPr>
          <w:rFonts w:ascii="Times New Roman" w:hAnsi="Times New Roman"/>
          <w:b/>
          <w:sz w:val="28"/>
          <w:szCs w:val="28"/>
        </w:rPr>
        <w:t xml:space="preserve"> исполнении консолидированных бюджетов </w:t>
      </w:r>
    </w:p>
    <w:p w:rsidR="00CE7C9B" w:rsidRPr="00E1473F" w:rsidRDefault="00CE7C9B" w:rsidP="00CE7C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473F">
        <w:rPr>
          <w:rFonts w:ascii="Times New Roman" w:hAnsi="Times New Roman"/>
          <w:b/>
          <w:sz w:val="28"/>
          <w:szCs w:val="28"/>
        </w:rPr>
        <w:t xml:space="preserve">субъектов Российской Федерации </w:t>
      </w:r>
      <w:r w:rsidR="00927210" w:rsidRPr="00E1473F">
        <w:rPr>
          <w:rFonts w:ascii="Times New Roman" w:hAnsi="Times New Roman"/>
          <w:b/>
          <w:sz w:val="28"/>
          <w:szCs w:val="28"/>
        </w:rPr>
        <w:t xml:space="preserve">за </w:t>
      </w:r>
      <w:r w:rsidR="00E1473F">
        <w:rPr>
          <w:rFonts w:ascii="Times New Roman" w:hAnsi="Times New Roman"/>
          <w:b/>
          <w:sz w:val="28"/>
          <w:szCs w:val="28"/>
        </w:rPr>
        <w:t xml:space="preserve">январь – февраль </w:t>
      </w:r>
      <w:r w:rsidR="00937427" w:rsidRPr="00E1473F">
        <w:rPr>
          <w:rFonts w:ascii="Times New Roman" w:hAnsi="Times New Roman"/>
          <w:b/>
          <w:sz w:val="28"/>
          <w:szCs w:val="28"/>
        </w:rPr>
        <w:t>201</w:t>
      </w:r>
      <w:r w:rsidR="00E1473F">
        <w:rPr>
          <w:rFonts w:ascii="Times New Roman" w:hAnsi="Times New Roman"/>
          <w:b/>
          <w:sz w:val="28"/>
          <w:szCs w:val="28"/>
        </w:rPr>
        <w:t>6</w:t>
      </w:r>
      <w:r w:rsidR="00937427" w:rsidRPr="00E1473F">
        <w:rPr>
          <w:rFonts w:ascii="Times New Roman" w:hAnsi="Times New Roman"/>
          <w:b/>
          <w:sz w:val="28"/>
          <w:szCs w:val="28"/>
        </w:rPr>
        <w:t xml:space="preserve"> г</w:t>
      </w:r>
      <w:r w:rsidR="00674B58" w:rsidRPr="00E1473F">
        <w:rPr>
          <w:rFonts w:ascii="Times New Roman" w:hAnsi="Times New Roman"/>
          <w:b/>
          <w:sz w:val="28"/>
          <w:szCs w:val="28"/>
        </w:rPr>
        <w:t>од</w:t>
      </w:r>
      <w:r w:rsidR="00E1473F">
        <w:rPr>
          <w:rFonts w:ascii="Times New Roman" w:hAnsi="Times New Roman"/>
          <w:b/>
          <w:sz w:val="28"/>
          <w:szCs w:val="28"/>
        </w:rPr>
        <w:t>а</w:t>
      </w:r>
    </w:p>
    <w:p w:rsidR="004E293C" w:rsidRDefault="004E293C" w:rsidP="0066663D">
      <w:pPr>
        <w:spacing w:after="0" w:line="288" w:lineRule="auto"/>
        <w:jc w:val="center"/>
        <w:rPr>
          <w:rFonts w:ascii="Times New Roman" w:hAnsi="Times New Roman"/>
          <w:sz w:val="16"/>
          <w:szCs w:val="16"/>
        </w:rPr>
      </w:pPr>
    </w:p>
    <w:p w:rsidR="00C64E41" w:rsidRPr="00D553C7" w:rsidRDefault="00C64E41" w:rsidP="0066663D">
      <w:pPr>
        <w:spacing w:after="0" w:line="288" w:lineRule="auto"/>
        <w:jc w:val="center"/>
        <w:rPr>
          <w:rFonts w:ascii="Times New Roman" w:hAnsi="Times New Roman"/>
          <w:sz w:val="16"/>
          <w:szCs w:val="16"/>
        </w:rPr>
      </w:pPr>
    </w:p>
    <w:p w:rsidR="00740B3E" w:rsidRPr="00740B3E" w:rsidRDefault="00676E2D" w:rsidP="008D64AD">
      <w:pPr>
        <w:shd w:val="clear" w:color="auto" w:fill="FFFFFF"/>
        <w:spacing w:after="0" w:line="264" w:lineRule="auto"/>
        <w:ind w:right="11" w:firstLine="692"/>
        <w:jc w:val="both"/>
        <w:rPr>
          <w:rFonts w:ascii="Times New Roman" w:hAnsi="Times New Roman"/>
          <w:bCs/>
          <w:sz w:val="28"/>
          <w:szCs w:val="28"/>
        </w:rPr>
      </w:pPr>
      <w:r w:rsidRPr="00740B3E">
        <w:rPr>
          <w:rFonts w:ascii="Times New Roman" w:hAnsi="Times New Roman"/>
          <w:b/>
          <w:bCs/>
          <w:sz w:val="28"/>
          <w:szCs w:val="28"/>
        </w:rPr>
        <w:t>1. </w:t>
      </w:r>
      <w:r w:rsidR="00D96D6E" w:rsidRPr="00740B3E">
        <w:rPr>
          <w:rFonts w:ascii="Times New Roman" w:hAnsi="Times New Roman"/>
          <w:bCs/>
          <w:sz w:val="28"/>
          <w:szCs w:val="28"/>
        </w:rPr>
        <w:t>И</w:t>
      </w:r>
      <w:r w:rsidR="006C0568" w:rsidRPr="00740B3E">
        <w:rPr>
          <w:rFonts w:ascii="Times New Roman" w:hAnsi="Times New Roman"/>
          <w:bCs/>
          <w:sz w:val="28"/>
          <w:szCs w:val="28"/>
        </w:rPr>
        <w:t>сполнени</w:t>
      </w:r>
      <w:r w:rsidR="00D96D6E" w:rsidRPr="00740B3E">
        <w:rPr>
          <w:rFonts w:ascii="Times New Roman" w:hAnsi="Times New Roman"/>
          <w:bCs/>
          <w:sz w:val="28"/>
          <w:szCs w:val="28"/>
        </w:rPr>
        <w:t>е</w:t>
      </w:r>
      <w:r w:rsidR="006C0568" w:rsidRPr="00740B3E">
        <w:rPr>
          <w:rFonts w:ascii="Times New Roman" w:hAnsi="Times New Roman"/>
          <w:bCs/>
          <w:sz w:val="28"/>
          <w:szCs w:val="28"/>
        </w:rPr>
        <w:t xml:space="preserve"> консолидированных бюджетов субъектов Российской Федерации в январе – феврале 2016 года </w:t>
      </w:r>
      <w:r w:rsidR="00740B3E" w:rsidRPr="00740B3E">
        <w:rPr>
          <w:rFonts w:ascii="Times New Roman" w:hAnsi="Times New Roman"/>
          <w:iCs/>
          <w:sz w:val="28"/>
          <w:szCs w:val="28"/>
        </w:rPr>
        <w:t xml:space="preserve">проходило в условиях </w:t>
      </w:r>
      <w:r w:rsidR="00740B3E">
        <w:rPr>
          <w:rFonts w:ascii="Times New Roman" w:hAnsi="Times New Roman"/>
          <w:iCs/>
          <w:sz w:val="28"/>
          <w:szCs w:val="28"/>
        </w:rPr>
        <w:t>продолжающегося спада</w:t>
      </w:r>
      <w:r w:rsidR="00740B3E" w:rsidRPr="00740B3E">
        <w:rPr>
          <w:rFonts w:ascii="Times New Roman" w:hAnsi="Times New Roman"/>
          <w:iCs/>
          <w:sz w:val="28"/>
          <w:szCs w:val="28"/>
        </w:rPr>
        <w:t xml:space="preserve"> экономики</w:t>
      </w:r>
      <w:r w:rsidR="00740B3E" w:rsidRPr="00740B3E">
        <w:rPr>
          <w:rFonts w:ascii="Times New Roman" w:hAnsi="Times New Roman"/>
          <w:bCs/>
          <w:sz w:val="28"/>
          <w:szCs w:val="28"/>
        </w:rPr>
        <w:t>, при сохранении значительного уровня долговой нагрузки и зависимости регионов от федеральной поддержки.</w:t>
      </w:r>
      <w:r w:rsidR="00740B3E" w:rsidRPr="00740B3E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740B3E" w:rsidRPr="00740B3E">
        <w:rPr>
          <w:rFonts w:ascii="Times New Roman" w:hAnsi="Times New Roman"/>
          <w:bCs/>
          <w:sz w:val="28"/>
          <w:szCs w:val="28"/>
        </w:rPr>
        <w:t xml:space="preserve">ндекс промышленного производства в целом по Российской Федерации составил </w:t>
      </w:r>
      <w:r w:rsidR="00740B3E" w:rsidRPr="00740B3E">
        <w:rPr>
          <w:rFonts w:ascii="Times New Roman" w:hAnsi="Times New Roman"/>
          <w:sz w:val="28"/>
          <w:szCs w:val="28"/>
        </w:rPr>
        <w:t>99,3 % (в январе – феврале 2015 года – 99,6 %)</w:t>
      </w:r>
      <w:r w:rsidR="00740B3E" w:rsidRPr="00740B3E">
        <w:rPr>
          <w:rFonts w:ascii="Times New Roman" w:hAnsi="Times New Roman"/>
          <w:bCs/>
          <w:color w:val="FF0000"/>
          <w:sz w:val="28"/>
          <w:szCs w:val="28"/>
        </w:rPr>
        <w:t xml:space="preserve">. </w:t>
      </w:r>
    </w:p>
    <w:p w:rsidR="00C245C4" w:rsidRPr="00B17D74" w:rsidRDefault="006C0568" w:rsidP="008D64AD">
      <w:pPr>
        <w:shd w:val="clear" w:color="auto" w:fill="FFFFFF"/>
        <w:spacing w:after="0" w:line="264" w:lineRule="auto"/>
        <w:ind w:right="11" w:firstLine="692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061">
        <w:rPr>
          <w:rFonts w:ascii="Times New Roman" w:hAnsi="Times New Roman"/>
          <w:sz w:val="28"/>
          <w:szCs w:val="28"/>
        </w:rPr>
        <w:t>По прогнозной оценке Минфина России (н</w:t>
      </w:r>
      <w:r w:rsidR="00C245C4" w:rsidRPr="00843061">
        <w:rPr>
          <w:rFonts w:ascii="Times New Roman" w:hAnsi="Times New Roman"/>
          <w:sz w:val="28"/>
          <w:szCs w:val="28"/>
        </w:rPr>
        <w:t xml:space="preserve">а этапе формирования </w:t>
      </w:r>
      <w:r w:rsidR="00F43D9F" w:rsidRPr="00843061">
        <w:rPr>
          <w:rFonts w:ascii="Times New Roman" w:hAnsi="Times New Roman"/>
          <w:sz w:val="28"/>
          <w:szCs w:val="28"/>
        </w:rPr>
        <w:t xml:space="preserve">и обсуждения </w:t>
      </w:r>
      <w:r w:rsidR="00C245C4" w:rsidRPr="00843061">
        <w:rPr>
          <w:rFonts w:ascii="Times New Roman" w:hAnsi="Times New Roman"/>
          <w:sz w:val="28"/>
          <w:szCs w:val="28"/>
        </w:rPr>
        <w:t>проекта федерального закона о федеральном бюджете на 201</w:t>
      </w:r>
      <w:r w:rsidR="00E1473F" w:rsidRPr="00843061">
        <w:rPr>
          <w:rFonts w:ascii="Times New Roman" w:hAnsi="Times New Roman"/>
          <w:sz w:val="28"/>
          <w:szCs w:val="28"/>
        </w:rPr>
        <w:t>6</w:t>
      </w:r>
      <w:r w:rsidRPr="00843061">
        <w:rPr>
          <w:rFonts w:ascii="Times New Roman" w:hAnsi="Times New Roman"/>
          <w:sz w:val="28"/>
          <w:szCs w:val="28"/>
        </w:rPr>
        <w:t> </w:t>
      </w:r>
      <w:r w:rsidR="00C245C4" w:rsidRPr="00843061">
        <w:rPr>
          <w:rFonts w:ascii="Times New Roman" w:hAnsi="Times New Roman"/>
          <w:sz w:val="28"/>
          <w:szCs w:val="28"/>
        </w:rPr>
        <w:t>год</w:t>
      </w:r>
      <w:r w:rsidRPr="00843061">
        <w:rPr>
          <w:rFonts w:ascii="Times New Roman" w:hAnsi="Times New Roman"/>
          <w:sz w:val="28"/>
          <w:szCs w:val="28"/>
        </w:rPr>
        <w:t>)</w:t>
      </w:r>
      <w:r w:rsidR="00DC7AAB">
        <w:rPr>
          <w:rFonts w:ascii="Times New Roman" w:hAnsi="Times New Roman"/>
          <w:sz w:val="28"/>
          <w:szCs w:val="28"/>
        </w:rPr>
        <w:t>,</w:t>
      </w:r>
      <w:r w:rsidRPr="00843061">
        <w:rPr>
          <w:rFonts w:ascii="Times New Roman" w:hAnsi="Times New Roman"/>
          <w:sz w:val="28"/>
          <w:szCs w:val="28"/>
        </w:rPr>
        <w:t xml:space="preserve"> исполнение консолидированных бюджетов субъектов Российской Федерации в 2016 году запланировано с дефицитом в объеме 412,0 млрд. рублей, при прогнозе</w:t>
      </w:r>
      <w:r w:rsidR="00C245C4" w:rsidRPr="00843061">
        <w:rPr>
          <w:rFonts w:ascii="Times New Roman" w:hAnsi="Times New Roman"/>
          <w:sz w:val="28"/>
          <w:szCs w:val="28"/>
        </w:rPr>
        <w:t xml:space="preserve"> </w:t>
      </w:r>
      <w:r w:rsidR="00205105" w:rsidRPr="00843061">
        <w:rPr>
          <w:rFonts w:ascii="Times New Roman" w:hAnsi="Times New Roman"/>
          <w:sz w:val="28"/>
          <w:szCs w:val="28"/>
        </w:rPr>
        <w:t xml:space="preserve">по </w:t>
      </w:r>
      <w:r w:rsidR="00C245C4" w:rsidRPr="00843061">
        <w:rPr>
          <w:rFonts w:ascii="Times New Roman" w:hAnsi="Times New Roman"/>
          <w:sz w:val="28"/>
          <w:szCs w:val="28"/>
        </w:rPr>
        <w:t>доход</w:t>
      </w:r>
      <w:r w:rsidR="00205105" w:rsidRPr="00843061">
        <w:rPr>
          <w:rFonts w:ascii="Times New Roman" w:hAnsi="Times New Roman"/>
          <w:sz w:val="28"/>
          <w:szCs w:val="28"/>
        </w:rPr>
        <w:t>ам</w:t>
      </w:r>
      <w:r w:rsidR="00C245C4" w:rsidRPr="00843061">
        <w:rPr>
          <w:rFonts w:ascii="Times New Roman" w:hAnsi="Times New Roman"/>
          <w:sz w:val="28"/>
          <w:szCs w:val="28"/>
        </w:rPr>
        <w:t xml:space="preserve"> </w:t>
      </w:r>
      <w:r w:rsidRPr="00843061">
        <w:rPr>
          <w:rFonts w:ascii="Times New Roman" w:hAnsi="Times New Roman"/>
          <w:sz w:val="28"/>
          <w:szCs w:val="28"/>
        </w:rPr>
        <w:t>в объеме</w:t>
      </w:r>
      <w:r w:rsidR="00C245C4" w:rsidRPr="00843061">
        <w:rPr>
          <w:rFonts w:ascii="Times New Roman" w:hAnsi="Times New Roman"/>
          <w:sz w:val="28"/>
          <w:szCs w:val="28"/>
        </w:rPr>
        <w:t xml:space="preserve"> </w:t>
      </w:r>
      <w:r w:rsidR="00040D4D" w:rsidRPr="00843061">
        <w:rPr>
          <w:rFonts w:ascii="Times New Roman" w:hAnsi="Times New Roman"/>
          <w:sz w:val="28"/>
          <w:szCs w:val="28"/>
        </w:rPr>
        <w:t>9 </w:t>
      </w:r>
      <w:r w:rsidR="00B17D74" w:rsidRPr="00843061">
        <w:rPr>
          <w:rFonts w:ascii="Times New Roman" w:hAnsi="Times New Roman"/>
          <w:sz w:val="28"/>
          <w:szCs w:val="28"/>
        </w:rPr>
        <w:t>67</w:t>
      </w:r>
      <w:r w:rsidRPr="00843061">
        <w:rPr>
          <w:rFonts w:ascii="Times New Roman" w:hAnsi="Times New Roman"/>
          <w:sz w:val="28"/>
          <w:szCs w:val="28"/>
        </w:rPr>
        <w:t>5</w:t>
      </w:r>
      <w:r w:rsidR="00B17D74" w:rsidRPr="00843061">
        <w:rPr>
          <w:rFonts w:ascii="Times New Roman" w:hAnsi="Times New Roman"/>
          <w:sz w:val="28"/>
          <w:szCs w:val="28"/>
        </w:rPr>
        <w:t>,0</w:t>
      </w:r>
      <w:r w:rsidR="00C245C4" w:rsidRPr="00843061">
        <w:rPr>
          <w:rFonts w:ascii="Times New Roman" w:hAnsi="Times New Roman"/>
          <w:sz w:val="28"/>
          <w:szCs w:val="28"/>
        </w:rPr>
        <w:t xml:space="preserve"> млрд. рублей, </w:t>
      </w:r>
      <w:r w:rsidR="008547A1" w:rsidRPr="00843061">
        <w:rPr>
          <w:rFonts w:ascii="Times New Roman" w:hAnsi="Times New Roman"/>
          <w:sz w:val="28"/>
          <w:szCs w:val="28"/>
        </w:rPr>
        <w:t xml:space="preserve">по </w:t>
      </w:r>
      <w:r w:rsidR="00C245C4" w:rsidRPr="00843061">
        <w:rPr>
          <w:rFonts w:ascii="Times New Roman" w:hAnsi="Times New Roman"/>
          <w:sz w:val="28"/>
          <w:szCs w:val="28"/>
        </w:rPr>
        <w:t>расход</w:t>
      </w:r>
      <w:r w:rsidR="00205105" w:rsidRPr="00843061">
        <w:rPr>
          <w:rFonts w:ascii="Times New Roman" w:hAnsi="Times New Roman"/>
          <w:sz w:val="28"/>
          <w:szCs w:val="28"/>
        </w:rPr>
        <w:t>ам</w:t>
      </w:r>
      <w:r w:rsidR="00843061">
        <w:rPr>
          <w:rFonts w:ascii="Times New Roman" w:hAnsi="Times New Roman"/>
          <w:sz w:val="28"/>
          <w:szCs w:val="28"/>
        </w:rPr>
        <w:t> </w:t>
      </w:r>
      <w:r w:rsidR="00C245C4" w:rsidRPr="00843061">
        <w:rPr>
          <w:rFonts w:ascii="Times New Roman" w:hAnsi="Times New Roman"/>
          <w:sz w:val="28"/>
          <w:szCs w:val="28"/>
        </w:rPr>
        <w:t xml:space="preserve">– </w:t>
      </w:r>
      <w:r w:rsidR="00B17D74" w:rsidRPr="00843061">
        <w:rPr>
          <w:rFonts w:ascii="Times New Roman" w:hAnsi="Times New Roman"/>
          <w:sz w:val="28"/>
          <w:szCs w:val="28"/>
        </w:rPr>
        <w:t>10 087,0</w:t>
      </w:r>
      <w:r w:rsidRPr="00843061">
        <w:rPr>
          <w:rFonts w:ascii="Times New Roman" w:hAnsi="Times New Roman"/>
          <w:sz w:val="28"/>
          <w:szCs w:val="28"/>
        </w:rPr>
        <w:t xml:space="preserve"> млрд. рублей</w:t>
      </w:r>
      <w:r w:rsidR="00C245C4" w:rsidRPr="00843061">
        <w:rPr>
          <w:rFonts w:ascii="Times New Roman" w:hAnsi="Times New Roman"/>
          <w:sz w:val="28"/>
          <w:szCs w:val="28"/>
        </w:rPr>
        <w:t>.</w:t>
      </w:r>
      <w:r w:rsidR="00C245C4" w:rsidRPr="00B17D74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17D74" w:rsidRPr="00E03B66" w:rsidRDefault="00B17D74" w:rsidP="008D64AD">
      <w:pPr>
        <w:pStyle w:val="a3"/>
        <w:spacing w:line="264" w:lineRule="auto"/>
        <w:ind w:firstLine="708"/>
        <w:jc w:val="both"/>
        <w:rPr>
          <w:bCs/>
          <w:sz w:val="28"/>
          <w:szCs w:val="28"/>
        </w:rPr>
      </w:pPr>
      <w:r w:rsidRPr="00E03B66">
        <w:rPr>
          <w:bCs/>
          <w:sz w:val="28"/>
          <w:szCs w:val="28"/>
        </w:rPr>
        <w:t xml:space="preserve">Доходы консолидированных бюджетов субъектов Российской Федерации за январь – февраль 2016 года </w:t>
      </w:r>
      <w:r w:rsidR="00E03B66" w:rsidRPr="00E03B66">
        <w:rPr>
          <w:bCs/>
          <w:sz w:val="28"/>
          <w:szCs w:val="28"/>
        </w:rPr>
        <w:t>увеличились</w:t>
      </w:r>
      <w:r w:rsidRPr="00E03B66">
        <w:rPr>
          <w:bCs/>
          <w:sz w:val="28"/>
          <w:szCs w:val="28"/>
        </w:rPr>
        <w:t xml:space="preserve"> по сравнению с соответствующим периодом прошлого года на </w:t>
      </w:r>
      <w:r w:rsidR="00E03B66" w:rsidRPr="00E03B66">
        <w:rPr>
          <w:bCs/>
          <w:sz w:val="28"/>
          <w:szCs w:val="28"/>
        </w:rPr>
        <w:t>9,</w:t>
      </w:r>
      <w:r w:rsidR="00630397">
        <w:rPr>
          <w:bCs/>
          <w:sz w:val="28"/>
          <w:szCs w:val="28"/>
        </w:rPr>
        <w:t>6</w:t>
      </w:r>
      <w:r w:rsidRPr="00E03B66">
        <w:rPr>
          <w:bCs/>
          <w:sz w:val="28"/>
          <w:szCs w:val="28"/>
        </w:rPr>
        <w:t> % и составили</w:t>
      </w:r>
      <w:r w:rsidRPr="00E03B66">
        <w:rPr>
          <w:sz w:val="28"/>
          <w:szCs w:val="28"/>
        </w:rPr>
        <w:t xml:space="preserve"> </w:t>
      </w:r>
      <w:r w:rsidR="00E03B66" w:rsidRPr="00E03B66">
        <w:rPr>
          <w:bCs/>
          <w:sz w:val="28"/>
          <w:szCs w:val="28"/>
        </w:rPr>
        <w:t>880,3</w:t>
      </w:r>
      <w:r w:rsidRPr="00E03B66">
        <w:rPr>
          <w:bCs/>
          <w:sz w:val="28"/>
          <w:szCs w:val="28"/>
        </w:rPr>
        <w:t> млрд. рублей (</w:t>
      </w:r>
      <w:r w:rsidR="00E03B66" w:rsidRPr="00E03B66">
        <w:rPr>
          <w:sz w:val="28"/>
          <w:szCs w:val="28"/>
        </w:rPr>
        <w:t>9,9</w:t>
      </w:r>
      <w:r w:rsidRPr="00E03B66">
        <w:rPr>
          <w:sz w:val="28"/>
          <w:szCs w:val="28"/>
        </w:rPr>
        <w:t xml:space="preserve"> % прогнозируемых объемов доходов). </w:t>
      </w:r>
    </w:p>
    <w:p w:rsidR="00B17D74" w:rsidRPr="00E03B66" w:rsidRDefault="00B17D74" w:rsidP="008D64AD">
      <w:pPr>
        <w:pStyle w:val="a3"/>
        <w:spacing w:line="264" w:lineRule="auto"/>
        <w:ind w:firstLine="709"/>
        <w:jc w:val="both"/>
        <w:rPr>
          <w:bCs/>
          <w:sz w:val="28"/>
          <w:szCs w:val="28"/>
        </w:rPr>
      </w:pPr>
      <w:r w:rsidRPr="00E03B66">
        <w:rPr>
          <w:bCs/>
          <w:sz w:val="28"/>
          <w:szCs w:val="28"/>
        </w:rPr>
        <w:t xml:space="preserve">Расходы за истекший период </w:t>
      </w:r>
      <w:r w:rsidR="003A0BDD" w:rsidRPr="00E03B66">
        <w:rPr>
          <w:bCs/>
          <w:sz w:val="28"/>
          <w:szCs w:val="28"/>
        </w:rPr>
        <w:t>также выросли по сравнению с соответствующим периодом 2015 года на 7,8 %</w:t>
      </w:r>
      <w:r w:rsidR="003A0BDD">
        <w:rPr>
          <w:bCs/>
          <w:sz w:val="28"/>
          <w:szCs w:val="28"/>
        </w:rPr>
        <w:t xml:space="preserve"> и </w:t>
      </w:r>
      <w:r w:rsidRPr="00E03B66">
        <w:rPr>
          <w:bCs/>
          <w:sz w:val="28"/>
          <w:szCs w:val="28"/>
        </w:rPr>
        <w:t xml:space="preserve">исполнены в сумме </w:t>
      </w:r>
      <w:r w:rsidR="00E03B66" w:rsidRPr="00E03B66">
        <w:rPr>
          <w:bCs/>
          <w:sz w:val="28"/>
          <w:szCs w:val="28"/>
        </w:rPr>
        <w:t>1 081,8</w:t>
      </w:r>
      <w:r w:rsidR="003A0BDD">
        <w:rPr>
          <w:bCs/>
          <w:sz w:val="28"/>
          <w:szCs w:val="28"/>
        </w:rPr>
        <w:t> </w:t>
      </w:r>
      <w:r w:rsidRPr="00E03B66">
        <w:rPr>
          <w:bCs/>
          <w:sz w:val="28"/>
          <w:szCs w:val="28"/>
        </w:rPr>
        <w:t>млрд. рублей (</w:t>
      </w:r>
      <w:r w:rsidR="00E03B66" w:rsidRPr="00E03B66">
        <w:rPr>
          <w:sz w:val="28"/>
          <w:szCs w:val="28"/>
        </w:rPr>
        <w:t>11,4</w:t>
      </w:r>
      <w:r w:rsidRPr="00E03B66">
        <w:rPr>
          <w:sz w:val="28"/>
          <w:szCs w:val="28"/>
        </w:rPr>
        <w:t> % прогнозируемых объемов).</w:t>
      </w:r>
    </w:p>
    <w:p w:rsidR="00E57480" w:rsidRPr="00D553C7" w:rsidRDefault="00B17D74" w:rsidP="008D64AD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1C36">
        <w:rPr>
          <w:rFonts w:ascii="Times New Roman" w:hAnsi="Times New Roman"/>
          <w:bCs/>
          <w:sz w:val="28"/>
          <w:szCs w:val="28"/>
        </w:rPr>
        <w:t xml:space="preserve">Дефицит </w:t>
      </w:r>
      <w:r w:rsidR="00DB4FD6">
        <w:rPr>
          <w:rFonts w:ascii="Times New Roman" w:hAnsi="Times New Roman"/>
          <w:bCs/>
          <w:sz w:val="28"/>
          <w:szCs w:val="28"/>
        </w:rPr>
        <w:t xml:space="preserve">консолидированных бюджетов субъектов Российской Федерации </w:t>
      </w:r>
      <w:r w:rsidRPr="004B1C36">
        <w:rPr>
          <w:rFonts w:ascii="Times New Roman" w:hAnsi="Times New Roman"/>
          <w:bCs/>
          <w:sz w:val="28"/>
          <w:szCs w:val="28"/>
        </w:rPr>
        <w:t xml:space="preserve">составил </w:t>
      </w:r>
      <w:r w:rsidR="00E03B66" w:rsidRPr="004B1C36">
        <w:rPr>
          <w:rFonts w:ascii="Times New Roman" w:hAnsi="Times New Roman"/>
          <w:bCs/>
          <w:sz w:val="28"/>
          <w:szCs w:val="28"/>
        </w:rPr>
        <w:t>201,5</w:t>
      </w:r>
      <w:r w:rsidRPr="004B1C36">
        <w:rPr>
          <w:rFonts w:ascii="Times New Roman" w:hAnsi="Times New Roman"/>
          <w:bCs/>
          <w:sz w:val="28"/>
          <w:szCs w:val="28"/>
        </w:rPr>
        <w:t xml:space="preserve"> млрд. рублей. </w:t>
      </w:r>
      <w:proofErr w:type="gramStart"/>
      <w:r w:rsidR="003A0BDD" w:rsidRPr="002E60C2">
        <w:rPr>
          <w:rFonts w:ascii="Times New Roman" w:hAnsi="Times New Roman"/>
          <w:sz w:val="28"/>
          <w:szCs w:val="28"/>
        </w:rPr>
        <w:t xml:space="preserve">С суммарным дефицитом в объеме </w:t>
      </w:r>
      <w:r w:rsidR="003A0BDD" w:rsidRPr="004B60A8">
        <w:rPr>
          <w:rFonts w:ascii="Times New Roman" w:hAnsi="Times New Roman"/>
          <w:sz w:val="28"/>
          <w:szCs w:val="28"/>
        </w:rPr>
        <w:t>212,</w:t>
      </w:r>
      <w:r w:rsidR="004B60A8" w:rsidRPr="004B60A8">
        <w:rPr>
          <w:rFonts w:ascii="Times New Roman" w:hAnsi="Times New Roman"/>
          <w:sz w:val="28"/>
          <w:szCs w:val="28"/>
        </w:rPr>
        <w:t>7</w:t>
      </w:r>
      <w:r w:rsidR="003A0BDD" w:rsidRPr="004B60A8">
        <w:rPr>
          <w:rFonts w:ascii="Times New Roman" w:hAnsi="Times New Roman"/>
          <w:sz w:val="28"/>
          <w:szCs w:val="28"/>
        </w:rPr>
        <w:t xml:space="preserve"> млрд. рублей исполнены бюджеты 7</w:t>
      </w:r>
      <w:r w:rsidR="004B60A8" w:rsidRPr="004B60A8">
        <w:rPr>
          <w:rFonts w:ascii="Times New Roman" w:hAnsi="Times New Roman"/>
          <w:sz w:val="28"/>
          <w:szCs w:val="28"/>
        </w:rPr>
        <w:t>6 регионов</w:t>
      </w:r>
      <w:r w:rsidR="003A0BDD" w:rsidRPr="004B60A8">
        <w:rPr>
          <w:rFonts w:ascii="Times New Roman" w:hAnsi="Times New Roman"/>
          <w:sz w:val="28"/>
          <w:szCs w:val="28"/>
        </w:rPr>
        <w:t xml:space="preserve">, с суммарным профицитом в объеме </w:t>
      </w:r>
      <w:r w:rsidR="002E60C2" w:rsidRPr="004B60A8">
        <w:rPr>
          <w:rFonts w:ascii="Times New Roman" w:hAnsi="Times New Roman"/>
          <w:sz w:val="28"/>
          <w:szCs w:val="28"/>
        </w:rPr>
        <w:t>11,3</w:t>
      </w:r>
      <w:r w:rsidR="003A0BDD" w:rsidRPr="004B60A8">
        <w:rPr>
          <w:rFonts w:ascii="Times New Roman" w:hAnsi="Times New Roman"/>
          <w:sz w:val="28"/>
          <w:szCs w:val="28"/>
        </w:rPr>
        <w:t xml:space="preserve"> млрд. рублей</w:t>
      </w:r>
      <w:r w:rsidR="002E60C2" w:rsidRPr="004B60A8">
        <w:rPr>
          <w:rFonts w:ascii="Times New Roman" w:hAnsi="Times New Roman"/>
          <w:sz w:val="28"/>
          <w:szCs w:val="28"/>
        </w:rPr>
        <w:t xml:space="preserve"> </w:t>
      </w:r>
      <w:r w:rsidR="003A0BDD" w:rsidRPr="004B60A8">
        <w:rPr>
          <w:rFonts w:ascii="Times New Roman" w:hAnsi="Times New Roman"/>
          <w:sz w:val="28"/>
          <w:szCs w:val="28"/>
        </w:rPr>
        <w:t xml:space="preserve">– </w:t>
      </w:r>
      <w:r w:rsidR="002E60C2" w:rsidRPr="004B60A8">
        <w:rPr>
          <w:rFonts w:ascii="Times New Roman" w:hAnsi="Times New Roman"/>
          <w:sz w:val="28"/>
          <w:szCs w:val="28"/>
        </w:rPr>
        <w:t>9 </w:t>
      </w:r>
      <w:r w:rsidR="003A0BDD" w:rsidRPr="004B60A8">
        <w:rPr>
          <w:rFonts w:ascii="Times New Roman" w:hAnsi="Times New Roman"/>
          <w:sz w:val="28"/>
          <w:szCs w:val="28"/>
        </w:rPr>
        <w:t>регионов</w:t>
      </w:r>
      <w:r w:rsidR="002E60C2" w:rsidRPr="004B60A8">
        <w:rPr>
          <w:rFonts w:ascii="Times New Roman" w:hAnsi="Times New Roman"/>
          <w:sz w:val="28"/>
          <w:szCs w:val="28"/>
        </w:rPr>
        <w:t xml:space="preserve"> </w:t>
      </w:r>
      <w:r w:rsidR="00925A4F" w:rsidRPr="004B60A8">
        <w:rPr>
          <w:rFonts w:ascii="Times New Roman" w:hAnsi="Times New Roman"/>
          <w:sz w:val="28"/>
          <w:szCs w:val="28"/>
        </w:rPr>
        <w:t>(в </w:t>
      </w:r>
      <w:r w:rsidR="002E60C2" w:rsidRPr="004B60A8">
        <w:rPr>
          <w:rFonts w:ascii="Times New Roman" w:hAnsi="Times New Roman"/>
          <w:sz w:val="28"/>
          <w:szCs w:val="28"/>
        </w:rPr>
        <w:t>соответствующем периоде 2015 года 214,</w:t>
      </w:r>
      <w:r w:rsidR="004B60A8" w:rsidRPr="004B60A8">
        <w:rPr>
          <w:rFonts w:ascii="Times New Roman" w:hAnsi="Times New Roman"/>
          <w:sz w:val="28"/>
          <w:szCs w:val="28"/>
        </w:rPr>
        <w:t>7</w:t>
      </w:r>
      <w:r w:rsidR="002E60C2" w:rsidRPr="004B60A8">
        <w:rPr>
          <w:rFonts w:ascii="Times New Roman" w:hAnsi="Times New Roman"/>
          <w:sz w:val="28"/>
          <w:szCs w:val="28"/>
        </w:rPr>
        <w:t xml:space="preserve"> мл</w:t>
      </w:r>
      <w:r w:rsidR="004C2247" w:rsidRPr="004B60A8">
        <w:rPr>
          <w:rFonts w:ascii="Times New Roman" w:hAnsi="Times New Roman"/>
          <w:sz w:val="28"/>
          <w:szCs w:val="28"/>
        </w:rPr>
        <w:t>рд</w:t>
      </w:r>
      <w:r w:rsidR="002E60C2" w:rsidRPr="004B60A8">
        <w:rPr>
          <w:rFonts w:ascii="Times New Roman" w:hAnsi="Times New Roman"/>
          <w:sz w:val="28"/>
          <w:szCs w:val="28"/>
        </w:rPr>
        <w:t xml:space="preserve">. рублей </w:t>
      </w:r>
      <w:r w:rsidR="00E57480" w:rsidRPr="004B60A8">
        <w:rPr>
          <w:rFonts w:ascii="Times New Roman" w:hAnsi="Times New Roman"/>
          <w:sz w:val="28"/>
          <w:szCs w:val="28"/>
        </w:rPr>
        <w:t>–</w:t>
      </w:r>
      <w:r w:rsidR="002E60C2" w:rsidRPr="004B60A8">
        <w:rPr>
          <w:rFonts w:ascii="Times New Roman" w:hAnsi="Times New Roman"/>
          <w:sz w:val="28"/>
          <w:szCs w:val="28"/>
        </w:rPr>
        <w:t xml:space="preserve"> 7</w:t>
      </w:r>
      <w:r w:rsidR="004B60A8" w:rsidRPr="004B60A8">
        <w:rPr>
          <w:rFonts w:ascii="Times New Roman" w:hAnsi="Times New Roman"/>
          <w:sz w:val="28"/>
          <w:szCs w:val="28"/>
        </w:rPr>
        <w:t>3</w:t>
      </w:r>
      <w:r w:rsidR="00E57480" w:rsidRPr="004B60A8">
        <w:rPr>
          <w:rFonts w:ascii="Times New Roman" w:hAnsi="Times New Roman"/>
          <w:sz w:val="28"/>
          <w:szCs w:val="28"/>
        </w:rPr>
        <w:t xml:space="preserve"> </w:t>
      </w:r>
      <w:r w:rsidR="002E60C2" w:rsidRPr="004B60A8">
        <w:rPr>
          <w:rFonts w:ascii="Times New Roman" w:hAnsi="Times New Roman"/>
          <w:sz w:val="28"/>
          <w:szCs w:val="28"/>
        </w:rPr>
        <w:t>региона и 14,6 мл</w:t>
      </w:r>
      <w:r w:rsidR="004C2247" w:rsidRPr="004B60A8">
        <w:rPr>
          <w:rFonts w:ascii="Times New Roman" w:hAnsi="Times New Roman"/>
          <w:sz w:val="28"/>
          <w:szCs w:val="28"/>
        </w:rPr>
        <w:t>рд</w:t>
      </w:r>
      <w:r w:rsidR="002E60C2" w:rsidRPr="004B60A8">
        <w:rPr>
          <w:rFonts w:ascii="Times New Roman" w:hAnsi="Times New Roman"/>
          <w:sz w:val="28"/>
          <w:szCs w:val="28"/>
        </w:rPr>
        <w:t xml:space="preserve">. рублей </w:t>
      </w:r>
      <w:r w:rsidR="00E57480" w:rsidRPr="004B60A8">
        <w:rPr>
          <w:rFonts w:ascii="Times New Roman" w:hAnsi="Times New Roman"/>
          <w:sz w:val="28"/>
          <w:szCs w:val="28"/>
        </w:rPr>
        <w:t xml:space="preserve">– </w:t>
      </w:r>
      <w:r w:rsidR="002E60C2" w:rsidRPr="004B60A8">
        <w:rPr>
          <w:rFonts w:ascii="Times New Roman" w:hAnsi="Times New Roman"/>
          <w:sz w:val="28"/>
          <w:szCs w:val="28"/>
        </w:rPr>
        <w:t>12</w:t>
      </w:r>
      <w:r w:rsidR="00E57480" w:rsidRPr="004B60A8">
        <w:rPr>
          <w:rFonts w:ascii="Times New Roman" w:hAnsi="Times New Roman"/>
          <w:sz w:val="28"/>
          <w:szCs w:val="28"/>
        </w:rPr>
        <w:t xml:space="preserve"> </w:t>
      </w:r>
      <w:r w:rsidR="002E60C2" w:rsidRPr="004B60A8">
        <w:rPr>
          <w:rFonts w:ascii="Times New Roman" w:hAnsi="Times New Roman"/>
          <w:sz w:val="28"/>
          <w:szCs w:val="28"/>
        </w:rPr>
        <w:t>регионов соответственно).</w:t>
      </w:r>
      <w:proofErr w:type="gramEnd"/>
      <w:r w:rsidR="00D553C7" w:rsidRPr="004B60A8">
        <w:rPr>
          <w:rFonts w:ascii="Times New Roman" w:hAnsi="Times New Roman"/>
          <w:sz w:val="28"/>
          <w:szCs w:val="28"/>
        </w:rPr>
        <w:t xml:space="preserve"> </w:t>
      </w:r>
      <w:r w:rsidR="00E57480" w:rsidRPr="004B60A8">
        <w:rPr>
          <w:rFonts w:ascii="Times New Roman" w:hAnsi="Times New Roman"/>
          <w:sz w:val="28"/>
          <w:szCs w:val="28"/>
        </w:rPr>
        <w:t>Значительн</w:t>
      </w:r>
      <w:r w:rsidR="00E57480" w:rsidRPr="00D553C7">
        <w:rPr>
          <w:rFonts w:ascii="Times New Roman" w:hAnsi="Times New Roman"/>
          <w:sz w:val="28"/>
          <w:szCs w:val="28"/>
        </w:rPr>
        <w:t xml:space="preserve">о увеличился дефицит бюджетов Новгородской области (1,3 млрд. рублей), Сахалинской области (2,1 млрд. рублей), которые в соответствующем периоде 2015 года были </w:t>
      </w:r>
      <w:proofErr w:type="spellStart"/>
      <w:r w:rsidR="00E57480" w:rsidRPr="00D553C7">
        <w:rPr>
          <w:rFonts w:ascii="Times New Roman" w:hAnsi="Times New Roman"/>
          <w:sz w:val="28"/>
          <w:szCs w:val="28"/>
        </w:rPr>
        <w:t>профицитными</w:t>
      </w:r>
      <w:proofErr w:type="spellEnd"/>
      <w:r w:rsidR="00E57480" w:rsidRPr="00D553C7">
        <w:rPr>
          <w:rFonts w:ascii="Times New Roman" w:hAnsi="Times New Roman"/>
          <w:sz w:val="28"/>
          <w:szCs w:val="28"/>
        </w:rPr>
        <w:t xml:space="preserve">. </w:t>
      </w:r>
    </w:p>
    <w:p w:rsidR="00B17D74" w:rsidRPr="00E72E13" w:rsidRDefault="00B17D74" w:rsidP="008D64AD">
      <w:pPr>
        <w:pStyle w:val="a3"/>
        <w:spacing w:line="264" w:lineRule="auto"/>
        <w:ind w:firstLine="709"/>
        <w:jc w:val="both"/>
        <w:rPr>
          <w:sz w:val="28"/>
          <w:szCs w:val="28"/>
        </w:rPr>
      </w:pPr>
      <w:r w:rsidRPr="00E72E13">
        <w:rPr>
          <w:sz w:val="28"/>
          <w:szCs w:val="28"/>
        </w:rPr>
        <w:t>Исполнение доходов и расходов консолидированных бюджетов субъектов Российской Федерации</w:t>
      </w:r>
      <w:r w:rsidR="00D553C7">
        <w:rPr>
          <w:sz w:val="28"/>
          <w:szCs w:val="28"/>
        </w:rPr>
        <w:t xml:space="preserve"> за январь – февраль 2016 года</w:t>
      </w:r>
      <w:r w:rsidRPr="00E72E13">
        <w:rPr>
          <w:sz w:val="28"/>
          <w:szCs w:val="28"/>
        </w:rPr>
        <w:t xml:space="preserve"> приведено в таблице 1.</w:t>
      </w:r>
    </w:p>
    <w:p w:rsidR="006C0568" w:rsidRPr="00E72E13" w:rsidRDefault="00DC7AAB" w:rsidP="006C0568">
      <w:pPr>
        <w:pStyle w:val="a3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6C0568" w:rsidRPr="00E72E13">
        <w:rPr>
          <w:sz w:val="24"/>
          <w:szCs w:val="24"/>
        </w:rPr>
        <w:t>аблица 1</w:t>
      </w:r>
    </w:p>
    <w:p w:rsidR="00843061" w:rsidRPr="00E31C3D" w:rsidRDefault="00DC7AAB" w:rsidP="00E72E13">
      <w:pPr>
        <w:pStyle w:val="a3"/>
        <w:jc w:val="right"/>
        <w:rPr>
          <w:bCs/>
          <w:sz w:val="24"/>
          <w:szCs w:val="24"/>
        </w:rPr>
      </w:pPr>
      <w:r>
        <w:rPr>
          <w:bCs/>
          <w:color w:val="FF0000"/>
          <w:sz w:val="24"/>
          <w:szCs w:val="24"/>
        </w:rPr>
        <w:object w:dxaOrig="10582" w:dyaOrig="2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7pt;height:109.6pt" o:ole="">
            <v:imagedata r:id="rId9" o:title=""/>
          </v:shape>
          <o:OLEObject Type="Embed" ProgID="Excel.Sheet.12" ShapeID="_x0000_i1025" DrawAspect="Content" ObjectID="_1524055267" r:id="rId10"/>
        </w:object>
      </w:r>
    </w:p>
    <w:p w:rsidR="00E72E13" w:rsidRPr="00E31C3D" w:rsidRDefault="00E72E13" w:rsidP="006C0568">
      <w:pPr>
        <w:pStyle w:val="a3"/>
        <w:ind w:firstLine="709"/>
        <w:jc w:val="right"/>
        <w:rPr>
          <w:bCs/>
          <w:sz w:val="24"/>
          <w:szCs w:val="24"/>
        </w:rPr>
      </w:pPr>
    </w:p>
    <w:p w:rsidR="006C0568" w:rsidRPr="004B60A8" w:rsidRDefault="006C0568" w:rsidP="00CA2677">
      <w:pPr>
        <w:spacing w:after="0" w:line="264" w:lineRule="auto"/>
        <w:ind w:firstLine="709"/>
        <w:jc w:val="both"/>
        <w:rPr>
          <w:rFonts w:ascii="Times New Roman" w:hAnsi="Times New Roman"/>
          <w:i/>
          <w:sz w:val="27"/>
          <w:szCs w:val="27"/>
        </w:rPr>
      </w:pPr>
      <w:r w:rsidRPr="00ED27FF">
        <w:rPr>
          <w:rFonts w:ascii="Times New Roman" w:hAnsi="Times New Roman"/>
          <w:i/>
          <w:sz w:val="27"/>
          <w:szCs w:val="27"/>
        </w:rPr>
        <w:lastRenderedPageBreak/>
        <w:t>Справочно: по оперативной информации Федерального казначейства, в январе – марте 201</w:t>
      </w:r>
      <w:r w:rsidR="00E72E13" w:rsidRPr="00ED27FF">
        <w:rPr>
          <w:rFonts w:ascii="Times New Roman" w:hAnsi="Times New Roman"/>
          <w:i/>
          <w:sz w:val="27"/>
          <w:szCs w:val="27"/>
        </w:rPr>
        <w:t>6</w:t>
      </w:r>
      <w:r w:rsidRPr="00ED27FF">
        <w:rPr>
          <w:rFonts w:ascii="Times New Roman" w:hAnsi="Times New Roman"/>
          <w:i/>
          <w:sz w:val="27"/>
          <w:szCs w:val="27"/>
        </w:rPr>
        <w:t xml:space="preserve"> года ситуация с исполнением консолидированных бюджетов субъектов Российской Федерации </w:t>
      </w:r>
      <w:r w:rsidR="00E57480">
        <w:rPr>
          <w:rFonts w:ascii="Times New Roman" w:hAnsi="Times New Roman"/>
          <w:i/>
          <w:sz w:val="27"/>
          <w:szCs w:val="27"/>
        </w:rPr>
        <w:t>несколько</w:t>
      </w:r>
      <w:r w:rsidRPr="00ED27FF">
        <w:rPr>
          <w:rFonts w:ascii="Times New Roman" w:hAnsi="Times New Roman"/>
          <w:i/>
          <w:sz w:val="27"/>
          <w:szCs w:val="27"/>
        </w:rPr>
        <w:t xml:space="preserve"> изменилась</w:t>
      </w:r>
      <w:r w:rsidR="00E57480">
        <w:rPr>
          <w:rFonts w:ascii="Times New Roman" w:hAnsi="Times New Roman"/>
          <w:i/>
          <w:sz w:val="27"/>
          <w:szCs w:val="27"/>
        </w:rPr>
        <w:t>.</w:t>
      </w:r>
      <w:r w:rsidRPr="00ED27FF">
        <w:rPr>
          <w:rFonts w:ascii="Times New Roman" w:hAnsi="Times New Roman"/>
          <w:i/>
          <w:sz w:val="27"/>
          <w:szCs w:val="27"/>
        </w:rPr>
        <w:t xml:space="preserve"> </w:t>
      </w:r>
      <w:r w:rsidR="00E57480">
        <w:rPr>
          <w:rFonts w:ascii="Times New Roman" w:hAnsi="Times New Roman"/>
          <w:i/>
          <w:sz w:val="27"/>
          <w:szCs w:val="27"/>
        </w:rPr>
        <w:t>Д</w:t>
      </w:r>
      <w:r w:rsidRPr="00ED27FF">
        <w:rPr>
          <w:rFonts w:ascii="Times New Roman" w:hAnsi="Times New Roman"/>
          <w:i/>
          <w:sz w:val="27"/>
          <w:szCs w:val="27"/>
        </w:rPr>
        <w:t>оходы  исполнены в сумме 1</w:t>
      </w:r>
      <w:r w:rsidR="004B1C36" w:rsidRPr="00ED27FF">
        <w:rPr>
          <w:rFonts w:ascii="Times New Roman" w:hAnsi="Times New Roman"/>
          <w:i/>
          <w:sz w:val="27"/>
          <w:szCs w:val="27"/>
        </w:rPr>
        <w:t> </w:t>
      </w:r>
      <w:r w:rsidRPr="00ED27FF">
        <w:rPr>
          <w:rFonts w:ascii="Times New Roman" w:hAnsi="Times New Roman"/>
          <w:i/>
          <w:sz w:val="27"/>
          <w:szCs w:val="27"/>
        </w:rPr>
        <w:t>99</w:t>
      </w:r>
      <w:r w:rsidR="004B1C36" w:rsidRPr="00ED27FF">
        <w:rPr>
          <w:rFonts w:ascii="Times New Roman" w:hAnsi="Times New Roman"/>
          <w:i/>
          <w:sz w:val="27"/>
          <w:szCs w:val="27"/>
        </w:rPr>
        <w:t>0,6</w:t>
      </w:r>
      <w:r w:rsidRPr="00ED27FF">
        <w:rPr>
          <w:rFonts w:ascii="Times New Roman" w:hAnsi="Times New Roman"/>
          <w:i/>
          <w:sz w:val="27"/>
          <w:szCs w:val="27"/>
        </w:rPr>
        <w:t xml:space="preserve"> млрд. рублей, или с</w:t>
      </w:r>
      <w:r w:rsidR="004B1C36" w:rsidRPr="00ED27FF">
        <w:rPr>
          <w:rFonts w:ascii="Times New Roman" w:hAnsi="Times New Roman"/>
          <w:i/>
          <w:sz w:val="27"/>
          <w:szCs w:val="27"/>
        </w:rPr>
        <w:t>о снижением</w:t>
      </w:r>
      <w:r w:rsidRPr="00ED27FF">
        <w:rPr>
          <w:rFonts w:ascii="Times New Roman" w:hAnsi="Times New Roman"/>
          <w:i/>
          <w:sz w:val="27"/>
          <w:szCs w:val="27"/>
        </w:rPr>
        <w:t xml:space="preserve"> к соответствующему периоду прошлого года на </w:t>
      </w:r>
      <w:r w:rsidR="004B1C36" w:rsidRPr="00ED27FF">
        <w:rPr>
          <w:rFonts w:ascii="Times New Roman" w:hAnsi="Times New Roman"/>
          <w:i/>
          <w:sz w:val="27"/>
          <w:szCs w:val="27"/>
        </w:rPr>
        <w:t>0,8</w:t>
      </w:r>
      <w:r w:rsidRPr="00ED27FF">
        <w:rPr>
          <w:rFonts w:ascii="Times New Roman" w:hAnsi="Times New Roman"/>
          <w:i/>
          <w:sz w:val="27"/>
          <w:szCs w:val="27"/>
        </w:rPr>
        <w:t xml:space="preserve"> %</w:t>
      </w:r>
      <w:r w:rsidR="00402B5F">
        <w:rPr>
          <w:rFonts w:ascii="Times New Roman" w:hAnsi="Times New Roman"/>
          <w:i/>
          <w:sz w:val="27"/>
          <w:szCs w:val="27"/>
        </w:rPr>
        <w:t xml:space="preserve"> (22,5 % </w:t>
      </w:r>
      <w:r w:rsidR="00402B5F" w:rsidRPr="00402B5F">
        <w:rPr>
          <w:rFonts w:ascii="Times New Roman" w:hAnsi="Times New Roman"/>
          <w:i/>
          <w:sz w:val="27"/>
          <w:szCs w:val="27"/>
        </w:rPr>
        <w:t>прогнозируемых объемов</w:t>
      </w:r>
      <w:r w:rsidR="00402B5F">
        <w:rPr>
          <w:rFonts w:ascii="Times New Roman" w:hAnsi="Times New Roman"/>
          <w:i/>
          <w:sz w:val="27"/>
          <w:szCs w:val="27"/>
        </w:rPr>
        <w:t>).</w:t>
      </w:r>
      <w:r w:rsidRPr="00ED27FF">
        <w:rPr>
          <w:rFonts w:ascii="Times New Roman" w:hAnsi="Times New Roman"/>
          <w:i/>
          <w:sz w:val="27"/>
          <w:szCs w:val="27"/>
        </w:rPr>
        <w:t xml:space="preserve"> </w:t>
      </w:r>
      <w:r w:rsidR="00402B5F">
        <w:rPr>
          <w:rFonts w:ascii="Times New Roman" w:hAnsi="Times New Roman"/>
          <w:i/>
          <w:sz w:val="27"/>
          <w:szCs w:val="27"/>
        </w:rPr>
        <w:t>Р</w:t>
      </w:r>
      <w:r w:rsidRPr="00ED27FF">
        <w:rPr>
          <w:rFonts w:ascii="Times New Roman" w:hAnsi="Times New Roman"/>
          <w:i/>
          <w:sz w:val="27"/>
          <w:szCs w:val="27"/>
        </w:rPr>
        <w:t>асходы исполнены в сумме 1</w:t>
      </w:r>
      <w:r w:rsidR="00ED27FF" w:rsidRPr="00ED27FF">
        <w:rPr>
          <w:rFonts w:ascii="Times New Roman" w:hAnsi="Times New Roman"/>
          <w:i/>
          <w:sz w:val="27"/>
          <w:szCs w:val="27"/>
        </w:rPr>
        <w:t> 848,0</w:t>
      </w:r>
      <w:r w:rsidRPr="00ED27FF">
        <w:rPr>
          <w:rFonts w:ascii="Times New Roman" w:hAnsi="Times New Roman"/>
          <w:i/>
          <w:sz w:val="27"/>
          <w:szCs w:val="27"/>
        </w:rPr>
        <w:t xml:space="preserve"> млрд. рублей, или с ростом на </w:t>
      </w:r>
      <w:r w:rsidR="00ED27FF" w:rsidRPr="00ED27FF">
        <w:rPr>
          <w:rFonts w:ascii="Times New Roman" w:hAnsi="Times New Roman"/>
          <w:i/>
          <w:sz w:val="27"/>
          <w:szCs w:val="27"/>
        </w:rPr>
        <w:t>4,8</w:t>
      </w:r>
      <w:r w:rsidRPr="00ED27FF">
        <w:rPr>
          <w:rFonts w:ascii="Times New Roman" w:hAnsi="Times New Roman"/>
          <w:i/>
          <w:sz w:val="27"/>
          <w:szCs w:val="27"/>
        </w:rPr>
        <w:t xml:space="preserve"> %</w:t>
      </w:r>
      <w:r w:rsidR="00402B5F">
        <w:rPr>
          <w:rFonts w:ascii="Times New Roman" w:hAnsi="Times New Roman"/>
          <w:i/>
          <w:sz w:val="27"/>
          <w:szCs w:val="27"/>
        </w:rPr>
        <w:t xml:space="preserve"> (19,5 % </w:t>
      </w:r>
      <w:r w:rsidR="00402B5F" w:rsidRPr="00402B5F">
        <w:rPr>
          <w:rFonts w:ascii="Times New Roman" w:hAnsi="Times New Roman"/>
          <w:i/>
          <w:sz w:val="27"/>
          <w:szCs w:val="27"/>
        </w:rPr>
        <w:t>прогнозируемых объемов</w:t>
      </w:r>
      <w:r w:rsidR="00402B5F">
        <w:rPr>
          <w:rFonts w:ascii="Times New Roman" w:hAnsi="Times New Roman"/>
          <w:i/>
          <w:sz w:val="27"/>
          <w:szCs w:val="27"/>
        </w:rPr>
        <w:t>)</w:t>
      </w:r>
      <w:r w:rsidRPr="00ED27FF">
        <w:rPr>
          <w:rFonts w:ascii="Times New Roman" w:hAnsi="Times New Roman"/>
          <w:i/>
          <w:sz w:val="27"/>
          <w:szCs w:val="27"/>
        </w:rPr>
        <w:t xml:space="preserve">. Профицит составил </w:t>
      </w:r>
      <w:r w:rsidR="00ED27FF" w:rsidRPr="00ED27FF">
        <w:rPr>
          <w:rFonts w:ascii="Times New Roman" w:hAnsi="Times New Roman"/>
          <w:i/>
          <w:sz w:val="27"/>
          <w:szCs w:val="27"/>
        </w:rPr>
        <w:t>142,6</w:t>
      </w:r>
      <w:r w:rsidRPr="00ED27FF">
        <w:rPr>
          <w:rFonts w:ascii="Times New Roman" w:hAnsi="Times New Roman"/>
          <w:i/>
          <w:sz w:val="27"/>
          <w:szCs w:val="27"/>
        </w:rPr>
        <w:t xml:space="preserve"> млрд. рублей</w:t>
      </w:r>
      <w:r w:rsidR="004C2247">
        <w:rPr>
          <w:rFonts w:ascii="Times New Roman" w:hAnsi="Times New Roman"/>
          <w:i/>
          <w:sz w:val="27"/>
          <w:szCs w:val="27"/>
        </w:rPr>
        <w:t xml:space="preserve"> (в соответствующем периоде 2015 года </w:t>
      </w:r>
      <w:r w:rsidR="00DC7AAB">
        <w:rPr>
          <w:rFonts w:ascii="Times New Roman" w:hAnsi="Times New Roman"/>
          <w:i/>
          <w:sz w:val="27"/>
          <w:szCs w:val="27"/>
        </w:rPr>
        <w:t>-</w:t>
      </w:r>
      <w:r w:rsidR="004C2247">
        <w:rPr>
          <w:rFonts w:ascii="Times New Roman" w:hAnsi="Times New Roman"/>
          <w:i/>
          <w:sz w:val="27"/>
          <w:szCs w:val="27"/>
        </w:rPr>
        <w:t xml:space="preserve"> 241,9 млрд. рублей)</w:t>
      </w:r>
      <w:r w:rsidRPr="00ED27FF">
        <w:rPr>
          <w:rFonts w:ascii="Times New Roman" w:hAnsi="Times New Roman"/>
          <w:i/>
          <w:sz w:val="27"/>
          <w:szCs w:val="27"/>
        </w:rPr>
        <w:t xml:space="preserve">. </w:t>
      </w:r>
      <w:proofErr w:type="gramStart"/>
      <w:r w:rsidRPr="004B60A8">
        <w:rPr>
          <w:rFonts w:ascii="Times New Roman" w:hAnsi="Times New Roman"/>
          <w:i/>
          <w:sz w:val="27"/>
          <w:szCs w:val="27"/>
        </w:rPr>
        <w:t xml:space="preserve">С </w:t>
      </w:r>
      <w:r w:rsidR="00A2481B" w:rsidRPr="004B60A8">
        <w:rPr>
          <w:rFonts w:ascii="Times New Roman" w:hAnsi="Times New Roman"/>
          <w:i/>
          <w:sz w:val="27"/>
          <w:szCs w:val="27"/>
        </w:rPr>
        <w:t xml:space="preserve">суммарным </w:t>
      </w:r>
      <w:r w:rsidRPr="004B60A8">
        <w:rPr>
          <w:rFonts w:ascii="Times New Roman" w:hAnsi="Times New Roman"/>
          <w:i/>
          <w:sz w:val="27"/>
          <w:szCs w:val="27"/>
        </w:rPr>
        <w:t xml:space="preserve">профицитом </w:t>
      </w:r>
      <w:r w:rsidR="00A2481B" w:rsidRPr="004B60A8">
        <w:rPr>
          <w:rFonts w:ascii="Times New Roman" w:hAnsi="Times New Roman"/>
          <w:i/>
          <w:sz w:val="27"/>
          <w:szCs w:val="27"/>
        </w:rPr>
        <w:t>в объеме</w:t>
      </w:r>
      <w:r w:rsidR="00402B5F" w:rsidRPr="004B60A8">
        <w:rPr>
          <w:rFonts w:ascii="Times New Roman" w:hAnsi="Times New Roman"/>
          <w:i/>
          <w:sz w:val="27"/>
          <w:szCs w:val="27"/>
        </w:rPr>
        <w:t xml:space="preserve"> 224,5</w:t>
      </w:r>
      <w:r w:rsidR="00A2481B" w:rsidRPr="004B60A8">
        <w:rPr>
          <w:rFonts w:ascii="Times New Roman" w:hAnsi="Times New Roman"/>
          <w:i/>
          <w:sz w:val="27"/>
          <w:szCs w:val="27"/>
        </w:rPr>
        <w:t xml:space="preserve"> </w:t>
      </w:r>
      <w:r w:rsidR="00402B5F" w:rsidRPr="004B60A8">
        <w:rPr>
          <w:rFonts w:ascii="Times New Roman" w:hAnsi="Times New Roman"/>
          <w:i/>
          <w:sz w:val="27"/>
          <w:szCs w:val="27"/>
        </w:rPr>
        <w:t xml:space="preserve">млрд. рублей </w:t>
      </w:r>
      <w:r w:rsidRPr="004B60A8">
        <w:rPr>
          <w:rFonts w:ascii="Times New Roman" w:hAnsi="Times New Roman"/>
          <w:i/>
          <w:sz w:val="27"/>
          <w:szCs w:val="27"/>
        </w:rPr>
        <w:t xml:space="preserve">исполнены консолидированные бюджеты </w:t>
      </w:r>
      <w:r w:rsidR="00A2481B" w:rsidRPr="004B60A8">
        <w:rPr>
          <w:rFonts w:ascii="Times New Roman" w:hAnsi="Times New Roman"/>
          <w:i/>
          <w:sz w:val="27"/>
          <w:szCs w:val="27"/>
        </w:rPr>
        <w:t>35</w:t>
      </w:r>
      <w:r w:rsidRPr="004B60A8">
        <w:rPr>
          <w:rFonts w:ascii="Times New Roman" w:hAnsi="Times New Roman"/>
          <w:i/>
          <w:sz w:val="27"/>
          <w:szCs w:val="27"/>
        </w:rPr>
        <w:t xml:space="preserve"> регионов</w:t>
      </w:r>
      <w:r w:rsidR="00D96D6E" w:rsidRPr="004B60A8">
        <w:rPr>
          <w:rFonts w:ascii="Times New Roman" w:hAnsi="Times New Roman"/>
          <w:i/>
          <w:sz w:val="27"/>
          <w:szCs w:val="27"/>
        </w:rPr>
        <w:t xml:space="preserve">, с </w:t>
      </w:r>
      <w:r w:rsidR="00402B5F" w:rsidRPr="004B60A8">
        <w:rPr>
          <w:rFonts w:ascii="Times New Roman" w:hAnsi="Times New Roman"/>
          <w:i/>
          <w:sz w:val="27"/>
          <w:szCs w:val="27"/>
        </w:rPr>
        <w:t xml:space="preserve">суммарным </w:t>
      </w:r>
      <w:r w:rsidR="00D96D6E" w:rsidRPr="004B60A8">
        <w:rPr>
          <w:rFonts w:ascii="Times New Roman" w:hAnsi="Times New Roman"/>
          <w:i/>
          <w:sz w:val="27"/>
          <w:szCs w:val="27"/>
        </w:rPr>
        <w:t xml:space="preserve">дефицитом </w:t>
      </w:r>
      <w:r w:rsidR="00402B5F" w:rsidRPr="004B60A8">
        <w:rPr>
          <w:rFonts w:ascii="Times New Roman" w:hAnsi="Times New Roman"/>
          <w:i/>
          <w:sz w:val="27"/>
          <w:szCs w:val="27"/>
        </w:rPr>
        <w:t xml:space="preserve">в объеме 81,9 млрд. рублей </w:t>
      </w:r>
      <w:r w:rsidR="002E7097" w:rsidRPr="004B60A8">
        <w:rPr>
          <w:rFonts w:ascii="Times New Roman" w:hAnsi="Times New Roman"/>
          <w:i/>
          <w:sz w:val="27"/>
          <w:szCs w:val="27"/>
        </w:rPr>
        <w:t>бюджеты</w:t>
      </w:r>
      <w:r w:rsidR="00D96D6E" w:rsidRPr="004B60A8">
        <w:rPr>
          <w:rFonts w:ascii="Times New Roman" w:hAnsi="Times New Roman"/>
          <w:i/>
          <w:sz w:val="27"/>
          <w:szCs w:val="27"/>
        </w:rPr>
        <w:t xml:space="preserve"> </w:t>
      </w:r>
      <w:r w:rsidR="00402B5F" w:rsidRPr="004B60A8">
        <w:rPr>
          <w:rFonts w:ascii="Times New Roman" w:hAnsi="Times New Roman"/>
          <w:i/>
          <w:sz w:val="27"/>
          <w:szCs w:val="27"/>
        </w:rPr>
        <w:t>5</w:t>
      </w:r>
      <w:r w:rsidR="004B60A8" w:rsidRPr="004B60A8">
        <w:rPr>
          <w:rFonts w:ascii="Times New Roman" w:hAnsi="Times New Roman"/>
          <w:i/>
          <w:sz w:val="27"/>
          <w:szCs w:val="27"/>
        </w:rPr>
        <w:t>0</w:t>
      </w:r>
      <w:r w:rsidR="00D96D6E" w:rsidRPr="004B60A8">
        <w:rPr>
          <w:rFonts w:ascii="Times New Roman" w:hAnsi="Times New Roman"/>
          <w:i/>
          <w:sz w:val="27"/>
          <w:szCs w:val="27"/>
        </w:rPr>
        <w:t> регион</w:t>
      </w:r>
      <w:r w:rsidR="004B60A8" w:rsidRPr="004B60A8">
        <w:rPr>
          <w:rFonts w:ascii="Times New Roman" w:hAnsi="Times New Roman"/>
          <w:i/>
          <w:sz w:val="27"/>
          <w:szCs w:val="27"/>
        </w:rPr>
        <w:t>ов</w:t>
      </w:r>
      <w:r w:rsidRPr="004B60A8">
        <w:rPr>
          <w:rFonts w:ascii="Times New Roman" w:hAnsi="Times New Roman"/>
          <w:i/>
          <w:sz w:val="27"/>
          <w:szCs w:val="27"/>
        </w:rPr>
        <w:t>.</w:t>
      </w:r>
      <w:proofErr w:type="gramEnd"/>
    </w:p>
    <w:p w:rsidR="00AE5AD3" w:rsidRPr="00AE5AD3" w:rsidRDefault="006C0568" w:rsidP="00CA2677">
      <w:pPr>
        <w:spacing w:after="0" w:line="264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proofErr w:type="gramStart"/>
      <w:r w:rsidRPr="00AE5AD3">
        <w:rPr>
          <w:rFonts w:ascii="Times New Roman" w:hAnsi="Times New Roman"/>
          <w:i/>
          <w:sz w:val="27"/>
          <w:szCs w:val="27"/>
        </w:rPr>
        <w:t xml:space="preserve">Сокращение общего объема доходов отмечено в </w:t>
      </w:r>
      <w:r w:rsidR="00AE5AD3" w:rsidRPr="00AE5AD3">
        <w:rPr>
          <w:rFonts w:ascii="Times New Roman" w:hAnsi="Times New Roman"/>
          <w:i/>
          <w:sz w:val="27"/>
          <w:szCs w:val="27"/>
        </w:rPr>
        <w:t>51</w:t>
      </w:r>
      <w:r w:rsidRPr="00AE5AD3">
        <w:rPr>
          <w:rFonts w:ascii="Times New Roman" w:hAnsi="Times New Roman"/>
          <w:i/>
          <w:sz w:val="27"/>
          <w:szCs w:val="27"/>
        </w:rPr>
        <w:t xml:space="preserve"> регион</w:t>
      </w:r>
      <w:r w:rsidR="00AE5AD3" w:rsidRPr="00AE5AD3">
        <w:rPr>
          <w:rFonts w:ascii="Times New Roman" w:hAnsi="Times New Roman"/>
          <w:i/>
          <w:sz w:val="27"/>
          <w:szCs w:val="27"/>
        </w:rPr>
        <w:t>е</w:t>
      </w:r>
      <w:r w:rsidRPr="00AE5AD3">
        <w:rPr>
          <w:rFonts w:ascii="Times New Roman" w:hAnsi="Times New Roman"/>
          <w:i/>
          <w:sz w:val="27"/>
          <w:szCs w:val="27"/>
        </w:rPr>
        <w:t xml:space="preserve">, из них значительное – в </w:t>
      </w:r>
      <w:r w:rsidR="00AE5AD3">
        <w:rPr>
          <w:rFonts w:ascii="Times New Roman" w:hAnsi="Times New Roman"/>
          <w:i/>
          <w:sz w:val="27"/>
          <w:szCs w:val="27"/>
        </w:rPr>
        <w:t xml:space="preserve">Сахалинской области </w:t>
      </w:r>
      <w:r w:rsidR="00DC7AAB">
        <w:rPr>
          <w:rFonts w:ascii="Times New Roman" w:hAnsi="Times New Roman"/>
          <w:i/>
          <w:sz w:val="27"/>
          <w:szCs w:val="27"/>
        </w:rPr>
        <w:t xml:space="preserve">- </w:t>
      </w:r>
      <w:r w:rsidR="00AE5AD3">
        <w:rPr>
          <w:rFonts w:ascii="Times New Roman" w:hAnsi="Times New Roman"/>
          <w:i/>
          <w:sz w:val="27"/>
          <w:szCs w:val="27"/>
        </w:rPr>
        <w:t>на 34,5 %, Республике Алтай – на 30,9 %, Псковской области – на 28,9 </w:t>
      </w:r>
      <w:r w:rsidR="00AE5AD3" w:rsidRPr="00AE5AD3">
        <w:rPr>
          <w:rFonts w:ascii="Times New Roman" w:hAnsi="Times New Roman"/>
          <w:i/>
          <w:sz w:val="27"/>
          <w:szCs w:val="27"/>
        </w:rPr>
        <w:t>%, Тульской области</w:t>
      </w:r>
      <w:r w:rsidRPr="00AE5AD3">
        <w:rPr>
          <w:rFonts w:ascii="Times New Roman" w:hAnsi="Times New Roman"/>
          <w:i/>
          <w:sz w:val="27"/>
          <w:szCs w:val="27"/>
        </w:rPr>
        <w:t xml:space="preserve"> </w:t>
      </w:r>
      <w:r w:rsidR="00AE5AD3" w:rsidRPr="00AE5AD3">
        <w:rPr>
          <w:rFonts w:ascii="Times New Roman" w:hAnsi="Times New Roman"/>
          <w:i/>
          <w:sz w:val="27"/>
          <w:szCs w:val="27"/>
        </w:rPr>
        <w:t xml:space="preserve">– </w:t>
      </w:r>
      <w:r w:rsidRPr="00AE5AD3">
        <w:rPr>
          <w:rFonts w:ascii="Times New Roman" w:hAnsi="Times New Roman"/>
          <w:i/>
          <w:sz w:val="27"/>
          <w:szCs w:val="27"/>
        </w:rPr>
        <w:t xml:space="preserve">на </w:t>
      </w:r>
      <w:r w:rsidR="00AE5AD3" w:rsidRPr="00AE5AD3">
        <w:rPr>
          <w:rFonts w:ascii="Times New Roman" w:hAnsi="Times New Roman"/>
          <w:i/>
          <w:sz w:val="27"/>
          <w:szCs w:val="27"/>
        </w:rPr>
        <w:t>26,3</w:t>
      </w:r>
      <w:r w:rsidRPr="00AE5AD3">
        <w:rPr>
          <w:rFonts w:ascii="Times New Roman" w:hAnsi="Times New Roman"/>
          <w:i/>
          <w:sz w:val="27"/>
          <w:szCs w:val="27"/>
        </w:rPr>
        <w:t xml:space="preserve"> %, Республике </w:t>
      </w:r>
      <w:r w:rsidR="00AE5AD3" w:rsidRPr="00AE5AD3">
        <w:rPr>
          <w:rFonts w:ascii="Times New Roman" w:hAnsi="Times New Roman"/>
          <w:i/>
          <w:sz w:val="27"/>
          <w:szCs w:val="27"/>
        </w:rPr>
        <w:t>Северная Осетия - Алания</w:t>
      </w:r>
      <w:r w:rsidRPr="00AE5AD3">
        <w:rPr>
          <w:rFonts w:ascii="Times New Roman" w:hAnsi="Times New Roman"/>
          <w:i/>
          <w:sz w:val="27"/>
          <w:szCs w:val="27"/>
        </w:rPr>
        <w:t xml:space="preserve"> – на </w:t>
      </w:r>
      <w:r w:rsidR="00AE5AD3" w:rsidRPr="00AE5AD3">
        <w:rPr>
          <w:rFonts w:ascii="Times New Roman" w:hAnsi="Times New Roman"/>
          <w:i/>
          <w:sz w:val="27"/>
          <w:szCs w:val="27"/>
        </w:rPr>
        <w:t>25,3</w:t>
      </w:r>
      <w:r w:rsidRPr="00AE5AD3">
        <w:rPr>
          <w:rFonts w:ascii="Times New Roman" w:hAnsi="Times New Roman"/>
          <w:i/>
          <w:sz w:val="27"/>
          <w:szCs w:val="27"/>
        </w:rPr>
        <w:t> %</w:t>
      </w:r>
      <w:r w:rsidR="00AE5AD3" w:rsidRPr="00AE5AD3">
        <w:rPr>
          <w:rFonts w:ascii="Times New Roman" w:hAnsi="Times New Roman"/>
          <w:i/>
          <w:sz w:val="27"/>
          <w:szCs w:val="27"/>
        </w:rPr>
        <w:t xml:space="preserve">. </w:t>
      </w:r>
      <w:r w:rsidRPr="00AE5AD3">
        <w:rPr>
          <w:rFonts w:ascii="Times New Roman" w:hAnsi="Times New Roman"/>
          <w:i/>
          <w:sz w:val="27"/>
          <w:szCs w:val="27"/>
        </w:rPr>
        <w:t xml:space="preserve">Увеличение доходов отмечено в </w:t>
      </w:r>
      <w:r w:rsidR="00AE5AD3" w:rsidRPr="00AE5AD3">
        <w:rPr>
          <w:rFonts w:ascii="Times New Roman" w:hAnsi="Times New Roman"/>
          <w:i/>
          <w:sz w:val="27"/>
          <w:szCs w:val="27"/>
        </w:rPr>
        <w:t>34</w:t>
      </w:r>
      <w:r w:rsidRPr="00AE5AD3">
        <w:rPr>
          <w:rFonts w:ascii="Times New Roman" w:hAnsi="Times New Roman"/>
          <w:i/>
          <w:sz w:val="27"/>
          <w:szCs w:val="27"/>
        </w:rPr>
        <w:t xml:space="preserve"> субъектах Российской Федерации, из них значительное в </w:t>
      </w:r>
      <w:r w:rsidR="00AE5AD3" w:rsidRPr="00AE5AD3">
        <w:rPr>
          <w:rFonts w:ascii="Times New Roman" w:hAnsi="Times New Roman"/>
          <w:i/>
          <w:sz w:val="27"/>
          <w:szCs w:val="27"/>
        </w:rPr>
        <w:t>Калининградской области (почти в 2 раза), Магаданской области (на 43,8 %), Смоленской области (на 38,6</w:t>
      </w:r>
      <w:proofErr w:type="gramEnd"/>
      <w:r w:rsidR="00AE5AD3" w:rsidRPr="00AE5AD3">
        <w:rPr>
          <w:rFonts w:ascii="Times New Roman" w:hAnsi="Times New Roman"/>
          <w:i/>
          <w:sz w:val="27"/>
          <w:szCs w:val="27"/>
        </w:rPr>
        <w:t> %), Республике Ингушетия (на 35,8 %).</w:t>
      </w:r>
    </w:p>
    <w:p w:rsidR="006C0568" w:rsidRPr="003A0BDD" w:rsidRDefault="006C0568" w:rsidP="00CA2677">
      <w:pPr>
        <w:spacing w:after="0" w:line="264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3A0BDD">
        <w:rPr>
          <w:rFonts w:ascii="Times New Roman" w:hAnsi="Times New Roman"/>
          <w:i/>
          <w:sz w:val="27"/>
          <w:szCs w:val="27"/>
        </w:rPr>
        <w:t>Сокращение расходов в I квартале 201</w:t>
      </w:r>
      <w:r w:rsidR="00AE5AD3" w:rsidRPr="003A0BDD">
        <w:rPr>
          <w:rFonts w:ascii="Times New Roman" w:hAnsi="Times New Roman"/>
          <w:i/>
          <w:sz w:val="27"/>
          <w:szCs w:val="27"/>
        </w:rPr>
        <w:t>6</w:t>
      </w:r>
      <w:r w:rsidRPr="003A0BDD">
        <w:rPr>
          <w:rFonts w:ascii="Times New Roman" w:hAnsi="Times New Roman"/>
          <w:i/>
          <w:sz w:val="27"/>
          <w:szCs w:val="27"/>
        </w:rPr>
        <w:t xml:space="preserve"> года по сравнению с аналогичны</w:t>
      </w:r>
      <w:r w:rsidR="00AE5AD3" w:rsidRPr="003A0BDD">
        <w:rPr>
          <w:rFonts w:ascii="Times New Roman" w:hAnsi="Times New Roman"/>
          <w:i/>
          <w:sz w:val="27"/>
          <w:szCs w:val="27"/>
        </w:rPr>
        <w:t>м</w:t>
      </w:r>
      <w:r w:rsidRPr="003A0BDD">
        <w:rPr>
          <w:rFonts w:ascii="Times New Roman" w:hAnsi="Times New Roman"/>
          <w:i/>
          <w:sz w:val="27"/>
          <w:szCs w:val="27"/>
        </w:rPr>
        <w:t xml:space="preserve"> периодом прошлого года отмечено в </w:t>
      </w:r>
      <w:r w:rsidR="00AE5AD3" w:rsidRPr="003A0BDD">
        <w:rPr>
          <w:rFonts w:ascii="Times New Roman" w:hAnsi="Times New Roman"/>
          <w:i/>
          <w:sz w:val="27"/>
          <w:szCs w:val="27"/>
        </w:rPr>
        <w:t>2</w:t>
      </w:r>
      <w:r w:rsidRPr="003A0BDD">
        <w:rPr>
          <w:rFonts w:ascii="Times New Roman" w:hAnsi="Times New Roman"/>
          <w:i/>
          <w:sz w:val="27"/>
          <w:szCs w:val="27"/>
        </w:rPr>
        <w:t xml:space="preserve">2 регионах (из них значительное в </w:t>
      </w:r>
      <w:r w:rsidR="003A0BDD" w:rsidRPr="003A0BDD">
        <w:rPr>
          <w:rFonts w:ascii="Times New Roman" w:hAnsi="Times New Roman"/>
          <w:i/>
          <w:sz w:val="27"/>
          <w:szCs w:val="27"/>
        </w:rPr>
        <w:t>Воронежской области</w:t>
      </w:r>
      <w:r w:rsidRPr="003A0BDD">
        <w:rPr>
          <w:rFonts w:ascii="Times New Roman" w:hAnsi="Times New Roman"/>
          <w:i/>
          <w:sz w:val="27"/>
          <w:szCs w:val="27"/>
        </w:rPr>
        <w:t xml:space="preserve"> – на 1</w:t>
      </w:r>
      <w:r w:rsidR="003A0BDD" w:rsidRPr="003A0BDD">
        <w:rPr>
          <w:rFonts w:ascii="Times New Roman" w:hAnsi="Times New Roman"/>
          <w:i/>
          <w:sz w:val="27"/>
          <w:szCs w:val="27"/>
        </w:rPr>
        <w:t>1,7 %,</w:t>
      </w:r>
      <w:r w:rsidRPr="003A0BDD">
        <w:rPr>
          <w:rFonts w:ascii="Times New Roman" w:hAnsi="Times New Roman"/>
          <w:i/>
          <w:sz w:val="27"/>
          <w:szCs w:val="27"/>
        </w:rPr>
        <w:t xml:space="preserve"> </w:t>
      </w:r>
      <w:r w:rsidR="003A0BDD" w:rsidRPr="003A0BDD">
        <w:rPr>
          <w:rFonts w:ascii="Times New Roman" w:hAnsi="Times New Roman"/>
          <w:i/>
          <w:sz w:val="27"/>
          <w:szCs w:val="27"/>
        </w:rPr>
        <w:t>Псков</w:t>
      </w:r>
      <w:r w:rsidRPr="003A0BDD">
        <w:rPr>
          <w:rFonts w:ascii="Times New Roman" w:hAnsi="Times New Roman"/>
          <w:i/>
          <w:sz w:val="27"/>
          <w:szCs w:val="27"/>
        </w:rPr>
        <w:t xml:space="preserve">ской области – на </w:t>
      </w:r>
      <w:r w:rsidR="003A0BDD" w:rsidRPr="003A0BDD">
        <w:rPr>
          <w:rFonts w:ascii="Times New Roman" w:hAnsi="Times New Roman"/>
          <w:i/>
          <w:sz w:val="27"/>
          <w:szCs w:val="27"/>
        </w:rPr>
        <w:t>11,1</w:t>
      </w:r>
      <w:r w:rsidRPr="003A0BDD">
        <w:rPr>
          <w:rFonts w:ascii="Times New Roman" w:hAnsi="Times New Roman"/>
          <w:i/>
          <w:sz w:val="27"/>
          <w:szCs w:val="27"/>
        </w:rPr>
        <w:t> %</w:t>
      </w:r>
      <w:r w:rsidR="003A0BDD" w:rsidRPr="003A0BDD">
        <w:rPr>
          <w:rFonts w:ascii="Times New Roman" w:hAnsi="Times New Roman"/>
          <w:i/>
          <w:sz w:val="27"/>
          <w:szCs w:val="27"/>
        </w:rPr>
        <w:t>, Республике Северная Осетия - Алания – на 11,2 %, Республике Татарстан – 10 %</w:t>
      </w:r>
      <w:r w:rsidRPr="003A0BDD">
        <w:rPr>
          <w:rFonts w:ascii="Times New Roman" w:hAnsi="Times New Roman"/>
          <w:i/>
          <w:sz w:val="27"/>
          <w:szCs w:val="27"/>
        </w:rPr>
        <w:t xml:space="preserve">), увеличение – в </w:t>
      </w:r>
      <w:r w:rsidR="003A0BDD" w:rsidRPr="003A0BDD">
        <w:rPr>
          <w:rFonts w:ascii="Times New Roman" w:hAnsi="Times New Roman"/>
          <w:i/>
          <w:sz w:val="27"/>
          <w:szCs w:val="27"/>
        </w:rPr>
        <w:t>6</w:t>
      </w:r>
      <w:r w:rsidRPr="003A0BDD">
        <w:rPr>
          <w:rFonts w:ascii="Times New Roman" w:hAnsi="Times New Roman"/>
          <w:i/>
          <w:sz w:val="27"/>
          <w:szCs w:val="27"/>
        </w:rPr>
        <w:t>3 субъектах Российской Федерации.</w:t>
      </w:r>
    </w:p>
    <w:p w:rsidR="00D553C7" w:rsidRPr="00D553C7" w:rsidRDefault="00D553C7" w:rsidP="00CA2677">
      <w:pPr>
        <w:pStyle w:val="a3"/>
        <w:spacing w:line="264" w:lineRule="auto"/>
        <w:ind w:firstLine="709"/>
        <w:jc w:val="both"/>
        <w:rPr>
          <w:i/>
          <w:sz w:val="28"/>
          <w:szCs w:val="28"/>
        </w:rPr>
      </w:pPr>
      <w:r w:rsidRPr="00D553C7">
        <w:rPr>
          <w:i/>
          <w:sz w:val="28"/>
          <w:szCs w:val="28"/>
        </w:rPr>
        <w:t xml:space="preserve">Исполнение доходов и расходов консолидированных бюджетов субъектов Российской Федерации за январь – </w:t>
      </w:r>
      <w:r>
        <w:rPr>
          <w:i/>
          <w:sz w:val="28"/>
          <w:szCs w:val="28"/>
        </w:rPr>
        <w:t>март</w:t>
      </w:r>
      <w:r w:rsidRPr="00D553C7">
        <w:rPr>
          <w:i/>
          <w:sz w:val="28"/>
          <w:szCs w:val="28"/>
        </w:rPr>
        <w:t xml:space="preserve"> 2016 года приведено в таблице </w:t>
      </w:r>
      <w:r>
        <w:rPr>
          <w:i/>
          <w:sz w:val="28"/>
          <w:szCs w:val="28"/>
        </w:rPr>
        <w:t>2</w:t>
      </w:r>
      <w:r w:rsidRPr="00D553C7">
        <w:rPr>
          <w:i/>
          <w:sz w:val="28"/>
          <w:szCs w:val="28"/>
        </w:rPr>
        <w:t>.</w:t>
      </w:r>
    </w:p>
    <w:p w:rsidR="00D553C7" w:rsidRPr="00E72E13" w:rsidRDefault="00DC7AAB" w:rsidP="00D553C7">
      <w:pPr>
        <w:pStyle w:val="a3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D553C7" w:rsidRPr="00E72E13">
        <w:rPr>
          <w:sz w:val="24"/>
          <w:szCs w:val="24"/>
        </w:rPr>
        <w:t xml:space="preserve">аблица </w:t>
      </w:r>
      <w:r w:rsidR="00D553C7">
        <w:rPr>
          <w:sz w:val="24"/>
          <w:szCs w:val="24"/>
        </w:rPr>
        <w:t>2</w:t>
      </w:r>
    </w:p>
    <w:p w:rsidR="00260858" w:rsidRPr="00CA2677" w:rsidRDefault="00DC7AAB" w:rsidP="00D553C7">
      <w:pPr>
        <w:shd w:val="clear" w:color="auto" w:fill="FFFFFF"/>
        <w:spacing w:after="0"/>
        <w:ind w:right="1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object w:dxaOrig="10582" w:dyaOrig="2468">
          <v:shape id="_x0000_i1026" type="#_x0000_t75" style="width:480.9pt;height:112.3pt" o:ole="">
            <v:imagedata r:id="rId11" o:title=""/>
          </v:shape>
          <o:OLEObject Type="Embed" ProgID="Excel.Sheet.12" ShapeID="_x0000_i1026" DrawAspect="Content" ObjectID="_1524055268" r:id="rId12"/>
        </w:object>
      </w:r>
    </w:p>
    <w:p w:rsidR="002D09BA" w:rsidRPr="002D09BA" w:rsidRDefault="002D09BA" w:rsidP="002D09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09BA">
        <w:rPr>
          <w:rFonts w:ascii="Times New Roman" w:hAnsi="Times New Roman"/>
          <w:sz w:val="28"/>
          <w:szCs w:val="28"/>
        </w:rPr>
        <w:t>Анализ исполнения консолидированных бюджетов субъектов Российской Федерации свидетельствует о  наличии разнонаправленных тенденций  и  продолжающейся дифференциации регионов.</w:t>
      </w:r>
    </w:p>
    <w:p w:rsidR="00593087" w:rsidRDefault="00EB539B" w:rsidP="002D09B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93087">
        <w:rPr>
          <w:rFonts w:ascii="Times New Roman" w:hAnsi="Times New Roman"/>
          <w:b/>
          <w:sz w:val="28"/>
          <w:szCs w:val="28"/>
        </w:rPr>
        <w:t>2</w:t>
      </w:r>
      <w:r w:rsidR="00D533AD" w:rsidRPr="00593087">
        <w:rPr>
          <w:rFonts w:ascii="Times New Roman" w:hAnsi="Times New Roman"/>
          <w:b/>
          <w:sz w:val="28"/>
          <w:szCs w:val="28"/>
        </w:rPr>
        <w:t>.</w:t>
      </w:r>
      <w:r w:rsidR="00D533AD" w:rsidRPr="0059167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4E60D4" w:rsidRPr="0059167F">
        <w:rPr>
          <w:rFonts w:ascii="Times New Roman" w:hAnsi="Times New Roman"/>
          <w:sz w:val="28"/>
          <w:szCs w:val="28"/>
        </w:rPr>
        <w:t>Доходы</w:t>
      </w:r>
      <w:r w:rsidR="004E60D4" w:rsidRPr="0059167F">
        <w:rPr>
          <w:rFonts w:ascii="Times New Roman" w:hAnsi="Times New Roman"/>
          <w:b/>
          <w:sz w:val="28"/>
          <w:szCs w:val="28"/>
        </w:rPr>
        <w:t xml:space="preserve"> </w:t>
      </w:r>
      <w:r w:rsidR="004E60D4" w:rsidRPr="0059167F">
        <w:rPr>
          <w:rFonts w:ascii="Times New Roman" w:hAnsi="Times New Roman"/>
          <w:sz w:val="28"/>
          <w:szCs w:val="28"/>
        </w:rPr>
        <w:t>консолидированных бюджетов регионов</w:t>
      </w:r>
      <w:r w:rsidR="00F04706" w:rsidRPr="0059167F">
        <w:rPr>
          <w:rFonts w:ascii="Times New Roman" w:hAnsi="Times New Roman"/>
          <w:sz w:val="28"/>
          <w:szCs w:val="28"/>
        </w:rPr>
        <w:t xml:space="preserve"> </w:t>
      </w:r>
      <w:r w:rsidR="00D533AD" w:rsidRPr="0059167F">
        <w:rPr>
          <w:rFonts w:ascii="Times New Roman" w:hAnsi="Times New Roman"/>
          <w:sz w:val="28"/>
          <w:szCs w:val="28"/>
        </w:rPr>
        <w:t xml:space="preserve">в </w:t>
      </w:r>
      <w:r w:rsidR="0059167F" w:rsidRPr="0059167F">
        <w:rPr>
          <w:rFonts w:ascii="Times New Roman" w:hAnsi="Times New Roman"/>
          <w:sz w:val="28"/>
          <w:szCs w:val="28"/>
        </w:rPr>
        <w:t xml:space="preserve">январе – феврале </w:t>
      </w:r>
      <w:r w:rsidR="00F04706" w:rsidRPr="0059167F">
        <w:rPr>
          <w:rFonts w:ascii="Times New Roman" w:hAnsi="Times New Roman"/>
          <w:sz w:val="28"/>
          <w:szCs w:val="28"/>
        </w:rPr>
        <w:t>201</w:t>
      </w:r>
      <w:r w:rsidR="0059167F" w:rsidRPr="0059167F">
        <w:rPr>
          <w:rFonts w:ascii="Times New Roman" w:hAnsi="Times New Roman"/>
          <w:sz w:val="28"/>
          <w:szCs w:val="28"/>
        </w:rPr>
        <w:t>6</w:t>
      </w:r>
      <w:r w:rsidR="00F04706" w:rsidRPr="0059167F">
        <w:rPr>
          <w:rFonts w:ascii="Times New Roman" w:hAnsi="Times New Roman"/>
          <w:sz w:val="28"/>
          <w:szCs w:val="28"/>
        </w:rPr>
        <w:t xml:space="preserve"> год</w:t>
      </w:r>
      <w:r w:rsidR="0059167F" w:rsidRPr="0059167F">
        <w:rPr>
          <w:rFonts w:ascii="Times New Roman" w:hAnsi="Times New Roman"/>
          <w:sz w:val="28"/>
          <w:szCs w:val="28"/>
        </w:rPr>
        <w:t>а</w:t>
      </w:r>
      <w:r w:rsidR="00F04706" w:rsidRPr="0059167F">
        <w:rPr>
          <w:rFonts w:ascii="Times New Roman" w:hAnsi="Times New Roman"/>
          <w:sz w:val="28"/>
          <w:szCs w:val="28"/>
        </w:rPr>
        <w:t xml:space="preserve"> </w:t>
      </w:r>
      <w:r w:rsidR="00FB2B9F" w:rsidRPr="0059167F">
        <w:rPr>
          <w:rFonts w:ascii="Times New Roman" w:hAnsi="Times New Roman"/>
          <w:sz w:val="28"/>
          <w:szCs w:val="28"/>
        </w:rPr>
        <w:t>увеличились</w:t>
      </w:r>
      <w:r w:rsidR="004E60D4" w:rsidRPr="0059167F">
        <w:rPr>
          <w:rFonts w:ascii="Times New Roman" w:hAnsi="Times New Roman"/>
          <w:sz w:val="28"/>
          <w:szCs w:val="28"/>
        </w:rPr>
        <w:t xml:space="preserve"> по сравнению с </w:t>
      </w:r>
      <w:r w:rsidR="0059167F" w:rsidRPr="0059167F">
        <w:rPr>
          <w:rFonts w:ascii="Times New Roman" w:hAnsi="Times New Roman"/>
          <w:sz w:val="28"/>
          <w:szCs w:val="28"/>
        </w:rPr>
        <w:t xml:space="preserve">январем – февралем </w:t>
      </w:r>
      <w:r w:rsidR="004E60D4" w:rsidRPr="0059167F">
        <w:rPr>
          <w:rFonts w:ascii="Times New Roman" w:hAnsi="Times New Roman"/>
          <w:sz w:val="28"/>
          <w:szCs w:val="28"/>
        </w:rPr>
        <w:t>201</w:t>
      </w:r>
      <w:r w:rsidR="0059167F" w:rsidRPr="0059167F">
        <w:rPr>
          <w:rFonts w:ascii="Times New Roman" w:hAnsi="Times New Roman"/>
          <w:sz w:val="28"/>
          <w:szCs w:val="28"/>
        </w:rPr>
        <w:t>5</w:t>
      </w:r>
      <w:r w:rsidR="004E60D4" w:rsidRPr="0059167F">
        <w:rPr>
          <w:rFonts w:ascii="Times New Roman" w:hAnsi="Times New Roman"/>
          <w:sz w:val="28"/>
          <w:szCs w:val="28"/>
        </w:rPr>
        <w:t xml:space="preserve"> год</w:t>
      </w:r>
      <w:r w:rsidR="0059167F" w:rsidRPr="0059167F">
        <w:rPr>
          <w:rFonts w:ascii="Times New Roman" w:hAnsi="Times New Roman"/>
          <w:sz w:val="28"/>
          <w:szCs w:val="28"/>
        </w:rPr>
        <w:t>а</w:t>
      </w:r>
      <w:r w:rsidR="004E60D4" w:rsidRPr="0059167F">
        <w:rPr>
          <w:rFonts w:ascii="Times New Roman" w:hAnsi="Times New Roman"/>
          <w:sz w:val="28"/>
          <w:szCs w:val="28"/>
        </w:rPr>
        <w:t xml:space="preserve"> на </w:t>
      </w:r>
      <w:r w:rsidR="0059167F" w:rsidRPr="0059167F">
        <w:rPr>
          <w:rFonts w:ascii="Times New Roman" w:hAnsi="Times New Roman"/>
          <w:sz w:val="28"/>
          <w:szCs w:val="28"/>
        </w:rPr>
        <w:t>76,8</w:t>
      </w:r>
      <w:r w:rsidR="004E60D4" w:rsidRPr="0059167F">
        <w:rPr>
          <w:rFonts w:ascii="Times New Roman" w:hAnsi="Times New Roman"/>
          <w:sz w:val="28"/>
          <w:szCs w:val="28"/>
        </w:rPr>
        <w:t> </w:t>
      </w:r>
      <w:r w:rsidR="00D0513A" w:rsidRPr="0059167F">
        <w:rPr>
          <w:rFonts w:ascii="Times New Roman" w:hAnsi="Times New Roman"/>
          <w:sz w:val="28"/>
          <w:szCs w:val="28"/>
        </w:rPr>
        <w:t>млрд. рублей</w:t>
      </w:r>
      <w:r w:rsidR="00FB2B9F" w:rsidRPr="0059167F">
        <w:rPr>
          <w:rFonts w:ascii="Times New Roman" w:hAnsi="Times New Roman"/>
          <w:sz w:val="28"/>
          <w:szCs w:val="28"/>
        </w:rPr>
        <w:t xml:space="preserve">, или </w:t>
      </w:r>
      <w:r w:rsidR="00EB5CDA" w:rsidRPr="0059167F">
        <w:rPr>
          <w:rFonts w:ascii="Times New Roman" w:hAnsi="Times New Roman"/>
          <w:sz w:val="28"/>
          <w:szCs w:val="28"/>
        </w:rPr>
        <w:t xml:space="preserve">на </w:t>
      </w:r>
      <w:r w:rsidR="0059167F" w:rsidRPr="0059167F">
        <w:rPr>
          <w:rFonts w:ascii="Times New Roman" w:hAnsi="Times New Roman"/>
          <w:sz w:val="28"/>
          <w:szCs w:val="28"/>
        </w:rPr>
        <w:t>9,6</w:t>
      </w:r>
      <w:r w:rsidR="00FB2B9F" w:rsidRPr="0059167F">
        <w:rPr>
          <w:rFonts w:ascii="Times New Roman" w:hAnsi="Times New Roman"/>
          <w:sz w:val="28"/>
          <w:szCs w:val="28"/>
        </w:rPr>
        <w:t> %</w:t>
      </w:r>
      <w:r w:rsidR="004E60D4" w:rsidRPr="0059167F">
        <w:rPr>
          <w:rFonts w:ascii="Times New Roman" w:hAnsi="Times New Roman"/>
          <w:sz w:val="28"/>
          <w:szCs w:val="28"/>
        </w:rPr>
        <w:t>.</w:t>
      </w:r>
      <w:r w:rsidR="00FB4FD4" w:rsidRPr="0059167F">
        <w:rPr>
          <w:rFonts w:ascii="Times New Roman" w:hAnsi="Times New Roman"/>
          <w:sz w:val="28"/>
          <w:szCs w:val="28"/>
        </w:rPr>
        <w:t xml:space="preserve"> При этом в </w:t>
      </w:r>
      <w:r w:rsidR="0059167F" w:rsidRPr="0059167F">
        <w:rPr>
          <w:rFonts w:ascii="Times New Roman" w:hAnsi="Times New Roman"/>
          <w:sz w:val="28"/>
          <w:szCs w:val="28"/>
        </w:rPr>
        <w:t>38</w:t>
      </w:r>
      <w:r w:rsidR="00FB4FD4" w:rsidRPr="0059167F">
        <w:rPr>
          <w:rFonts w:ascii="Times New Roman" w:hAnsi="Times New Roman"/>
          <w:sz w:val="28"/>
          <w:szCs w:val="28"/>
        </w:rPr>
        <w:t xml:space="preserve"> регион</w:t>
      </w:r>
      <w:r w:rsidR="00C8176A" w:rsidRPr="0059167F">
        <w:rPr>
          <w:rFonts w:ascii="Times New Roman" w:hAnsi="Times New Roman"/>
          <w:sz w:val="28"/>
          <w:szCs w:val="28"/>
        </w:rPr>
        <w:t>ах</w:t>
      </w:r>
      <w:r w:rsidR="00FB4FD4" w:rsidRPr="0059167F">
        <w:rPr>
          <w:rFonts w:ascii="Times New Roman" w:hAnsi="Times New Roman"/>
          <w:sz w:val="28"/>
          <w:szCs w:val="28"/>
        </w:rPr>
        <w:t xml:space="preserve"> наблюдалось с</w:t>
      </w:r>
      <w:r w:rsidR="00471733" w:rsidRPr="0059167F">
        <w:rPr>
          <w:rFonts w:ascii="Times New Roman" w:hAnsi="Times New Roman"/>
          <w:sz w:val="28"/>
          <w:szCs w:val="28"/>
        </w:rPr>
        <w:t>нижение</w:t>
      </w:r>
      <w:r w:rsidR="00F36122" w:rsidRPr="0059167F">
        <w:rPr>
          <w:rFonts w:ascii="Times New Roman" w:hAnsi="Times New Roman"/>
          <w:sz w:val="28"/>
          <w:szCs w:val="28"/>
        </w:rPr>
        <w:t xml:space="preserve"> доходов</w:t>
      </w:r>
      <w:r w:rsidR="00CC17FC" w:rsidRPr="0059167F">
        <w:rPr>
          <w:rFonts w:ascii="Times New Roman" w:hAnsi="Times New Roman"/>
          <w:sz w:val="28"/>
          <w:szCs w:val="28"/>
        </w:rPr>
        <w:t xml:space="preserve">, из них </w:t>
      </w:r>
      <w:r w:rsidR="00471733" w:rsidRPr="0059167F">
        <w:rPr>
          <w:rFonts w:ascii="Times New Roman" w:hAnsi="Times New Roman"/>
          <w:sz w:val="28"/>
          <w:szCs w:val="28"/>
        </w:rPr>
        <w:t xml:space="preserve">значительное </w:t>
      </w:r>
      <w:r w:rsidR="007A4689" w:rsidRPr="0059167F">
        <w:rPr>
          <w:rFonts w:ascii="Times New Roman" w:hAnsi="Times New Roman"/>
          <w:sz w:val="28"/>
          <w:szCs w:val="28"/>
        </w:rPr>
        <w:t xml:space="preserve">в </w:t>
      </w:r>
      <w:r w:rsidR="0059167F" w:rsidRPr="0059167F">
        <w:rPr>
          <w:rFonts w:ascii="Times New Roman" w:hAnsi="Times New Roman"/>
          <w:sz w:val="28"/>
          <w:szCs w:val="28"/>
        </w:rPr>
        <w:t xml:space="preserve">г. </w:t>
      </w:r>
      <w:r w:rsidR="0059167F" w:rsidRPr="00593087">
        <w:rPr>
          <w:rFonts w:ascii="Times New Roman" w:hAnsi="Times New Roman"/>
          <w:sz w:val="28"/>
          <w:szCs w:val="28"/>
        </w:rPr>
        <w:t xml:space="preserve">Севастополь (на 66,9 %),  </w:t>
      </w:r>
      <w:r w:rsidR="007A4689" w:rsidRPr="00593087">
        <w:rPr>
          <w:rFonts w:ascii="Times New Roman" w:hAnsi="Times New Roman"/>
          <w:sz w:val="28"/>
          <w:szCs w:val="28"/>
        </w:rPr>
        <w:t xml:space="preserve">Республике </w:t>
      </w:r>
      <w:r w:rsidR="00593087" w:rsidRPr="00593087">
        <w:rPr>
          <w:rFonts w:ascii="Times New Roman" w:hAnsi="Times New Roman"/>
          <w:sz w:val="28"/>
          <w:szCs w:val="28"/>
        </w:rPr>
        <w:t>Северная Осетия - Алания</w:t>
      </w:r>
      <w:r w:rsidR="007A4689" w:rsidRPr="00593087">
        <w:rPr>
          <w:rFonts w:ascii="Times New Roman" w:hAnsi="Times New Roman"/>
          <w:sz w:val="28"/>
          <w:szCs w:val="28"/>
        </w:rPr>
        <w:t xml:space="preserve"> (на </w:t>
      </w:r>
      <w:r w:rsidR="00593087" w:rsidRPr="00593087">
        <w:rPr>
          <w:rFonts w:ascii="Times New Roman" w:hAnsi="Times New Roman"/>
          <w:sz w:val="28"/>
          <w:szCs w:val="28"/>
        </w:rPr>
        <w:t>47</w:t>
      </w:r>
      <w:r w:rsidR="007A4689" w:rsidRPr="00593087">
        <w:rPr>
          <w:rFonts w:ascii="Times New Roman" w:hAnsi="Times New Roman"/>
          <w:sz w:val="28"/>
          <w:szCs w:val="28"/>
        </w:rPr>
        <w:t xml:space="preserve"> %), </w:t>
      </w:r>
      <w:r w:rsidR="00593087" w:rsidRPr="00593087">
        <w:rPr>
          <w:rFonts w:ascii="Times New Roman" w:hAnsi="Times New Roman"/>
          <w:sz w:val="28"/>
          <w:szCs w:val="28"/>
        </w:rPr>
        <w:t>Псковской области (на 36,8 %), Волгоградской области</w:t>
      </w:r>
      <w:r w:rsidR="004C0F41" w:rsidRPr="00593087">
        <w:rPr>
          <w:rFonts w:ascii="Times New Roman" w:hAnsi="Times New Roman"/>
          <w:sz w:val="28"/>
          <w:szCs w:val="28"/>
        </w:rPr>
        <w:t xml:space="preserve"> (на </w:t>
      </w:r>
      <w:r w:rsidR="00593087" w:rsidRPr="00593087">
        <w:rPr>
          <w:rFonts w:ascii="Times New Roman" w:hAnsi="Times New Roman"/>
          <w:sz w:val="28"/>
          <w:szCs w:val="28"/>
        </w:rPr>
        <w:t>24,4</w:t>
      </w:r>
      <w:r w:rsidR="004C0F41" w:rsidRPr="00593087">
        <w:rPr>
          <w:rFonts w:ascii="Times New Roman" w:hAnsi="Times New Roman"/>
          <w:sz w:val="28"/>
          <w:szCs w:val="28"/>
        </w:rPr>
        <w:t> %)</w:t>
      </w:r>
      <w:r w:rsidR="00593087">
        <w:rPr>
          <w:rFonts w:ascii="Times New Roman" w:hAnsi="Times New Roman"/>
          <w:sz w:val="28"/>
          <w:szCs w:val="28"/>
        </w:rPr>
        <w:t>.</w:t>
      </w:r>
      <w:proofErr w:type="gramEnd"/>
    </w:p>
    <w:p w:rsidR="00612EF4" w:rsidRPr="00593087" w:rsidRDefault="00C170FB" w:rsidP="009A46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93087">
        <w:rPr>
          <w:rFonts w:ascii="Times New Roman" w:hAnsi="Times New Roman"/>
          <w:sz w:val="28"/>
          <w:szCs w:val="28"/>
        </w:rPr>
        <w:lastRenderedPageBreak/>
        <w:t xml:space="preserve">Структура доходов консолидированных бюджетов субъектов Российской Федерации </w:t>
      </w:r>
      <w:r w:rsidR="003C135F" w:rsidRPr="00593087">
        <w:rPr>
          <w:rFonts w:ascii="Times New Roman" w:hAnsi="Times New Roman"/>
          <w:sz w:val="28"/>
          <w:szCs w:val="28"/>
        </w:rPr>
        <w:t>представлена в таблице</w:t>
      </w:r>
      <w:r w:rsidR="001532E8" w:rsidRPr="00593087">
        <w:rPr>
          <w:rFonts w:ascii="Times New Roman" w:hAnsi="Times New Roman"/>
          <w:sz w:val="28"/>
          <w:szCs w:val="28"/>
        </w:rPr>
        <w:t xml:space="preserve"> </w:t>
      </w:r>
      <w:r w:rsidR="00593087" w:rsidRPr="00593087">
        <w:rPr>
          <w:rFonts w:ascii="Times New Roman" w:hAnsi="Times New Roman"/>
          <w:sz w:val="28"/>
          <w:szCs w:val="28"/>
        </w:rPr>
        <w:t>3</w:t>
      </w:r>
      <w:r w:rsidR="003C135F" w:rsidRPr="00593087">
        <w:rPr>
          <w:rFonts w:ascii="Times New Roman" w:hAnsi="Times New Roman"/>
          <w:sz w:val="28"/>
          <w:szCs w:val="28"/>
        </w:rPr>
        <w:t>.</w:t>
      </w:r>
    </w:p>
    <w:p w:rsidR="001532E8" w:rsidRPr="00593087" w:rsidRDefault="00DC7AAB" w:rsidP="001532E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0D71C7" w:rsidRPr="00593087">
        <w:rPr>
          <w:rFonts w:ascii="Times New Roman" w:hAnsi="Times New Roman"/>
          <w:sz w:val="24"/>
          <w:szCs w:val="24"/>
        </w:rPr>
        <w:t xml:space="preserve">аблица </w:t>
      </w:r>
      <w:r w:rsidR="00593087" w:rsidRPr="00593087">
        <w:rPr>
          <w:rFonts w:ascii="Times New Roman" w:hAnsi="Times New Roman"/>
          <w:sz w:val="24"/>
          <w:szCs w:val="24"/>
        </w:rPr>
        <w:t>3</w:t>
      </w:r>
    </w:p>
    <w:p w:rsidR="009300BB" w:rsidRPr="00593087" w:rsidRDefault="00DC7AAB" w:rsidP="009300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object w:dxaOrig="11828" w:dyaOrig="3683">
          <v:shape id="_x0000_i1027" type="#_x0000_t75" style="width:469.05pt;height:145.6pt" o:ole="">
            <v:imagedata r:id="rId13" o:title=""/>
          </v:shape>
          <o:OLEObject Type="Embed" ProgID="Excel.Sheet.12" ShapeID="_x0000_i1027" DrawAspect="Content" ObjectID="_1524055269" r:id="rId14"/>
        </w:object>
      </w:r>
    </w:p>
    <w:p w:rsidR="009300BB" w:rsidRPr="00593087" w:rsidRDefault="009300BB" w:rsidP="009300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9101B" w:rsidRPr="00593087" w:rsidRDefault="00593087" w:rsidP="009A46CC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3087">
        <w:rPr>
          <w:rFonts w:ascii="Times New Roman" w:hAnsi="Times New Roman"/>
          <w:sz w:val="28"/>
          <w:szCs w:val="28"/>
        </w:rPr>
        <w:t>В</w:t>
      </w:r>
      <w:r w:rsidR="0099101B" w:rsidRPr="00593087">
        <w:rPr>
          <w:rFonts w:ascii="Times New Roman" w:hAnsi="Times New Roman"/>
          <w:sz w:val="28"/>
          <w:szCs w:val="28"/>
        </w:rPr>
        <w:t xml:space="preserve"> структуре доходов консолидированных бюджетов субъектов Российской Федерации наибольший удельный вес </w:t>
      </w:r>
      <w:r w:rsidR="00A00699" w:rsidRPr="00593087">
        <w:rPr>
          <w:rFonts w:ascii="Times New Roman" w:hAnsi="Times New Roman"/>
          <w:sz w:val="28"/>
          <w:szCs w:val="28"/>
        </w:rPr>
        <w:t xml:space="preserve">по-прежнему </w:t>
      </w:r>
      <w:r w:rsidR="0099101B" w:rsidRPr="00593087">
        <w:rPr>
          <w:rFonts w:ascii="Times New Roman" w:hAnsi="Times New Roman"/>
          <w:sz w:val="28"/>
          <w:szCs w:val="28"/>
        </w:rPr>
        <w:t xml:space="preserve">занимают налоговые и неналоговые доходы, доля которых в отчетном периоде </w:t>
      </w:r>
      <w:r w:rsidRPr="00593087">
        <w:rPr>
          <w:rFonts w:ascii="Times New Roman" w:hAnsi="Times New Roman"/>
          <w:sz w:val="28"/>
          <w:szCs w:val="28"/>
        </w:rPr>
        <w:t>снизилась</w:t>
      </w:r>
      <w:r w:rsidR="001956F9" w:rsidRPr="00593087">
        <w:rPr>
          <w:rFonts w:ascii="Times New Roman" w:hAnsi="Times New Roman"/>
          <w:sz w:val="28"/>
          <w:szCs w:val="28"/>
        </w:rPr>
        <w:t xml:space="preserve"> на </w:t>
      </w:r>
      <w:r w:rsidR="00F2605A" w:rsidRPr="00593087">
        <w:rPr>
          <w:rFonts w:ascii="Times New Roman" w:hAnsi="Times New Roman"/>
          <w:sz w:val="28"/>
          <w:szCs w:val="28"/>
        </w:rPr>
        <w:t>1,</w:t>
      </w:r>
      <w:r w:rsidR="001D69E2" w:rsidRPr="00593087">
        <w:rPr>
          <w:rFonts w:ascii="Times New Roman" w:hAnsi="Times New Roman"/>
          <w:sz w:val="28"/>
          <w:szCs w:val="28"/>
        </w:rPr>
        <w:t>3</w:t>
      </w:r>
      <w:r w:rsidR="001956F9" w:rsidRPr="00593087">
        <w:rPr>
          <w:rFonts w:ascii="Times New Roman" w:hAnsi="Times New Roman"/>
          <w:sz w:val="28"/>
          <w:szCs w:val="28"/>
        </w:rPr>
        <w:t> </w:t>
      </w:r>
      <w:r w:rsidR="00A00699" w:rsidRPr="00593087">
        <w:rPr>
          <w:rFonts w:ascii="Times New Roman" w:hAnsi="Times New Roman"/>
          <w:sz w:val="28"/>
          <w:szCs w:val="28"/>
        </w:rPr>
        <w:t>процентн</w:t>
      </w:r>
      <w:r w:rsidR="001D69E2" w:rsidRPr="00593087">
        <w:rPr>
          <w:rFonts w:ascii="Times New Roman" w:hAnsi="Times New Roman"/>
          <w:sz w:val="28"/>
          <w:szCs w:val="28"/>
        </w:rPr>
        <w:t>ого</w:t>
      </w:r>
      <w:r w:rsidR="00A00699" w:rsidRPr="00593087">
        <w:rPr>
          <w:rFonts w:ascii="Times New Roman" w:hAnsi="Times New Roman"/>
          <w:sz w:val="28"/>
          <w:szCs w:val="28"/>
        </w:rPr>
        <w:t xml:space="preserve"> пункта</w:t>
      </w:r>
      <w:r w:rsidR="001956F9" w:rsidRPr="00593087">
        <w:rPr>
          <w:rFonts w:ascii="Times New Roman" w:hAnsi="Times New Roman"/>
          <w:sz w:val="28"/>
          <w:szCs w:val="28"/>
        </w:rPr>
        <w:t xml:space="preserve"> и </w:t>
      </w:r>
      <w:r w:rsidR="0099101B" w:rsidRPr="00593087">
        <w:rPr>
          <w:rFonts w:ascii="Times New Roman" w:hAnsi="Times New Roman"/>
          <w:sz w:val="28"/>
          <w:szCs w:val="28"/>
        </w:rPr>
        <w:t xml:space="preserve">составила </w:t>
      </w:r>
      <w:r w:rsidRPr="00593087">
        <w:rPr>
          <w:rFonts w:ascii="Times New Roman" w:hAnsi="Times New Roman"/>
          <w:sz w:val="28"/>
          <w:szCs w:val="28"/>
        </w:rPr>
        <w:t>86,1</w:t>
      </w:r>
      <w:r w:rsidR="0099101B" w:rsidRPr="00593087">
        <w:rPr>
          <w:rFonts w:ascii="Times New Roman" w:hAnsi="Times New Roman"/>
          <w:sz w:val="28"/>
          <w:szCs w:val="28"/>
        </w:rPr>
        <w:t> %</w:t>
      </w:r>
      <w:r w:rsidR="001956F9" w:rsidRPr="00593087">
        <w:rPr>
          <w:rFonts w:ascii="Times New Roman" w:hAnsi="Times New Roman"/>
          <w:sz w:val="28"/>
          <w:szCs w:val="28"/>
        </w:rPr>
        <w:t xml:space="preserve">. </w:t>
      </w:r>
      <w:r w:rsidR="00A4367A" w:rsidRPr="00593087">
        <w:rPr>
          <w:rFonts w:ascii="Times New Roman" w:hAnsi="Times New Roman"/>
          <w:sz w:val="28"/>
          <w:szCs w:val="28"/>
        </w:rPr>
        <w:t>Удельный вес</w:t>
      </w:r>
      <w:r w:rsidR="001956F9" w:rsidRPr="00593087">
        <w:rPr>
          <w:rFonts w:ascii="Times New Roman" w:hAnsi="Times New Roman"/>
          <w:sz w:val="28"/>
          <w:szCs w:val="28"/>
        </w:rPr>
        <w:t xml:space="preserve"> безвозмездных поступлений </w:t>
      </w:r>
      <w:r w:rsidR="00A00699" w:rsidRPr="00593087">
        <w:rPr>
          <w:rFonts w:ascii="Times New Roman" w:hAnsi="Times New Roman"/>
          <w:sz w:val="28"/>
          <w:szCs w:val="28"/>
        </w:rPr>
        <w:t xml:space="preserve">напротив </w:t>
      </w:r>
      <w:r w:rsidRPr="00593087">
        <w:rPr>
          <w:rFonts w:ascii="Times New Roman" w:hAnsi="Times New Roman"/>
          <w:sz w:val="28"/>
          <w:szCs w:val="28"/>
        </w:rPr>
        <w:t>увеличился</w:t>
      </w:r>
      <w:r w:rsidR="00A00699" w:rsidRPr="00593087">
        <w:rPr>
          <w:rFonts w:ascii="Times New Roman" w:hAnsi="Times New Roman"/>
          <w:sz w:val="28"/>
          <w:szCs w:val="28"/>
        </w:rPr>
        <w:t xml:space="preserve"> и </w:t>
      </w:r>
      <w:r w:rsidR="001956F9" w:rsidRPr="00593087">
        <w:rPr>
          <w:rFonts w:ascii="Times New Roman" w:hAnsi="Times New Roman"/>
          <w:sz w:val="28"/>
          <w:szCs w:val="28"/>
        </w:rPr>
        <w:t xml:space="preserve">составил </w:t>
      </w:r>
      <w:r w:rsidRPr="00593087">
        <w:rPr>
          <w:rFonts w:ascii="Times New Roman" w:hAnsi="Times New Roman"/>
          <w:sz w:val="28"/>
          <w:szCs w:val="28"/>
        </w:rPr>
        <w:t>13,9</w:t>
      </w:r>
      <w:r w:rsidR="001956F9" w:rsidRPr="00593087">
        <w:rPr>
          <w:rFonts w:ascii="Times New Roman" w:hAnsi="Times New Roman"/>
          <w:sz w:val="28"/>
          <w:szCs w:val="28"/>
        </w:rPr>
        <w:t> %</w:t>
      </w:r>
      <w:r w:rsidRPr="00593087">
        <w:rPr>
          <w:rFonts w:ascii="Times New Roman" w:hAnsi="Times New Roman"/>
          <w:sz w:val="28"/>
          <w:szCs w:val="28"/>
        </w:rPr>
        <w:t>, при этом доля безвозмездных поступлений от других бюджетов бюджетной системы Российской Федерации снизилась на 5,3 процентн</w:t>
      </w:r>
      <w:r w:rsidR="00DC7AAB">
        <w:rPr>
          <w:rFonts w:ascii="Times New Roman" w:hAnsi="Times New Roman"/>
          <w:sz w:val="28"/>
          <w:szCs w:val="28"/>
        </w:rPr>
        <w:t>ого</w:t>
      </w:r>
      <w:r w:rsidRPr="00593087">
        <w:rPr>
          <w:rFonts w:ascii="Times New Roman" w:hAnsi="Times New Roman"/>
          <w:sz w:val="28"/>
          <w:szCs w:val="28"/>
        </w:rPr>
        <w:t xml:space="preserve"> пункта и составила 21,5 %.</w:t>
      </w:r>
      <w:proofErr w:type="gramEnd"/>
    </w:p>
    <w:p w:rsidR="00593087" w:rsidRPr="001900A9" w:rsidRDefault="00EB539B" w:rsidP="009A46CC">
      <w:pPr>
        <w:autoSpaceDE w:val="0"/>
        <w:autoSpaceDN w:val="0"/>
        <w:adjustRightInd w:val="0"/>
        <w:spacing w:after="0"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3087">
        <w:rPr>
          <w:rFonts w:ascii="Times New Roman" w:hAnsi="Times New Roman"/>
          <w:b/>
          <w:sz w:val="28"/>
          <w:szCs w:val="28"/>
        </w:rPr>
        <w:t>2</w:t>
      </w:r>
      <w:r w:rsidR="001E5588" w:rsidRPr="00593087">
        <w:rPr>
          <w:rFonts w:ascii="Times New Roman" w:hAnsi="Times New Roman"/>
          <w:b/>
          <w:sz w:val="28"/>
          <w:szCs w:val="28"/>
        </w:rPr>
        <w:t>.</w:t>
      </w:r>
      <w:r w:rsidR="008B6D99" w:rsidRPr="00593087">
        <w:rPr>
          <w:rFonts w:ascii="Times New Roman" w:hAnsi="Times New Roman"/>
          <w:b/>
          <w:sz w:val="28"/>
          <w:szCs w:val="28"/>
        </w:rPr>
        <w:t>1</w:t>
      </w:r>
      <w:r w:rsidRPr="00593087">
        <w:rPr>
          <w:rFonts w:ascii="Times New Roman" w:hAnsi="Times New Roman"/>
          <w:b/>
          <w:sz w:val="28"/>
          <w:szCs w:val="28"/>
        </w:rPr>
        <w:t>.</w:t>
      </w:r>
      <w:r w:rsidR="008B6D99" w:rsidRPr="00593087">
        <w:rPr>
          <w:rFonts w:ascii="Times New Roman" w:hAnsi="Times New Roman"/>
          <w:sz w:val="28"/>
          <w:szCs w:val="28"/>
        </w:rPr>
        <w:t xml:space="preserve"> </w:t>
      </w:r>
      <w:r w:rsidR="00593087" w:rsidRPr="00593087">
        <w:rPr>
          <w:rFonts w:ascii="Times New Roman" w:hAnsi="Times New Roman"/>
          <w:sz w:val="28"/>
          <w:szCs w:val="28"/>
        </w:rPr>
        <w:t>Структура налоговых доходов</w:t>
      </w:r>
      <w:r w:rsidR="004C2247">
        <w:rPr>
          <w:rFonts w:ascii="Times New Roman" w:hAnsi="Times New Roman"/>
          <w:sz w:val="28"/>
          <w:szCs w:val="28"/>
        </w:rPr>
        <w:t xml:space="preserve"> консолидированных бюджетов субъектов Российской Федерации </w:t>
      </w:r>
      <w:r w:rsidR="00593087" w:rsidRPr="00593087">
        <w:rPr>
          <w:rFonts w:ascii="Times New Roman" w:hAnsi="Times New Roman"/>
          <w:sz w:val="28"/>
          <w:szCs w:val="28"/>
        </w:rPr>
        <w:t xml:space="preserve"> отражена в  таблице 4.</w:t>
      </w:r>
    </w:p>
    <w:p w:rsidR="001900A9" w:rsidRPr="001900A9" w:rsidRDefault="00DC7AAB" w:rsidP="001900A9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0D71C7" w:rsidRPr="001900A9">
        <w:rPr>
          <w:rFonts w:ascii="Times New Roman" w:hAnsi="Times New Roman"/>
          <w:sz w:val="24"/>
          <w:szCs w:val="24"/>
        </w:rPr>
        <w:t xml:space="preserve">аблица </w:t>
      </w:r>
      <w:r w:rsidR="001900A9" w:rsidRPr="001900A9">
        <w:rPr>
          <w:rFonts w:ascii="Times New Roman" w:hAnsi="Times New Roman"/>
          <w:sz w:val="24"/>
          <w:szCs w:val="24"/>
        </w:rPr>
        <w:t>4</w:t>
      </w:r>
    </w:p>
    <w:p w:rsidR="00593087" w:rsidRPr="00236D1D" w:rsidRDefault="00080440" w:rsidP="0059308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object w:dxaOrig="11214" w:dyaOrig="3290">
          <v:shape id="_x0000_i1028" type="#_x0000_t75" style="width:469.05pt;height:137pt" o:ole="">
            <v:imagedata r:id="rId15" o:title=""/>
          </v:shape>
          <o:OLEObject Type="Embed" ProgID="Excel.Sheet.12" ShapeID="_x0000_i1028" DrawAspect="Content" ObjectID="_1524055270" r:id="rId16"/>
        </w:object>
      </w:r>
    </w:p>
    <w:p w:rsidR="001900A9" w:rsidRPr="00236D1D" w:rsidRDefault="001900A9" w:rsidP="0059308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:rsidR="00236D1D" w:rsidRPr="00236D1D" w:rsidRDefault="00236D1D" w:rsidP="00CD6D3A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D1D">
        <w:rPr>
          <w:rFonts w:ascii="Times New Roman" w:hAnsi="Times New Roman"/>
          <w:sz w:val="28"/>
          <w:szCs w:val="28"/>
        </w:rPr>
        <w:t>В</w:t>
      </w:r>
      <w:r w:rsidR="00A00699" w:rsidRPr="00236D1D">
        <w:rPr>
          <w:rFonts w:ascii="Times New Roman" w:hAnsi="Times New Roman"/>
          <w:sz w:val="28"/>
          <w:szCs w:val="28"/>
        </w:rPr>
        <w:t xml:space="preserve"> отчетном периоде отмечается </w:t>
      </w:r>
      <w:r w:rsidR="009F23B0" w:rsidRPr="00236D1D">
        <w:rPr>
          <w:rFonts w:ascii="Times New Roman" w:hAnsi="Times New Roman"/>
          <w:sz w:val="28"/>
          <w:szCs w:val="28"/>
        </w:rPr>
        <w:t>увеличение</w:t>
      </w:r>
      <w:r w:rsidR="00A00699" w:rsidRPr="00236D1D">
        <w:rPr>
          <w:rFonts w:ascii="Times New Roman" w:hAnsi="Times New Roman"/>
          <w:sz w:val="28"/>
          <w:szCs w:val="28"/>
        </w:rPr>
        <w:t xml:space="preserve"> удельного веса в доходах  </w:t>
      </w:r>
      <w:r w:rsidR="009F23B0" w:rsidRPr="00236D1D">
        <w:rPr>
          <w:rFonts w:ascii="Times New Roman" w:hAnsi="Times New Roman"/>
          <w:sz w:val="28"/>
          <w:szCs w:val="28"/>
        </w:rPr>
        <w:t xml:space="preserve">поступлений </w:t>
      </w:r>
      <w:r w:rsidR="004F00D1" w:rsidRPr="00236D1D">
        <w:rPr>
          <w:rFonts w:ascii="Times New Roman" w:hAnsi="Times New Roman"/>
          <w:sz w:val="28"/>
          <w:szCs w:val="28"/>
        </w:rPr>
        <w:t xml:space="preserve">налога на прибыль организаций с </w:t>
      </w:r>
      <w:r w:rsidRPr="00236D1D">
        <w:rPr>
          <w:rFonts w:ascii="Times New Roman" w:hAnsi="Times New Roman"/>
          <w:sz w:val="28"/>
          <w:szCs w:val="28"/>
        </w:rPr>
        <w:t>10,7</w:t>
      </w:r>
      <w:r w:rsidR="004F00D1" w:rsidRPr="00236D1D">
        <w:rPr>
          <w:rFonts w:ascii="Times New Roman" w:hAnsi="Times New Roman"/>
          <w:sz w:val="28"/>
          <w:szCs w:val="28"/>
        </w:rPr>
        <w:t xml:space="preserve"> % до </w:t>
      </w:r>
      <w:r w:rsidRPr="00236D1D">
        <w:rPr>
          <w:rFonts w:ascii="Times New Roman" w:hAnsi="Times New Roman"/>
          <w:sz w:val="28"/>
          <w:szCs w:val="28"/>
        </w:rPr>
        <w:t>13,8</w:t>
      </w:r>
      <w:r w:rsidR="004F00D1" w:rsidRPr="00236D1D">
        <w:rPr>
          <w:rFonts w:ascii="Times New Roman" w:hAnsi="Times New Roman"/>
          <w:sz w:val="28"/>
          <w:szCs w:val="28"/>
        </w:rPr>
        <w:t> %</w:t>
      </w:r>
      <w:r w:rsidRPr="00236D1D">
        <w:rPr>
          <w:rFonts w:ascii="Times New Roman" w:hAnsi="Times New Roman"/>
          <w:sz w:val="28"/>
          <w:szCs w:val="28"/>
        </w:rPr>
        <w:t xml:space="preserve">. Вместе с тем прослеживается снижение </w:t>
      </w:r>
      <w:r w:rsidR="004F00D1" w:rsidRPr="00236D1D">
        <w:rPr>
          <w:rFonts w:ascii="Times New Roman" w:hAnsi="Times New Roman"/>
          <w:sz w:val="28"/>
          <w:szCs w:val="28"/>
        </w:rPr>
        <w:t xml:space="preserve"> </w:t>
      </w:r>
      <w:r w:rsidRPr="00236D1D">
        <w:rPr>
          <w:rFonts w:ascii="Times New Roman" w:hAnsi="Times New Roman"/>
          <w:sz w:val="28"/>
          <w:szCs w:val="28"/>
        </w:rPr>
        <w:t xml:space="preserve">налога на доходы физических лиц с 43,2 % до 42,8 % </w:t>
      </w:r>
      <w:r w:rsidR="004F00D1" w:rsidRPr="00236D1D">
        <w:rPr>
          <w:rFonts w:ascii="Times New Roman" w:hAnsi="Times New Roman"/>
          <w:sz w:val="28"/>
          <w:szCs w:val="28"/>
        </w:rPr>
        <w:t xml:space="preserve">и </w:t>
      </w:r>
      <w:r w:rsidR="009F23B0" w:rsidRPr="00236D1D">
        <w:rPr>
          <w:rFonts w:ascii="Times New Roman" w:hAnsi="Times New Roman"/>
          <w:sz w:val="28"/>
          <w:szCs w:val="28"/>
        </w:rPr>
        <w:t xml:space="preserve">по группе налогов на имущество </w:t>
      </w:r>
      <w:r w:rsidR="00DC7AAB">
        <w:rPr>
          <w:rFonts w:ascii="Times New Roman" w:hAnsi="Times New Roman"/>
          <w:sz w:val="28"/>
          <w:szCs w:val="28"/>
        </w:rPr>
        <w:t xml:space="preserve">- </w:t>
      </w:r>
      <w:r w:rsidR="009F23B0" w:rsidRPr="00236D1D">
        <w:rPr>
          <w:rFonts w:ascii="Times New Roman" w:hAnsi="Times New Roman"/>
          <w:sz w:val="28"/>
          <w:szCs w:val="28"/>
        </w:rPr>
        <w:t xml:space="preserve">с </w:t>
      </w:r>
      <w:r w:rsidRPr="00236D1D">
        <w:rPr>
          <w:rFonts w:ascii="Times New Roman" w:hAnsi="Times New Roman"/>
          <w:sz w:val="28"/>
          <w:szCs w:val="28"/>
        </w:rPr>
        <w:t>8,5</w:t>
      </w:r>
      <w:r w:rsidR="009F23B0" w:rsidRPr="00236D1D">
        <w:rPr>
          <w:rFonts w:ascii="Times New Roman" w:hAnsi="Times New Roman"/>
          <w:sz w:val="28"/>
          <w:szCs w:val="28"/>
        </w:rPr>
        <w:t xml:space="preserve"> % </w:t>
      </w:r>
      <w:proofErr w:type="gramStart"/>
      <w:r w:rsidR="009F23B0" w:rsidRPr="00236D1D">
        <w:rPr>
          <w:rFonts w:ascii="Times New Roman" w:hAnsi="Times New Roman"/>
          <w:sz w:val="28"/>
          <w:szCs w:val="28"/>
        </w:rPr>
        <w:t>до</w:t>
      </w:r>
      <w:proofErr w:type="gramEnd"/>
      <w:r w:rsidR="009F23B0" w:rsidRPr="00236D1D">
        <w:rPr>
          <w:rFonts w:ascii="Times New Roman" w:hAnsi="Times New Roman"/>
          <w:sz w:val="28"/>
          <w:szCs w:val="28"/>
        </w:rPr>
        <w:t xml:space="preserve"> </w:t>
      </w:r>
      <w:r w:rsidRPr="00236D1D">
        <w:rPr>
          <w:rFonts w:ascii="Times New Roman" w:hAnsi="Times New Roman"/>
          <w:sz w:val="28"/>
          <w:szCs w:val="28"/>
        </w:rPr>
        <w:t>7</w:t>
      </w:r>
      <w:r w:rsidR="009F23B0" w:rsidRPr="00236D1D">
        <w:rPr>
          <w:rFonts w:ascii="Times New Roman" w:hAnsi="Times New Roman"/>
          <w:sz w:val="28"/>
          <w:szCs w:val="28"/>
        </w:rPr>
        <w:t>,5 %</w:t>
      </w:r>
      <w:r w:rsidRPr="00236D1D">
        <w:rPr>
          <w:rFonts w:ascii="Times New Roman" w:hAnsi="Times New Roman"/>
          <w:sz w:val="28"/>
          <w:szCs w:val="28"/>
        </w:rPr>
        <w:t>.</w:t>
      </w:r>
    </w:p>
    <w:p w:rsidR="00882E84" w:rsidRDefault="00911876" w:rsidP="00CD6D3A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597A">
        <w:rPr>
          <w:rFonts w:ascii="Times New Roman" w:hAnsi="Times New Roman"/>
          <w:sz w:val="28"/>
          <w:szCs w:val="28"/>
        </w:rPr>
        <w:t>Доходы от уплаты</w:t>
      </w:r>
      <w:r w:rsidR="00AC5600" w:rsidRPr="0062597A">
        <w:rPr>
          <w:rFonts w:ascii="Times New Roman" w:hAnsi="Times New Roman"/>
          <w:sz w:val="28"/>
          <w:szCs w:val="28"/>
        </w:rPr>
        <w:t xml:space="preserve"> налога на прибыль организаций по сравнению с </w:t>
      </w:r>
      <w:r w:rsidR="00B93008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="0062597A" w:rsidRPr="0062597A">
        <w:rPr>
          <w:rFonts w:ascii="Times New Roman" w:hAnsi="Times New Roman"/>
          <w:sz w:val="28"/>
          <w:szCs w:val="28"/>
        </w:rPr>
        <w:t>2015</w:t>
      </w:r>
      <w:r w:rsidR="009F23B0" w:rsidRPr="0062597A">
        <w:rPr>
          <w:rFonts w:ascii="Times New Roman" w:hAnsi="Times New Roman"/>
          <w:sz w:val="28"/>
          <w:szCs w:val="28"/>
        </w:rPr>
        <w:t> </w:t>
      </w:r>
      <w:r w:rsidR="00AC5600" w:rsidRPr="0062597A">
        <w:rPr>
          <w:rFonts w:ascii="Times New Roman" w:hAnsi="Times New Roman"/>
          <w:sz w:val="28"/>
          <w:szCs w:val="28"/>
        </w:rPr>
        <w:t>год</w:t>
      </w:r>
      <w:r w:rsidR="00B93008">
        <w:rPr>
          <w:rFonts w:ascii="Times New Roman" w:hAnsi="Times New Roman"/>
          <w:sz w:val="28"/>
          <w:szCs w:val="28"/>
        </w:rPr>
        <w:t>а</w:t>
      </w:r>
      <w:r w:rsidR="00AC5600" w:rsidRPr="0062597A">
        <w:rPr>
          <w:rFonts w:ascii="Times New Roman" w:hAnsi="Times New Roman"/>
          <w:sz w:val="28"/>
          <w:szCs w:val="28"/>
        </w:rPr>
        <w:t xml:space="preserve"> </w:t>
      </w:r>
      <w:r w:rsidR="009735E1" w:rsidRPr="0062597A">
        <w:rPr>
          <w:rFonts w:ascii="Times New Roman" w:hAnsi="Times New Roman"/>
          <w:sz w:val="28"/>
          <w:szCs w:val="28"/>
        </w:rPr>
        <w:t>увеличились</w:t>
      </w:r>
      <w:r w:rsidR="00E06441" w:rsidRPr="0062597A">
        <w:rPr>
          <w:rFonts w:ascii="Times New Roman" w:hAnsi="Times New Roman"/>
          <w:sz w:val="28"/>
          <w:szCs w:val="28"/>
        </w:rPr>
        <w:t xml:space="preserve"> на </w:t>
      </w:r>
      <w:r w:rsidR="0062597A" w:rsidRPr="0062597A">
        <w:rPr>
          <w:rFonts w:ascii="Times New Roman" w:hAnsi="Times New Roman"/>
          <w:sz w:val="28"/>
          <w:szCs w:val="28"/>
        </w:rPr>
        <w:t>41,2</w:t>
      </w:r>
      <w:r w:rsidR="009F23B0" w:rsidRPr="0062597A">
        <w:rPr>
          <w:rFonts w:ascii="Times New Roman" w:hAnsi="Times New Roman"/>
          <w:sz w:val="28"/>
          <w:szCs w:val="28"/>
        </w:rPr>
        <w:t> </w:t>
      </w:r>
      <w:r w:rsidR="003C172F" w:rsidRPr="0062597A">
        <w:rPr>
          <w:rFonts w:ascii="Times New Roman" w:hAnsi="Times New Roman"/>
          <w:sz w:val="28"/>
          <w:szCs w:val="28"/>
        </w:rPr>
        <w:t xml:space="preserve">% и составили </w:t>
      </w:r>
      <w:r w:rsidR="0062597A" w:rsidRPr="0062597A">
        <w:rPr>
          <w:rFonts w:ascii="Times New Roman" w:hAnsi="Times New Roman"/>
          <w:sz w:val="28"/>
          <w:szCs w:val="28"/>
        </w:rPr>
        <w:t>121,3</w:t>
      </w:r>
      <w:r w:rsidR="00E06441" w:rsidRPr="0062597A">
        <w:rPr>
          <w:rFonts w:ascii="Times New Roman" w:hAnsi="Times New Roman"/>
          <w:sz w:val="28"/>
          <w:szCs w:val="28"/>
        </w:rPr>
        <w:t> </w:t>
      </w:r>
      <w:r w:rsidR="003C172F" w:rsidRPr="0062597A">
        <w:rPr>
          <w:rFonts w:ascii="Times New Roman" w:hAnsi="Times New Roman"/>
          <w:sz w:val="28"/>
          <w:szCs w:val="28"/>
        </w:rPr>
        <w:t>млрд. рублей</w:t>
      </w:r>
      <w:r w:rsidR="00FB6CB7" w:rsidRPr="0062597A">
        <w:rPr>
          <w:rFonts w:ascii="Times New Roman" w:hAnsi="Times New Roman"/>
          <w:sz w:val="28"/>
          <w:szCs w:val="28"/>
        </w:rPr>
        <w:t xml:space="preserve"> (в </w:t>
      </w:r>
      <w:r w:rsidR="0062597A" w:rsidRPr="0062597A">
        <w:rPr>
          <w:rFonts w:ascii="Times New Roman" w:hAnsi="Times New Roman"/>
          <w:sz w:val="28"/>
          <w:szCs w:val="28"/>
        </w:rPr>
        <w:t xml:space="preserve">соответствующем периоде </w:t>
      </w:r>
      <w:r w:rsidR="00FB6CB7" w:rsidRPr="0062597A">
        <w:rPr>
          <w:rFonts w:ascii="Times New Roman" w:hAnsi="Times New Roman"/>
          <w:sz w:val="28"/>
          <w:szCs w:val="28"/>
        </w:rPr>
        <w:t>201</w:t>
      </w:r>
      <w:r w:rsidR="0062597A" w:rsidRPr="0062597A">
        <w:rPr>
          <w:rFonts w:ascii="Times New Roman" w:hAnsi="Times New Roman"/>
          <w:sz w:val="28"/>
          <w:szCs w:val="28"/>
        </w:rPr>
        <w:t>5</w:t>
      </w:r>
      <w:r w:rsidR="00FB6CB7" w:rsidRPr="0062597A">
        <w:rPr>
          <w:rFonts w:ascii="Times New Roman" w:hAnsi="Times New Roman"/>
          <w:sz w:val="28"/>
          <w:szCs w:val="28"/>
        </w:rPr>
        <w:t xml:space="preserve"> год</w:t>
      </w:r>
      <w:r w:rsidR="0062597A" w:rsidRPr="0062597A">
        <w:rPr>
          <w:rFonts w:ascii="Times New Roman" w:hAnsi="Times New Roman"/>
          <w:sz w:val="28"/>
          <w:szCs w:val="28"/>
        </w:rPr>
        <w:t>а</w:t>
      </w:r>
      <w:r w:rsidR="00FB6CB7" w:rsidRPr="0062597A">
        <w:rPr>
          <w:rFonts w:ascii="Times New Roman" w:hAnsi="Times New Roman"/>
          <w:sz w:val="28"/>
          <w:szCs w:val="28"/>
        </w:rPr>
        <w:t xml:space="preserve"> </w:t>
      </w:r>
      <w:r w:rsidR="00CD2F66">
        <w:rPr>
          <w:rFonts w:ascii="Times New Roman" w:hAnsi="Times New Roman"/>
          <w:sz w:val="28"/>
          <w:szCs w:val="28"/>
        </w:rPr>
        <w:t>отмечалось снижение данного налога</w:t>
      </w:r>
      <w:r w:rsidR="00B93008">
        <w:rPr>
          <w:rFonts w:ascii="Times New Roman" w:hAnsi="Times New Roman"/>
          <w:sz w:val="28"/>
          <w:szCs w:val="28"/>
        </w:rPr>
        <w:t xml:space="preserve"> более чем в 2 раза</w:t>
      </w:r>
      <w:r w:rsidR="00FB6CB7" w:rsidRPr="0062597A">
        <w:rPr>
          <w:rFonts w:ascii="Times New Roman" w:hAnsi="Times New Roman"/>
          <w:sz w:val="28"/>
          <w:szCs w:val="28"/>
        </w:rPr>
        <w:t>)</w:t>
      </w:r>
      <w:r w:rsidR="00AC5600" w:rsidRPr="0062597A">
        <w:rPr>
          <w:rFonts w:ascii="Times New Roman" w:hAnsi="Times New Roman"/>
          <w:sz w:val="28"/>
          <w:szCs w:val="28"/>
        </w:rPr>
        <w:t xml:space="preserve">. </w:t>
      </w:r>
      <w:r w:rsidR="00882E84" w:rsidRPr="00EE6F4C">
        <w:rPr>
          <w:rFonts w:ascii="Times New Roman" w:hAnsi="Times New Roman"/>
          <w:sz w:val="28"/>
          <w:szCs w:val="28"/>
        </w:rPr>
        <w:t>Исполнение прогнозируемого</w:t>
      </w:r>
      <w:r w:rsidR="009735E1" w:rsidRPr="00EE6F4C">
        <w:rPr>
          <w:rFonts w:ascii="Times New Roman" w:hAnsi="Times New Roman"/>
          <w:sz w:val="28"/>
          <w:szCs w:val="28"/>
        </w:rPr>
        <w:t xml:space="preserve"> на 201</w:t>
      </w:r>
      <w:r w:rsidR="00EE6F4C" w:rsidRPr="00EE6F4C">
        <w:rPr>
          <w:rFonts w:ascii="Times New Roman" w:hAnsi="Times New Roman"/>
          <w:sz w:val="28"/>
          <w:szCs w:val="28"/>
        </w:rPr>
        <w:t>6</w:t>
      </w:r>
      <w:r w:rsidR="009735E1" w:rsidRPr="00EE6F4C">
        <w:rPr>
          <w:rFonts w:ascii="Times New Roman" w:hAnsi="Times New Roman"/>
          <w:sz w:val="28"/>
          <w:szCs w:val="28"/>
        </w:rPr>
        <w:t xml:space="preserve"> год</w:t>
      </w:r>
      <w:r w:rsidR="00882E84" w:rsidRPr="00EE6F4C">
        <w:rPr>
          <w:rFonts w:ascii="Times New Roman" w:hAnsi="Times New Roman"/>
          <w:sz w:val="28"/>
          <w:szCs w:val="28"/>
        </w:rPr>
        <w:t xml:space="preserve"> объема</w:t>
      </w:r>
      <w:r w:rsidRPr="00EE6F4C">
        <w:rPr>
          <w:rFonts w:ascii="Times New Roman" w:hAnsi="Times New Roman"/>
          <w:sz w:val="28"/>
          <w:szCs w:val="28"/>
        </w:rPr>
        <w:t xml:space="preserve"> </w:t>
      </w:r>
      <w:r w:rsidR="00882E84" w:rsidRPr="00EE6F4C">
        <w:rPr>
          <w:rFonts w:ascii="Times New Roman" w:hAnsi="Times New Roman"/>
          <w:sz w:val="28"/>
          <w:szCs w:val="28"/>
        </w:rPr>
        <w:t xml:space="preserve">по данному налогу </w:t>
      </w:r>
      <w:r w:rsidR="004E674B" w:rsidRPr="00EE6F4C">
        <w:rPr>
          <w:rFonts w:ascii="Times New Roman" w:hAnsi="Times New Roman"/>
          <w:sz w:val="28"/>
          <w:szCs w:val="28"/>
        </w:rPr>
        <w:t xml:space="preserve">(по регионам, представившим прогнозные </w:t>
      </w:r>
      <w:r w:rsidR="00871BB8" w:rsidRPr="00EE6F4C">
        <w:rPr>
          <w:rFonts w:ascii="Times New Roman" w:hAnsi="Times New Roman"/>
          <w:sz w:val="28"/>
          <w:szCs w:val="28"/>
        </w:rPr>
        <w:t>данные</w:t>
      </w:r>
      <w:r w:rsidR="004E674B" w:rsidRPr="00EE6F4C">
        <w:rPr>
          <w:rFonts w:ascii="Times New Roman" w:hAnsi="Times New Roman"/>
          <w:sz w:val="28"/>
          <w:szCs w:val="28"/>
        </w:rPr>
        <w:t xml:space="preserve">) </w:t>
      </w:r>
      <w:r w:rsidR="00882E84" w:rsidRPr="00EE6F4C">
        <w:rPr>
          <w:rFonts w:ascii="Times New Roman" w:hAnsi="Times New Roman"/>
          <w:sz w:val="28"/>
          <w:szCs w:val="28"/>
        </w:rPr>
        <w:t xml:space="preserve">оценивается </w:t>
      </w:r>
      <w:r w:rsidR="00EE6F4C" w:rsidRPr="00EE6F4C">
        <w:rPr>
          <w:rFonts w:ascii="Times New Roman" w:hAnsi="Times New Roman"/>
          <w:sz w:val="28"/>
          <w:szCs w:val="28"/>
        </w:rPr>
        <w:t xml:space="preserve">в отчетном </w:t>
      </w:r>
      <w:r w:rsidR="00EE6F4C" w:rsidRPr="007240BF">
        <w:rPr>
          <w:rFonts w:ascii="Times New Roman" w:hAnsi="Times New Roman"/>
          <w:sz w:val="28"/>
          <w:szCs w:val="28"/>
        </w:rPr>
        <w:t xml:space="preserve">периоде </w:t>
      </w:r>
      <w:r w:rsidR="00882E84" w:rsidRPr="007240BF">
        <w:rPr>
          <w:rFonts w:ascii="Times New Roman" w:hAnsi="Times New Roman"/>
          <w:sz w:val="28"/>
          <w:szCs w:val="28"/>
        </w:rPr>
        <w:t xml:space="preserve">в </w:t>
      </w:r>
      <w:r w:rsidR="00EE6F4C" w:rsidRPr="007240BF">
        <w:rPr>
          <w:rFonts w:ascii="Times New Roman" w:hAnsi="Times New Roman"/>
          <w:sz w:val="28"/>
          <w:szCs w:val="28"/>
        </w:rPr>
        <w:t>5,1</w:t>
      </w:r>
      <w:r w:rsidR="00882E84" w:rsidRPr="007240BF">
        <w:rPr>
          <w:rFonts w:ascii="Times New Roman" w:hAnsi="Times New Roman"/>
          <w:sz w:val="28"/>
          <w:szCs w:val="28"/>
        </w:rPr>
        <w:t> %.</w:t>
      </w:r>
    </w:p>
    <w:p w:rsidR="00630397" w:rsidRPr="007240BF" w:rsidRDefault="00630397" w:rsidP="00CD6D3A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Значительное увеличение в отчетном периоде объясняется эффектом «низкой базы», который сложился в 2015 году в результате</w:t>
      </w:r>
      <w:r w:rsidRPr="006303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уплаты данного налога в соответствии </w:t>
      </w:r>
      <w:r w:rsidR="00E86D55">
        <w:rPr>
          <w:rFonts w:ascii="Times New Roman" w:hAnsi="Times New Roman"/>
          <w:sz w:val="28"/>
          <w:szCs w:val="28"/>
        </w:rPr>
        <w:t xml:space="preserve">со </w:t>
      </w:r>
      <w:r>
        <w:rPr>
          <w:rFonts w:ascii="Times New Roman" w:hAnsi="Times New Roman"/>
          <w:sz w:val="28"/>
          <w:szCs w:val="28"/>
        </w:rPr>
        <w:t>с</w:t>
      </w:r>
      <w:r w:rsidRPr="00983056">
        <w:rPr>
          <w:rFonts w:ascii="Times New Roman" w:hAnsi="Times New Roman"/>
          <w:sz w:val="28"/>
          <w:szCs w:val="28"/>
        </w:rPr>
        <w:t xml:space="preserve">татьей 287 Налогового кодекса Российской Федерации не позднее 28-го числа каждого месяца. </w:t>
      </w:r>
      <w:r>
        <w:rPr>
          <w:rFonts w:ascii="Times New Roman" w:hAnsi="Times New Roman"/>
          <w:sz w:val="28"/>
          <w:szCs w:val="28"/>
        </w:rPr>
        <w:t>В</w:t>
      </w:r>
      <w:r w:rsidRPr="00983056">
        <w:rPr>
          <w:rFonts w:ascii="Times New Roman" w:hAnsi="Times New Roman"/>
          <w:sz w:val="28"/>
          <w:szCs w:val="28"/>
        </w:rPr>
        <w:t xml:space="preserve"> связи с тем</w:t>
      </w:r>
      <w:r w:rsidR="00ED4185">
        <w:rPr>
          <w:rFonts w:ascii="Times New Roman" w:hAnsi="Times New Roman"/>
          <w:sz w:val="28"/>
          <w:szCs w:val="28"/>
        </w:rPr>
        <w:t>,</w:t>
      </w:r>
      <w:r w:rsidR="00E86D55">
        <w:rPr>
          <w:rFonts w:ascii="Times New Roman" w:hAnsi="Times New Roman"/>
          <w:sz w:val="28"/>
          <w:szCs w:val="28"/>
        </w:rPr>
        <w:t xml:space="preserve"> что 28 </w:t>
      </w:r>
      <w:r w:rsidRPr="00983056">
        <w:rPr>
          <w:rFonts w:ascii="Times New Roman" w:hAnsi="Times New Roman"/>
          <w:sz w:val="28"/>
          <w:szCs w:val="28"/>
        </w:rPr>
        <w:t>февраля 2015</w:t>
      </w:r>
      <w:r>
        <w:rPr>
          <w:rFonts w:ascii="Times New Roman" w:hAnsi="Times New Roman"/>
          <w:sz w:val="28"/>
          <w:szCs w:val="28"/>
        </w:rPr>
        <w:t> </w:t>
      </w:r>
      <w:r w:rsidRPr="00983056">
        <w:rPr>
          <w:rFonts w:ascii="Times New Roman" w:hAnsi="Times New Roman"/>
          <w:sz w:val="28"/>
          <w:szCs w:val="28"/>
        </w:rPr>
        <w:t>года приходился на выходной день,  платежи</w:t>
      </w:r>
      <w:r>
        <w:rPr>
          <w:rFonts w:ascii="Times New Roman" w:hAnsi="Times New Roman"/>
          <w:sz w:val="28"/>
          <w:szCs w:val="28"/>
        </w:rPr>
        <w:t>, подлежащие уплате по сроку 28 </w:t>
      </w:r>
      <w:r w:rsidRPr="00983056">
        <w:rPr>
          <w:rFonts w:ascii="Times New Roman" w:hAnsi="Times New Roman"/>
          <w:sz w:val="28"/>
          <w:szCs w:val="28"/>
        </w:rPr>
        <w:t>февраля 2015 года,  поступили в доходы бюджетов бюджетной системы уже в марте текущего года, что оказало влияние на уровень исполнения консолидированных бюджетов субъектов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5600" w:rsidRPr="00ED5A9C" w:rsidRDefault="00006D36" w:rsidP="00CD6D3A">
      <w:pPr>
        <w:shd w:val="clear" w:color="auto" w:fill="FFFFFF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0BF">
        <w:rPr>
          <w:rFonts w:ascii="Times New Roman" w:hAnsi="Times New Roman"/>
          <w:sz w:val="28"/>
          <w:szCs w:val="28"/>
        </w:rPr>
        <w:t>При этом с</w:t>
      </w:r>
      <w:r w:rsidR="00AC5600" w:rsidRPr="007240BF">
        <w:rPr>
          <w:rFonts w:ascii="Times New Roman" w:hAnsi="Times New Roman"/>
          <w:sz w:val="28"/>
          <w:szCs w:val="28"/>
        </w:rPr>
        <w:t>окращение</w:t>
      </w:r>
      <w:r w:rsidR="00C11710" w:rsidRPr="007240BF">
        <w:rPr>
          <w:rFonts w:ascii="Times New Roman" w:hAnsi="Times New Roman"/>
          <w:sz w:val="28"/>
          <w:szCs w:val="28"/>
        </w:rPr>
        <w:t xml:space="preserve"> </w:t>
      </w:r>
      <w:r w:rsidR="00C162E0" w:rsidRPr="007240BF">
        <w:rPr>
          <w:rFonts w:ascii="Times New Roman" w:hAnsi="Times New Roman"/>
          <w:sz w:val="28"/>
          <w:szCs w:val="28"/>
        </w:rPr>
        <w:t xml:space="preserve">объемов данного налога </w:t>
      </w:r>
      <w:r w:rsidR="00AC5600" w:rsidRPr="007240BF">
        <w:rPr>
          <w:rFonts w:ascii="Times New Roman" w:hAnsi="Times New Roman"/>
          <w:sz w:val="28"/>
          <w:szCs w:val="28"/>
        </w:rPr>
        <w:t xml:space="preserve">произошло в </w:t>
      </w:r>
      <w:r w:rsidR="00663EA5" w:rsidRPr="007240BF">
        <w:rPr>
          <w:rFonts w:ascii="Times New Roman" w:hAnsi="Times New Roman"/>
          <w:sz w:val="28"/>
          <w:szCs w:val="28"/>
        </w:rPr>
        <w:t>3</w:t>
      </w:r>
      <w:r w:rsidR="007240BF" w:rsidRPr="007240BF">
        <w:rPr>
          <w:rFonts w:ascii="Times New Roman" w:hAnsi="Times New Roman"/>
          <w:sz w:val="28"/>
          <w:szCs w:val="28"/>
        </w:rPr>
        <w:t>4</w:t>
      </w:r>
      <w:r w:rsidR="00810AFE" w:rsidRPr="007240BF">
        <w:rPr>
          <w:rFonts w:ascii="Times New Roman" w:hAnsi="Times New Roman"/>
          <w:sz w:val="28"/>
          <w:szCs w:val="28"/>
        </w:rPr>
        <w:t xml:space="preserve"> </w:t>
      </w:r>
      <w:r w:rsidR="000C6A25" w:rsidRPr="007240BF">
        <w:rPr>
          <w:rFonts w:ascii="Times New Roman" w:hAnsi="Times New Roman"/>
          <w:sz w:val="28"/>
          <w:szCs w:val="28"/>
        </w:rPr>
        <w:t>регионах</w:t>
      </w:r>
      <w:r w:rsidR="001542C5" w:rsidRPr="007240BF">
        <w:rPr>
          <w:rFonts w:ascii="Times New Roman" w:hAnsi="Times New Roman"/>
          <w:sz w:val="28"/>
          <w:szCs w:val="28"/>
        </w:rPr>
        <w:t xml:space="preserve">, из них значительное в Республике </w:t>
      </w:r>
      <w:r w:rsidR="007240BF" w:rsidRPr="007240BF">
        <w:rPr>
          <w:rFonts w:ascii="Times New Roman" w:hAnsi="Times New Roman"/>
          <w:sz w:val="28"/>
          <w:szCs w:val="28"/>
        </w:rPr>
        <w:t>Ингушетия</w:t>
      </w:r>
      <w:r w:rsidR="001542C5" w:rsidRPr="007240BF">
        <w:rPr>
          <w:rFonts w:ascii="Times New Roman" w:hAnsi="Times New Roman"/>
          <w:sz w:val="28"/>
          <w:szCs w:val="28"/>
        </w:rPr>
        <w:t xml:space="preserve"> – на </w:t>
      </w:r>
      <w:r w:rsidR="007240BF">
        <w:rPr>
          <w:rFonts w:ascii="Times New Roman" w:hAnsi="Times New Roman"/>
          <w:sz w:val="28"/>
          <w:szCs w:val="28"/>
        </w:rPr>
        <w:t>90,</w:t>
      </w:r>
      <w:r w:rsidR="007240BF" w:rsidRPr="00ED5A9C">
        <w:rPr>
          <w:rFonts w:ascii="Times New Roman" w:hAnsi="Times New Roman"/>
          <w:sz w:val="28"/>
          <w:szCs w:val="28"/>
        </w:rPr>
        <w:t>7</w:t>
      </w:r>
      <w:r w:rsidR="001542C5" w:rsidRPr="00ED5A9C">
        <w:rPr>
          <w:rFonts w:ascii="Times New Roman" w:hAnsi="Times New Roman"/>
          <w:sz w:val="28"/>
          <w:szCs w:val="28"/>
        </w:rPr>
        <w:t xml:space="preserve"> %, </w:t>
      </w:r>
      <w:r w:rsidR="00D90F08" w:rsidRPr="00ED5A9C">
        <w:rPr>
          <w:rFonts w:ascii="Times New Roman" w:hAnsi="Times New Roman"/>
          <w:sz w:val="28"/>
          <w:szCs w:val="28"/>
        </w:rPr>
        <w:t xml:space="preserve">Республике </w:t>
      </w:r>
      <w:r w:rsidR="00ED5A9C" w:rsidRPr="00ED5A9C">
        <w:rPr>
          <w:rFonts w:ascii="Times New Roman" w:hAnsi="Times New Roman"/>
          <w:sz w:val="28"/>
          <w:szCs w:val="28"/>
        </w:rPr>
        <w:t>Дагестан</w:t>
      </w:r>
      <w:r w:rsidR="00D90F08" w:rsidRPr="00ED5A9C">
        <w:rPr>
          <w:rFonts w:ascii="Times New Roman" w:hAnsi="Times New Roman"/>
          <w:sz w:val="28"/>
          <w:szCs w:val="28"/>
        </w:rPr>
        <w:t xml:space="preserve"> – на </w:t>
      </w:r>
      <w:r w:rsidR="00ED5A9C" w:rsidRPr="00ED5A9C">
        <w:rPr>
          <w:rFonts w:ascii="Times New Roman" w:hAnsi="Times New Roman"/>
          <w:sz w:val="28"/>
          <w:szCs w:val="28"/>
        </w:rPr>
        <w:t>97,2</w:t>
      </w:r>
      <w:r w:rsidR="00D90F08" w:rsidRPr="00ED5A9C">
        <w:rPr>
          <w:rFonts w:ascii="Times New Roman" w:hAnsi="Times New Roman"/>
          <w:sz w:val="28"/>
          <w:szCs w:val="28"/>
        </w:rPr>
        <w:t xml:space="preserve"> %, </w:t>
      </w:r>
      <w:r w:rsidR="00ED5A9C" w:rsidRPr="00ED5A9C">
        <w:rPr>
          <w:rFonts w:ascii="Times New Roman" w:hAnsi="Times New Roman"/>
          <w:sz w:val="28"/>
          <w:szCs w:val="28"/>
        </w:rPr>
        <w:t xml:space="preserve">Кабардино-Балкарской </w:t>
      </w:r>
      <w:r w:rsidR="001542C5" w:rsidRPr="00ED5A9C">
        <w:rPr>
          <w:rFonts w:ascii="Times New Roman" w:hAnsi="Times New Roman"/>
          <w:sz w:val="28"/>
          <w:szCs w:val="28"/>
        </w:rPr>
        <w:t xml:space="preserve"> Республике – на </w:t>
      </w:r>
      <w:r w:rsidR="00ED5A9C" w:rsidRPr="00ED5A9C">
        <w:rPr>
          <w:rFonts w:ascii="Times New Roman" w:hAnsi="Times New Roman"/>
          <w:sz w:val="28"/>
          <w:szCs w:val="28"/>
        </w:rPr>
        <w:t>73,3</w:t>
      </w:r>
      <w:r w:rsidR="001542C5" w:rsidRPr="00ED5A9C">
        <w:rPr>
          <w:rFonts w:ascii="Times New Roman" w:hAnsi="Times New Roman"/>
          <w:sz w:val="28"/>
          <w:szCs w:val="28"/>
        </w:rPr>
        <w:t xml:space="preserve"> %, </w:t>
      </w:r>
      <w:r w:rsidR="00ED5A9C" w:rsidRPr="00ED5A9C">
        <w:rPr>
          <w:rFonts w:ascii="Times New Roman" w:hAnsi="Times New Roman"/>
          <w:sz w:val="28"/>
          <w:szCs w:val="28"/>
        </w:rPr>
        <w:t xml:space="preserve">Республике Северная Осетия – Алания – на 88,1 %, Тульской </w:t>
      </w:r>
      <w:r w:rsidR="00663EA5" w:rsidRPr="00ED5A9C">
        <w:rPr>
          <w:rFonts w:ascii="Times New Roman" w:hAnsi="Times New Roman"/>
          <w:sz w:val="28"/>
          <w:szCs w:val="28"/>
        </w:rPr>
        <w:t xml:space="preserve"> области </w:t>
      </w:r>
      <w:r w:rsidR="001542C5" w:rsidRPr="00ED5A9C">
        <w:rPr>
          <w:rFonts w:ascii="Times New Roman" w:hAnsi="Times New Roman"/>
          <w:sz w:val="28"/>
          <w:szCs w:val="28"/>
        </w:rPr>
        <w:t xml:space="preserve">– на </w:t>
      </w:r>
      <w:r w:rsidR="00ED5A9C" w:rsidRPr="00ED5A9C">
        <w:rPr>
          <w:rFonts w:ascii="Times New Roman" w:hAnsi="Times New Roman"/>
          <w:sz w:val="28"/>
          <w:szCs w:val="28"/>
        </w:rPr>
        <w:t>73,4</w:t>
      </w:r>
      <w:r w:rsidR="001542C5" w:rsidRPr="00ED5A9C">
        <w:rPr>
          <w:rFonts w:ascii="Times New Roman" w:hAnsi="Times New Roman"/>
          <w:sz w:val="28"/>
          <w:szCs w:val="28"/>
        </w:rPr>
        <w:t> %,</w:t>
      </w:r>
      <w:r w:rsidR="00AE2E3D" w:rsidRPr="00ED5A9C">
        <w:rPr>
          <w:rFonts w:ascii="Times New Roman" w:hAnsi="Times New Roman"/>
          <w:sz w:val="28"/>
          <w:szCs w:val="28"/>
        </w:rPr>
        <w:t xml:space="preserve"> </w:t>
      </w:r>
      <w:r w:rsidR="00ED5A9C" w:rsidRPr="00ED5A9C">
        <w:rPr>
          <w:rFonts w:ascii="Times New Roman" w:hAnsi="Times New Roman"/>
          <w:sz w:val="28"/>
          <w:szCs w:val="28"/>
        </w:rPr>
        <w:t xml:space="preserve">Кировской </w:t>
      </w:r>
      <w:r w:rsidR="00AE2E3D" w:rsidRPr="00ED5A9C">
        <w:rPr>
          <w:rFonts w:ascii="Times New Roman" w:hAnsi="Times New Roman"/>
          <w:sz w:val="28"/>
          <w:szCs w:val="28"/>
        </w:rPr>
        <w:t xml:space="preserve"> области – на </w:t>
      </w:r>
      <w:r w:rsidR="00ED5A9C" w:rsidRPr="00ED5A9C">
        <w:rPr>
          <w:rFonts w:ascii="Times New Roman" w:hAnsi="Times New Roman"/>
          <w:sz w:val="28"/>
          <w:szCs w:val="28"/>
        </w:rPr>
        <w:t>73,1</w:t>
      </w:r>
      <w:r w:rsidR="00AE2E3D" w:rsidRPr="00ED5A9C">
        <w:rPr>
          <w:rFonts w:ascii="Times New Roman" w:hAnsi="Times New Roman"/>
          <w:sz w:val="28"/>
          <w:szCs w:val="28"/>
        </w:rPr>
        <w:t> %,</w:t>
      </w:r>
      <w:r w:rsidR="001542C5" w:rsidRPr="00ED5A9C">
        <w:rPr>
          <w:rFonts w:ascii="Times New Roman" w:hAnsi="Times New Roman"/>
          <w:sz w:val="28"/>
          <w:szCs w:val="28"/>
        </w:rPr>
        <w:t xml:space="preserve"> </w:t>
      </w:r>
      <w:r w:rsidR="00ED5A9C" w:rsidRPr="00ED5A9C">
        <w:rPr>
          <w:rFonts w:ascii="Times New Roman" w:hAnsi="Times New Roman"/>
          <w:sz w:val="28"/>
          <w:szCs w:val="28"/>
        </w:rPr>
        <w:t>Челябинской</w:t>
      </w:r>
      <w:r w:rsidR="00AE2E3D" w:rsidRPr="00ED5A9C">
        <w:rPr>
          <w:rFonts w:ascii="Times New Roman" w:hAnsi="Times New Roman"/>
          <w:sz w:val="28"/>
          <w:szCs w:val="28"/>
        </w:rPr>
        <w:t xml:space="preserve"> области – </w:t>
      </w:r>
      <w:proofErr w:type="gramStart"/>
      <w:r w:rsidR="00AE2E3D" w:rsidRPr="00ED5A9C">
        <w:rPr>
          <w:rFonts w:ascii="Times New Roman" w:hAnsi="Times New Roman"/>
          <w:sz w:val="28"/>
          <w:szCs w:val="28"/>
        </w:rPr>
        <w:t>на</w:t>
      </w:r>
      <w:proofErr w:type="gramEnd"/>
      <w:r w:rsidR="00AE2E3D" w:rsidRPr="00ED5A9C">
        <w:rPr>
          <w:rFonts w:ascii="Times New Roman" w:hAnsi="Times New Roman"/>
          <w:sz w:val="28"/>
          <w:szCs w:val="28"/>
        </w:rPr>
        <w:t xml:space="preserve"> </w:t>
      </w:r>
      <w:r w:rsidR="00ED5A9C" w:rsidRPr="00ED5A9C">
        <w:rPr>
          <w:rFonts w:ascii="Times New Roman" w:hAnsi="Times New Roman"/>
          <w:sz w:val="28"/>
          <w:szCs w:val="28"/>
        </w:rPr>
        <w:t>72,3</w:t>
      </w:r>
      <w:r w:rsidR="00AE2E3D" w:rsidRPr="00ED5A9C">
        <w:rPr>
          <w:rFonts w:ascii="Times New Roman" w:hAnsi="Times New Roman"/>
          <w:sz w:val="28"/>
          <w:szCs w:val="28"/>
        </w:rPr>
        <w:t xml:space="preserve"> %</w:t>
      </w:r>
      <w:r w:rsidR="00810AFE" w:rsidRPr="00ED5A9C">
        <w:rPr>
          <w:rFonts w:ascii="Times New Roman" w:hAnsi="Times New Roman"/>
          <w:sz w:val="28"/>
          <w:szCs w:val="28"/>
        </w:rPr>
        <w:t>.</w:t>
      </w:r>
      <w:r w:rsidR="00AC5600" w:rsidRPr="00ED5A9C">
        <w:rPr>
          <w:rFonts w:ascii="Times New Roman" w:hAnsi="Times New Roman"/>
          <w:sz w:val="28"/>
          <w:szCs w:val="28"/>
        </w:rPr>
        <w:t xml:space="preserve"> </w:t>
      </w:r>
    </w:p>
    <w:p w:rsidR="007240BF" w:rsidRPr="007240BF" w:rsidRDefault="007240BF" w:rsidP="00CD6D3A">
      <w:pPr>
        <w:shd w:val="clear" w:color="auto" w:fill="FFFFFF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A9C">
        <w:rPr>
          <w:rFonts w:ascii="Times New Roman" w:hAnsi="Times New Roman"/>
          <w:sz w:val="28"/>
          <w:szCs w:val="28"/>
        </w:rPr>
        <w:t>В</w:t>
      </w:r>
      <w:r w:rsidR="00B93008" w:rsidRPr="00ED5A9C">
        <w:rPr>
          <w:rFonts w:ascii="Times New Roman" w:hAnsi="Times New Roman"/>
          <w:sz w:val="28"/>
          <w:szCs w:val="28"/>
        </w:rPr>
        <w:t xml:space="preserve"> </w:t>
      </w:r>
      <w:r w:rsidRPr="00ED5A9C">
        <w:rPr>
          <w:rFonts w:ascii="Times New Roman" w:hAnsi="Times New Roman"/>
          <w:sz w:val="28"/>
          <w:szCs w:val="28"/>
        </w:rPr>
        <w:t>3</w:t>
      </w:r>
      <w:r w:rsidR="00B93008" w:rsidRPr="00ED5A9C">
        <w:rPr>
          <w:rFonts w:ascii="Times New Roman" w:hAnsi="Times New Roman"/>
          <w:sz w:val="28"/>
          <w:szCs w:val="28"/>
        </w:rPr>
        <w:t xml:space="preserve"> субъектах Российской Федерации по данному налогу сложились </w:t>
      </w:r>
      <w:r w:rsidR="00B93008" w:rsidRPr="007240BF">
        <w:rPr>
          <w:rFonts w:ascii="Times New Roman" w:hAnsi="Times New Roman"/>
          <w:sz w:val="28"/>
          <w:szCs w:val="28"/>
        </w:rPr>
        <w:t xml:space="preserve">отрицательные значения (в </w:t>
      </w:r>
      <w:r w:rsidRPr="007240BF">
        <w:rPr>
          <w:rFonts w:ascii="Times New Roman" w:hAnsi="Times New Roman"/>
          <w:sz w:val="28"/>
          <w:szCs w:val="28"/>
        </w:rPr>
        <w:t>Республике Хакасия – (</w:t>
      </w:r>
      <w:r>
        <w:rPr>
          <w:rFonts w:ascii="Times New Roman" w:hAnsi="Times New Roman"/>
          <w:sz w:val="28"/>
          <w:szCs w:val="28"/>
        </w:rPr>
        <w:t>-)</w:t>
      </w:r>
      <w:r w:rsidRPr="007240BF">
        <w:rPr>
          <w:rFonts w:ascii="Times New Roman" w:hAnsi="Times New Roman"/>
          <w:sz w:val="28"/>
          <w:szCs w:val="28"/>
        </w:rPr>
        <w:t>357,2 млн. рублей, Костромской области</w:t>
      </w:r>
      <w:r w:rsidR="00B93008" w:rsidRPr="007240BF">
        <w:rPr>
          <w:rFonts w:ascii="Times New Roman" w:hAnsi="Times New Roman"/>
          <w:sz w:val="28"/>
          <w:szCs w:val="28"/>
        </w:rPr>
        <w:t xml:space="preserve"> – (-)</w:t>
      </w:r>
      <w:r w:rsidRPr="007240BF">
        <w:rPr>
          <w:rFonts w:ascii="Times New Roman" w:hAnsi="Times New Roman"/>
          <w:sz w:val="28"/>
          <w:szCs w:val="28"/>
        </w:rPr>
        <w:t>201,9</w:t>
      </w:r>
      <w:r w:rsidR="00B93008" w:rsidRPr="007240BF">
        <w:rPr>
          <w:rFonts w:ascii="Times New Roman" w:hAnsi="Times New Roman"/>
          <w:sz w:val="28"/>
          <w:szCs w:val="28"/>
        </w:rPr>
        <w:t xml:space="preserve"> млн. рублей, </w:t>
      </w:r>
      <w:r w:rsidRPr="007240BF">
        <w:rPr>
          <w:rFonts w:ascii="Times New Roman" w:hAnsi="Times New Roman"/>
          <w:sz w:val="28"/>
          <w:szCs w:val="28"/>
        </w:rPr>
        <w:t>Орловской области</w:t>
      </w:r>
      <w:r>
        <w:rPr>
          <w:rFonts w:ascii="Times New Roman" w:hAnsi="Times New Roman"/>
          <w:sz w:val="28"/>
          <w:szCs w:val="28"/>
        </w:rPr>
        <w:t xml:space="preserve"> – (-)</w:t>
      </w:r>
      <w:r w:rsidRPr="007240BF">
        <w:rPr>
          <w:rFonts w:ascii="Times New Roman" w:hAnsi="Times New Roman"/>
          <w:sz w:val="28"/>
          <w:szCs w:val="28"/>
        </w:rPr>
        <w:t>8</w:t>
      </w:r>
      <w:r w:rsidR="00B93008" w:rsidRPr="007240BF">
        <w:rPr>
          <w:rFonts w:ascii="Times New Roman" w:hAnsi="Times New Roman"/>
          <w:sz w:val="28"/>
          <w:szCs w:val="28"/>
        </w:rPr>
        <w:t>,7 млн. рублей</w:t>
      </w:r>
      <w:r w:rsidR="00DC7AAB">
        <w:rPr>
          <w:rFonts w:ascii="Times New Roman" w:hAnsi="Times New Roman"/>
          <w:sz w:val="28"/>
          <w:szCs w:val="28"/>
        </w:rPr>
        <w:t>)</w:t>
      </w:r>
      <w:r w:rsidRPr="007240BF">
        <w:rPr>
          <w:rFonts w:ascii="Times New Roman" w:hAnsi="Times New Roman"/>
          <w:sz w:val="28"/>
          <w:szCs w:val="28"/>
        </w:rPr>
        <w:t>.</w:t>
      </w:r>
    </w:p>
    <w:p w:rsidR="005C6862" w:rsidRDefault="005C6862" w:rsidP="00CD6D3A">
      <w:pPr>
        <w:shd w:val="clear" w:color="auto" w:fill="FFFFFF"/>
        <w:spacing w:after="0" w:line="269" w:lineRule="auto"/>
        <w:ind w:right="14" w:firstLine="692"/>
        <w:jc w:val="both"/>
        <w:rPr>
          <w:rFonts w:ascii="Times New Roman" w:hAnsi="Times New Roman"/>
          <w:i/>
          <w:sz w:val="27"/>
          <w:szCs w:val="27"/>
        </w:rPr>
      </w:pPr>
      <w:r w:rsidRPr="00767657">
        <w:rPr>
          <w:rFonts w:ascii="Times New Roman" w:hAnsi="Times New Roman"/>
          <w:i/>
          <w:sz w:val="27"/>
          <w:szCs w:val="27"/>
        </w:rPr>
        <w:t xml:space="preserve">Справочно: по оперативной информации Федерального казначейства, в </w:t>
      </w:r>
      <w:r w:rsidR="009C5601">
        <w:rPr>
          <w:rFonts w:ascii="Times New Roman" w:hAnsi="Times New Roman"/>
          <w:i/>
          <w:sz w:val="27"/>
          <w:szCs w:val="27"/>
        </w:rPr>
        <w:t xml:space="preserve">январе – </w:t>
      </w:r>
      <w:r w:rsidRPr="00767657">
        <w:rPr>
          <w:rFonts w:ascii="Times New Roman" w:hAnsi="Times New Roman"/>
          <w:i/>
          <w:sz w:val="27"/>
          <w:szCs w:val="27"/>
        </w:rPr>
        <w:t>марте</w:t>
      </w:r>
      <w:r w:rsidR="009C5601">
        <w:rPr>
          <w:rFonts w:ascii="Times New Roman" w:hAnsi="Times New Roman"/>
          <w:i/>
          <w:sz w:val="27"/>
          <w:szCs w:val="27"/>
        </w:rPr>
        <w:t xml:space="preserve"> </w:t>
      </w:r>
      <w:r w:rsidRPr="00767657">
        <w:rPr>
          <w:rFonts w:ascii="Times New Roman" w:hAnsi="Times New Roman"/>
          <w:i/>
          <w:sz w:val="27"/>
          <w:szCs w:val="27"/>
        </w:rPr>
        <w:t>201</w:t>
      </w:r>
      <w:r w:rsidR="009C5601">
        <w:rPr>
          <w:rFonts w:ascii="Times New Roman" w:hAnsi="Times New Roman"/>
          <w:i/>
          <w:sz w:val="27"/>
          <w:szCs w:val="27"/>
        </w:rPr>
        <w:t>6</w:t>
      </w:r>
      <w:r w:rsidRPr="00767657">
        <w:rPr>
          <w:rFonts w:ascii="Times New Roman" w:hAnsi="Times New Roman"/>
          <w:i/>
          <w:sz w:val="27"/>
          <w:szCs w:val="27"/>
        </w:rPr>
        <w:t xml:space="preserve"> года поступления налога на прибыль организаций </w:t>
      </w:r>
      <w:r w:rsidR="009C5601">
        <w:rPr>
          <w:rFonts w:ascii="Times New Roman" w:hAnsi="Times New Roman"/>
          <w:i/>
          <w:sz w:val="27"/>
          <w:szCs w:val="27"/>
        </w:rPr>
        <w:t xml:space="preserve">снизились по сравнению с соответствующим периодом 2015 года на 0,2 % и </w:t>
      </w:r>
      <w:r w:rsidRPr="00767657">
        <w:rPr>
          <w:rFonts w:ascii="Times New Roman" w:hAnsi="Times New Roman"/>
          <w:i/>
          <w:sz w:val="27"/>
          <w:szCs w:val="27"/>
        </w:rPr>
        <w:t xml:space="preserve">составили </w:t>
      </w:r>
      <w:r w:rsidR="009C5601">
        <w:rPr>
          <w:rFonts w:ascii="Times New Roman" w:hAnsi="Times New Roman"/>
          <w:i/>
          <w:sz w:val="27"/>
          <w:szCs w:val="27"/>
        </w:rPr>
        <w:t>538,9</w:t>
      </w:r>
      <w:r w:rsidRPr="00767657">
        <w:rPr>
          <w:rFonts w:ascii="Times New Roman" w:hAnsi="Times New Roman"/>
          <w:i/>
          <w:sz w:val="27"/>
          <w:szCs w:val="27"/>
        </w:rPr>
        <w:t xml:space="preserve"> млрд. рублей. </w:t>
      </w:r>
    </w:p>
    <w:p w:rsidR="009C5601" w:rsidRPr="00236D1D" w:rsidRDefault="009C5601" w:rsidP="00CD6D3A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согласно данным Росстата</w:t>
      </w:r>
      <w:r w:rsidRPr="009C5601">
        <w:rPr>
          <w:rFonts w:ascii="Times New Roman" w:hAnsi="Times New Roman"/>
          <w:sz w:val="28"/>
          <w:szCs w:val="28"/>
        </w:rPr>
        <w:t xml:space="preserve"> </w:t>
      </w:r>
      <w:r w:rsidRPr="00236D1D">
        <w:rPr>
          <w:rFonts w:ascii="Times New Roman" w:hAnsi="Times New Roman"/>
          <w:sz w:val="28"/>
          <w:szCs w:val="28"/>
        </w:rPr>
        <w:t>в январе 201</w:t>
      </w:r>
      <w:r>
        <w:rPr>
          <w:rFonts w:ascii="Times New Roman" w:hAnsi="Times New Roman"/>
          <w:sz w:val="28"/>
          <w:szCs w:val="28"/>
        </w:rPr>
        <w:t>6</w:t>
      </w:r>
      <w:r w:rsidRPr="00236D1D">
        <w:rPr>
          <w:rFonts w:ascii="Times New Roman" w:hAnsi="Times New Roman"/>
          <w:sz w:val="28"/>
          <w:szCs w:val="28"/>
        </w:rPr>
        <w:t xml:space="preserve"> года сальдированный финансовый результат (прибыль минус убыток) организаций (без субъектов малого предпринимательства, банков, страховых организаций и бюджетных учреждений) в действующих ценах составил (+)352,0 млрд. рублей (в соответствующем периоде 2015 года </w:t>
      </w:r>
      <w:r w:rsidR="00DC7AAB">
        <w:rPr>
          <w:rFonts w:ascii="Times New Roman" w:hAnsi="Times New Roman"/>
          <w:sz w:val="28"/>
          <w:szCs w:val="28"/>
        </w:rPr>
        <w:t>-</w:t>
      </w:r>
      <w:r w:rsidRPr="00236D1D">
        <w:rPr>
          <w:rFonts w:ascii="Times New Roman" w:hAnsi="Times New Roman"/>
          <w:sz w:val="28"/>
          <w:szCs w:val="28"/>
        </w:rPr>
        <w:t xml:space="preserve"> (-)224,0 млрд. рублей</w:t>
      </w:r>
      <w:r w:rsidR="00DC7AAB">
        <w:rPr>
          <w:rFonts w:ascii="Times New Roman" w:hAnsi="Times New Roman"/>
          <w:sz w:val="28"/>
          <w:szCs w:val="28"/>
        </w:rPr>
        <w:t>)</w:t>
      </w:r>
      <w:r w:rsidRPr="00236D1D">
        <w:rPr>
          <w:rFonts w:ascii="Times New Roman" w:hAnsi="Times New Roman"/>
          <w:sz w:val="28"/>
          <w:szCs w:val="28"/>
        </w:rPr>
        <w:t xml:space="preserve">. </w:t>
      </w:r>
    </w:p>
    <w:p w:rsidR="006478CA" w:rsidRPr="00706ADF" w:rsidRDefault="006478CA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>По информации, представленной субъектами Российской Федерации, на объем поступлений налога на прибыль оказывают влияние значительные суммы возвратов переплат по налогу по заявлениям налогоплательщиков. Так, например, за январь</w:t>
      </w:r>
      <w:r w:rsidR="00DC7AAB">
        <w:rPr>
          <w:rFonts w:ascii="Times New Roman" w:hAnsi="Times New Roman"/>
          <w:sz w:val="28"/>
          <w:szCs w:val="28"/>
        </w:rPr>
        <w:t xml:space="preserve"> </w:t>
      </w:r>
      <w:r w:rsidR="00ED4185">
        <w:rPr>
          <w:rFonts w:ascii="Times New Roman" w:hAnsi="Times New Roman"/>
          <w:sz w:val="28"/>
          <w:szCs w:val="28"/>
        </w:rPr>
        <w:t>–</w:t>
      </w:r>
      <w:r w:rsidR="00DC7AAB">
        <w:rPr>
          <w:rFonts w:ascii="Times New Roman" w:hAnsi="Times New Roman"/>
          <w:sz w:val="28"/>
          <w:szCs w:val="28"/>
        </w:rPr>
        <w:t xml:space="preserve"> </w:t>
      </w:r>
      <w:r w:rsidRPr="00706ADF">
        <w:rPr>
          <w:rFonts w:ascii="Times New Roman" w:hAnsi="Times New Roman"/>
          <w:sz w:val="28"/>
          <w:szCs w:val="28"/>
        </w:rPr>
        <w:t>март</w:t>
      </w:r>
      <w:r w:rsidR="00ED4185">
        <w:rPr>
          <w:rFonts w:ascii="Times New Roman" w:hAnsi="Times New Roman"/>
          <w:sz w:val="28"/>
          <w:szCs w:val="28"/>
        </w:rPr>
        <w:t xml:space="preserve"> </w:t>
      </w:r>
      <w:r w:rsidRPr="00706ADF">
        <w:rPr>
          <w:rFonts w:ascii="Times New Roman" w:hAnsi="Times New Roman"/>
          <w:sz w:val="28"/>
          <w:szCs w:val="28"/>
        </w:rPr>
        <w:t>текущего года из бюджета Кировской области</w:t>
      </w:r>
      <w:r>
        <w:rPr>
          <w:rStyle w:val="af1"/>
          <w:rFonts w:ascii="Times New Roman" w:hAnsi="Times New Roman"/>
          <w:sz w:val="28"/>
          <w:szCs w:val="28"/>
        </w:rPr>
        <w:footnoteReference w:id="1"/>
      </w:r>
      <w:r w:rsidRPr="00706ADF">
        <w:rPr>
          <w:rFonts w:ascii="Times New Roman" w:hAnsi="Times New Roman"/>
          <w:sz w:val="28"/>
          <w:szCs w:val="28"/>
        </w:rPr>
        <w:t xml:space="preserve">  возвращено переплаты по налогу порядка 200</w:t>
      </w:r>
      <w:r w:rsidR="00ED4185">
        <w:rPr>
          <w:rFonts w:ascii="Times New Roman" w:hAnsi="Times New Roman"/>
          <w:sz w:val="28"/>
          <w:szCs w:val="28"/>
        </w:rPr>
        <w:t>,0</w:t>
      </w:r>
      <w:r w:rsidRPr="00706ADF">
        <w:rPr>
          <w:rFonts w:ascii="Times New Roman" w:hAnsi="Times New Roman"/>
          <w:sz w:val="28"/>
          <w:szCs w:val="28"/>
        </w:rPr>
        <w:t xml:space="preserve"> млн. рублей, в том числе наиболее значительные суммы возвратов </w:t>
      </w:r>
      <w:r w:rsidR="00E86D55">
        <w:rPr>
          <w:rFonts w:ascii="Times New Roman" w:hAnsi="Times New Roman"/>
          <w:sz w:val="28"/>
          <w:szCs w:val="28"/>
        </w:rPr>
        <w:t>сложились по подразделениям ОАО </w:t>
      </w:r>
      <w:r w:rsidRPr="00706ADF">
        <w:rPr>
          <w:rFonts w:ascii="Times New Roman" w:hAnsi="Times New Roman"/>
          <w:sz w:val="28"/>
          <w:szCs w:val="28"/>
        </w:rPr>
        <w:t>«РЖД» (более 40 млн. рублей), подразделениям ОАО «Газпром» (более 50 млн. рублей), подразделениям ЕЭС России (более 30 млн. рублей). В Новгородской области</w:t>
      </w:r>
      <w:r>
        <w:rPr>
          <w:rStyle w:val="af1"/>
          <w:rFonts w:ascii="Times New Roman" w:hAnsi="Times New Roman"/>
          <w:sz w:val="28"/>
          <w:szCs w:val="28"/>
        </w:rPr>
        <w:footnoteReference w:id="2"/>
      </w:r>
      <w:r w:rsidRPr="00706ADF">
        <w:rPr>
          <w:rFonts w:ascii="Times New Roman" w:hAnsi="Times New Roman"/>
          <w:sz w:val="28"/>
          <w:szCs w:val="28"/>
        </w:rPr>
        <w:t xml:space="preserve"> за 2 месяца текущего года на счета организаций возвращено 135 млн. рублей налога. В I квартале 2016 года в налоговые органы организациями представлены декларации к «уменьшению» более чем </w:t>
      </w:r>
      <w:r w:rsidRPr="00706ADF">
        <w:rPr>
          <w:rFonts w:ascii="Times New Roman" w:hAnsi="Times New Roman"/>
          <w:sz w:val="28"/>
          <w:szCs w:val="28"/>
        </w:rPr>
        <w:lastRenderedPageBreak/>
        <w:t>на 1 млрд. рублей. По данным, представленным Оренбургской областью</w:t>
      </w:r>
      <w:r>
        <w:rPr>
          <w:rStyle w:val="af1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>,</w:t>
      </w:r>
      <w:r w:rsidRPr="00706ADF">
        <w:rPr>
          <w:rFonts w:ascii="Times New Roman" w:hAnsi="Times New Roman"/>
          <w:sz w:val="28"/>
          <w:szCs w:val="28"/>
        </w:rPr>
        <w:t xml:space="preserve"> из областного бюджета произведен возврат налога на прибыль организаций в размере 2 739,5 млн. рублей. Кроме того</w:t>
      </w:r>
      <w:r w:rsidR="00DC7AAB">
        <w:rPr>
          <w:rFonts w:ascii="Times New Roman" w:hAnsi="Times New Roman"/>
          <w:sz w:val="28"/>
          <w:szCs w:val="28"/>
        </w:rPr>
        <w:t>,</w:t>
      </w:r>
      <w:r w:rsidRPr="00706ADF">
        <w:rPr>
          <w:rFonts w:ascii="Times New Roman" w:hAnsi="Times New Roman"/>
          <w:sz w:val="28"/>
          <w:szCs w:val="28"/>
        </w:rPr>
        <w:t xml:space="preserve"> в марте текущего года  представлена первичная налоговая декларация по налогу</w:t>
      </w:r>
      <w:r w:rsidR="0062778F">
        <w:rPr>
          <w:rFonts w:ascii="Times New Roman" w:hAnsi="Times New Roman"/>
          <w:sz w:val="28"/>
          <w:szCs w:val="28"/>
        </w:rPr>
        <w:t xml:space="preserve"> на прибыль организаций за 2015 </w:t>
      </w:r>
      <w:r w:rsidRPr="00706ADF">
        <w:rPr>
          <w:rFonts w:ascii="Times New Roman" w:hAnsi="Times New Roman"/>
          <w:sz w:val="28"/>
          <w:szCs w:val="28"/>
        </w:rPr>
        <w:t xml:space="preserve">год к уменьшению на 1 085,1 млн. рублей. </w:t>
      </w:r>
    </w:p>
    <w:p w:rsidR="002B5E58" w:rsidRPr="009C5601" w:rsidRDefault="00EB539B" w:rsidP="00CD6D3A">
      <w:pPr>
        <w:shd w:val="clear" w:color="auto" w:fill="FFFFFF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601">
        <w:rPr>
          <w:rFonts w:ascii="Times New Roman" w:hAnsi="Times New Roman"/>
          <w:b/>
          <w:sz w:val="28"/>
          <w:szCs w:val="28"/>
        </w:rPr>
        <w:t>2</w:t>
      </w:r>
      <w:r w:rsidR="002B5E58" w:rsidRPr="009C5601">
        <w:rPr>
          <w:rFonts w:ascii="Times New Roman" w:hAnsi="Times New Roman"/>
          <w:b/>
          <w:sz w:val="28"/>
          <w:szCs w:val="28"/>
        </w:rPr>
        <w:t>.</w:t>
      </w:r>
      <w:r w:rsidR="00A90931" w:rsidRPr="009C5601">
        <w:rPr>
          <w:rFonts w:ascii="Times New Roman" w:hAnsi="Times New Roman"/>
          <w:b/>
          <w:sz w:val="28"/>
          <w:szCs w:val="28"/>
        </w:rPr>
        <w:t>2</w:t>
      </w:r>
      <w:r w:rsidR="002B5E58" w:rsidRPr="009C5601">
        <w:rPr>
          <w:rFonts w:ascii="Times New Roman" w:hAnsi="Times New Roman"/>
          <w:b/>
          <w:sz w:val="28"/>
          <w:szCs w:val="28"/>
        </w:rPr>
        <w:t>.</w:t>
      </w:r>
      <w:r w:rsidR="002B5E58" w:rsidRPr="009C5601">
        <w:rPr>
          <w:rFonts w:ascii="Times New Roman" w:hAnsi="Times New Roman"/>
          <w:sz w:val="28"/>
          <w:szCs w:val="28"/>
        </w:rPr>
        <w:t xml:space="preserve"> Поступления налога на доходы физических лиц (далее – НДФЛ) в январе – </w:t>
      </w:r>
      <w:r w:rsidR="009C5601" w:rsidRPr="009C5601">
        <w:rPr>
          <w:rFonts w:ascii="Times New Roman" w:hAnsi="Times New Roman"/>
          <w:sz w:val="28"/>
          <w:szCs w:val="28"/>
        </w:rPr>
        <w:t>феврале</w:t>
      </w:r>
      <w:r w:rsidR="002B5E58" w:rsidRPr="009C5601">
        <w:rPr>
          <w:rFonts w:ascii="Times New Roman" w:hAnsi="Times New Roman"/>
          <w:sz w:val="28"/>
          <w:szCs w:val="28"/>
        </w:rPr>
        <w:t xml:space="preserve"> 201</w:t>
      </w:r>
      <w:r w:rsidR="009C5601" w:rsidRPr="009C5601">
        <w:rPr>
          <w:rFonts w:ascii="Times New Roman" w:hAnsi="Times New Roman"/>
          <w:sz w:val="28"/>
          <w:szCs w:val="28"/>
        </w:rPr>
        <w:t>6</w:t>
      </w:r>
      <w:r w:rsidR="002B5E58" w:rsidRPr="009C5601">
        <w:rPr>
          <w:rFonts w:ascii="Times New Roman" w:hAnsi="Times New Roman"/>
          <w:sz w:val="28"/>
          <w:szCs w:val="28"/>
        </w:rPr>
        <w:t xml:space="preserve"> года по сравнению с </w:t>
      </w:r>
      <w:r w:rsidR="009C5601" w:rsidRPr="009C5601"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="002B5E58" w:rsidRPr="009C5601">
        <w:rPr>
          <w:rFonts w:ascii="Times New Roman" w:hAnsi="Times New Roman"/>
          <w:sz w:val="28"/>
          <w:szCs w:val="28"/>
        </w:rPr>
        <w:t>201</w:t>
      </w:r>
      <w:r w:rsidR="009C5601" w:rsidRPr="009C5601">
        <w:rPr>
          <w:rFonts w:ascii="Times New Roman" w:hAnsi="Times New Roman"/>
          <w:sz w:val="28"/>
          <w:szCs w:val="28"/>
        </w:rPr>
        <w:t>5</w:t>
      </w:r>
      <w:r w:rsidR="002B5E58" w:rsidRPr="009C5601">
        <w:rPr>
          <w:rFonts w:ascii="Times New Roman" w:hAnsi="Times New Roman"/>
          <w:sz w:val="28"/>
          <w:szCs w:val="28"/>
        </w:rPr>
        <w:t> год</w:t>
      </w:r>
      <w:r w:rsidR="009C5601" w:rsidRPr="009C5601">
        <w:rPr>
          <w:rFonts w:ascii="Times New Roman" w:hAnsi="Times New Roman"/>
          <w:sz w:val="28"/>
          <w:szCs w:val="28"/>
        </w:rPr>
        <w:t>а</w:t>
      </w:r>
      <w:r w:rsidR="002B5E58" w:rsidRPr="009C5601">
        <w:rPr>
          <w:rFonts w:ascii="Times New Roman" w:hAnsi="Times New Roman"/>
          <w:sz w:val="28"/>
          <w:szCs w:val="28"/>
        </w:rPr>
        <w:t xml:space="preserve"> увеличились</w:t>
      </w:r>
      <w:r w:rsidR="002B5E58" w:rsidRPr="009C560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B5E58" w:rsidRPr="009C5601">
        <w:rPr>
          <w:rFonts w:ascii="Times New Roman" w:hAnsi="Times New Roman"/>
          <w:sz w:val="28"/>
          <w:szCs w:val="28"/>
        </w:rPr>
        <w:t xml:space="preserve">на </w:t>
      </w:r>
      <w:r w:rsidR="009C5601" w:rsidRPr="009C5601">
        <w:rPr>
          <w:rFonts w:ascii="Times New Roman" w:hAnsi="Times New Roman"/>
          <w:sz w:val="28"/>
          <w:szCs w:val="28"/>
        </w:rPr>
        <w:t>8,7</w:t>
      </w:r>
      <w:r w:rsidR="002B5E58" w:rsidRPr="009C5601">
        <w:rPr>
          <w:rFonts w:ascii="Times New Roman" w:hAnsi="Times New Roman"/>
          <w:sz w:val="28"/>
          <w:szCs w:val="28"/>
        </w:rPr>
        <w:t xml:space="preserve"> % и составили </w:t>
      </w:r>
      <w:r w:rsidR="009C5601" w:rsidRPr="009C5601">
        <w:rPr>
          <w:rFonts w:ascii="Times New Roman" w:hAnsi="Times New Roman"/>
          <w:sz w:val="28"/>
          <w:szCs w:val="28"/>
        </w:rPr>
        <w:t>377,0</w:t>
      </w:r>
      <w:r w:rsidR="002B5E58" w:rsidRPr="009C5601">
        <w:rPr>
          <w:rFonts w:ascii="Times New Roman" w:hAnsi="Times New Roman"/>
          <w:sz w:val="28"/>
          <w:szCs w:val="28"/>
        </w:rPr>
        <w:t> млрд. рублей</w:t>
      </w:r>
      <w:r w:rsidR="00A90931" w:rsidRPr="009C5601">
        <w:rPr>
          <w:rFonts w:ascii="Times New Roman" w:hAnsi="Times New Roman"/>
          <w:sz w:val="28"/>
          <w:szCs w:val="28"/>
        </w:rPr>
        <w:t xml:space="preserve"> (темп роста в</w:t>
      </w:r>
      <w:r w:rsidR="002B5E58" w:rsidRPr="009C5601">
        <w:rPr>
          <w:rFonts w:ascii="Times New Roman" w:hAnsi="Times New Roman"/>
          <w:sz w:val="28"/>
          <w:szCs w:val="28"/>
        </w:rPr>
        <w:t xml:space="preserve"> </w:t>
      </w:r>
      <w:r w:rsidR="009C5601" w:rsidRPr="009C5601">
        <w:rPr>
          <w:rFonts w:ascii="Times New Roman" w:hAnsi="Times New Roman"/>
          <w:sz w:val="28"/>
          <w:szCs w:val="28"/>
        </w:rPr>
        <w:t xml:space="preserve">январе – феврале </w:t>
      </w:r>
      <w:r w:rsidR="002B5E58" w:rsidRPr="009C5601">
        <w:rPr>
          <w:rFonts w:ascii="Times New Roman" w:hAnsi="Times New Roman"/>
          <w:sz w:val="28"/>
          <w:szCs w:val="28"/>
        </w:rPr>
        <w:t>201</w:t>
      </w:r>
      <w:r w:rsidR="009C5601" w:rsidRPr="009C5601">
        <w:rPr>
          <w:rFonts w:ascii="Times New Roman" w:hAnsi="Times New Roman"/>
          <w:sz w:val="28"/>
          <w:szCs w:val="28"/>
        </w:rPr>
        <w:t>5</w:t>
      </w:r>
      <w:r w:rsidR="002B5E58" w:rsidRPr="009C5601">
        <w:rPr>
          <w:rFonts w:ascii="Times New Roman" w:hAnsi="Times New Roman"/>
          <w:sz w:val="28"/>
          <w:szCs w:val="28"/>
        </w:rPr>
        <w:t xml:space="preserve"> год</w:t>
      </w:r>
      <w:r w:rsidR="009C5601" w:rsidRPr="009C5601">
        <w:rPr>
          <w:rFonts w:ascii="Times New Roman" w:hAnsi="Times New Roman"/>
          <w:sz w:val="28"/>
          <w:szCs w:val="28"/>
        </w:rPr>
        <w:t>а</w:t>
      </w:r>
      <w:r w:rsidR="002B5E58" w:rsidRPr="009C5601">
        <w:rPr>
          <w:rFonts w:ascii="Times New Roman" w:hAnsi="Times New Roman"/>
          <w:sz w:val="28"/>
          <w:szCs w:val="28"/>
        </w:rPr>
        <w:t xml:space="preserve"> составлял </w:t>
      </w:r>
      <w:r w:rsidR="00A90931" w:rsidRPr="009C5601">
        <w:rPr>
          <w:rFonts w:ascii="Times New Roman" w:hAnsi="Times New Roman"/>
          <w:sz w:val="28"/>
          <w:szCs w:val="28"/>
        </w:rPr>
        <w:t>10</w:t>
      </w:r>
      <w:r w:rsidR="009C5601" w:rsidRPr="009C5601">
        <w:rPr>
          <w:rFonts w:ascii="Times New Roman" w:hAnsi="Times New Roman"/>
          <w:sz w:val="28"/>
          <w:szCs w:val="28"/>
        </w:rPr>
        <w:t>3,3</w:t>
      </w:r>
      <w:r w:rsidR="002B5E58" w:rsidRPr="009C5601">
        <w:rPr>
          <w:rFonts w:ascii="Times New Roman" w:hAnsi="Times New Roman"/>
          <w:sz w:val="28"/>
          <w:szCs w:val="28"/>
        </w:rPr>
        <w:t> %</w:t>
      </w:r>
      <w:r w:rsidR="00A90931" w:rsidRPr="009C5601">
        <w:rPr>
          <w:rFonts w:ascii="Times New Roman" w:hAnsi="Times New Roman"/>
          <w:sz w:val="28"/>
          <w:szCs w:val="28"/>
        </w:rPr>
        <w:t>)</w:t>
      </w:r>
      <w:r w:rsidR="002B5E58" w:rsidRPr="009C5601">
        <w:rPr>
          <w:rFonts w:ascii="Times New Roman" w:hAnsi="Times New Roman"/>
          <w:sz w:val="28"/>
          <w:szCs w:val="28"/>
        </w:rPr>
        <w:t>. Исполнение прогнозируемого объема по данному налогу</w:t>
      </w:r>
      <w:r w:rsidR="00D92166" w:rsidRPr="009C5601">
        <w:rPr>
          <w:rFonts w:ascii="Times New Roman" w:hAnsi="Times New Roman"/>
          <w:sz w:val="28"/>
          <w:szCs w:val="28"/>
        </w:rPr>
        <w:t xml:space="preserve"> </w:t>
      </w:r>
      <w:r w:rsidR="002B5E58" w:rsidRPr="009C5601">
        <w:rPr>
          <w:rFonts w:ascii="Times New Roman" w:hAnsi="Times New Roman"/>
          <w:sz w:val="28"/>
          <w:szCs w:val="28"/>
        </w:rPr>
        <w:t xml:space="preserve">оценивается на уровне </w:t>
      </w:r>
      <w:r w:rsidR="009C5601" w:rsidRPr="009C5601">
        <w:rPr>
          <w:rFonts w:ascii="Times New Roman" w:hAnsi="Times New Roman"/>
          <w:sz w:val="28"/>
          <w:szCs w:val="28"/>
        </w:rPr>
        <w:t>18,1</w:t>
      </w:r>
      <w:r w:rsidR="002B5E58" w:rsidRPr="009C5601">
        <w:rPr>
          <w:rFonts w:ascii="Times New Roman" w:hAnsi="Times New Roman"/>
          <w:sz w:val="28"/>
          <w:szCs w:val="28"/>
        </w:rPr>
        <w:t> %.</w:t>
      </w:r>
    </w:p>
    <w:p w:rsidR="00C63954" w:rsidRPr="00C63954" w:rsidRDefault="00C63954" w:rsidP="00CD6D3A">
      <w:pPr>
        <w:shd w:val="clear" w:color="auto" w:fill="FFFFFF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6D73">
        <w:rPr>
          <w:rFonts w:ascii="Times New Roman" w:hAnsi="Times New Roman"/>
          <w:sz w:val="28"/>
          <w:szCs w:val="28"/>
        </w:rPr>
        <w:t xml:space="preserve">Рост поступлений налога на доходы физических лиц обеспечивается в основном за счет роста в указанный период </w:t>
      </w:r>
      <w:r w:rsidRPr="00461220">
        <w:rPr>
          <w:rFonts w:ascii="Times New Roman" w:hAnsi="Times New Roman"/>
          <w:sz w:val="28"/>
          <w:szCs w:val="28"/>
        </w:rPr>
        <w:t xml:space="preserve">номинальной </w:t>
      </w:r>
      <w:r w:rsidRPr="007B6D73">
        <w:rPr>
          <w:rFonts w:ascii="Times New Roman" w:hAnsi="Times New Roman"/>
          <w:sz w:val="28"/>
          <w:szCs w:val="28"/>
        </w:rPr>
        <w:t>среднемесячной</w:t>
      </w:r>
      <w:r w:rsidRPr="00461220">
        <w:rPr>
          <w:rFonts w:ascii="Times New Roman" w:hAnsi="Times New Roman"/>
          <w:sz w:val="28"/>
          <w:szCs w:val="28"/>
        </w:rPr>
        <w:t xml:space="preserve"> начисленной заработной платы (</w:t>
      </w:r>
      <w:r>
        <w:rPr>
          <w:rFonts w:ascii="Times New Roman" w:hAnsi="Times New Roman"/>
          <w:sz w:val="28"/>
          <w:szCs w:val="28"/>
        </w:rPr>
        <w:t>по оценке Росстата</w:t>
      </w:r>
      <w:r w:rsidR="00DC7A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– 105,5 % </w:t>
      </w:r>
      <w:r w:rsidRPr="00643A08">
        <w:rPr>
          <w:rFonts w:ascii="Times New Roman" w:hAnsi="Times New Roman"/>
          <w:sz w:val="28"/>
          <w:szCs w:val="28"/>
        </w:rPr>
        <w:t>по сравнению с соответствующим периодом 2015 года, при этом в январе – феврале 2015</w:t>
      </w:r>
      <w:r>
        <w:rPr>
          <w:rFonts w:ascii="Times New Roman" w:hAnsi="Times New Roman"/>
          <w:sz w:val="28"/>
          <w:szCs w:val="28"/>
        </w:rPr>
        <w:t> </w:t>
      </w:r>
      <w:r w:rsidRPr="00643A08">
        <w:rPr>
          <w:rFonts w:ascii="Times New Roman" w:hAnsi="Times New Roman"/>
          <w:sz w:val="28"/>
          <w:szCs w:val="28"/>
        </w:rPr>
        <w:t>года отмечался темп роста 106,6 %</w:t>
      </w:r>
      <w:r w:rsidRPr="00461220">
        <w:rPr>
          <w:rFonts w:ascii="Times New Roman" w:hAnsi="Times New Roman"/>
          <w:sz w:val="28"/>
          <w:szCs w:val="28"/>
        </w:rPr>
        <w:t xml:space="preserve">). </w:t>
      </w:r>
      <w:r w:rsidRPr="00724AE1">
        <w:rPr>
          <w:rFonts w:ascii="Times New Roman" w:hAnsi="Times New Roman"/>
          <w:sz w:val="28"/>
          <w:szCs w:val="28"/>
        </w:rPr>
        <w:t xml:space="preserve">Однако </w:t>
      </w:r>
      <w:r>
        <w:rPr>
          <w:rFonts w:ascii="Times New Roman" w:hAnsi="Times New Roman"/>
          <w:sz w:val="28"/>
          <w:szCs w:val="28"/>
        </w:rPr>
        <w:t xml:space="preserve">реальная </w:t>
      </w:r>
      <w:r w:rsidRPr="00724AE1">
        <w:rPr>
          <w:rFonts w:ascii="Times New Roman" w:hAnsi="Times New Roman"/>
          <w:sz w:val="28"/>
          <w:szCs w:val="28"/>
        </w:rPr>
        <w:t xml:space="preserve">среднемесячная начисленная </w:t>
      </w:r>
      <w:r w:rsidRPr="00C63954">
        <w:rPr>
          <w:rFonts w:ascii="Times New Roman" w:hAnsi="Times New Roman"/>
          <w:sz w:val="28"/>
          <w:szCs w:val="28"/>
        </w:rPr>
        <w:t xml:space="preserve">заработная плата составила 96,9 % </w:t>
      </w:r>
      <w:r w:rsidR="00DC7AAB">
        <w:rPr>
          <w:rFonts w:ascii="Times New Roman" w:hAnsi="Times New Roman"/>
          <w:sz w:val="28"/>
          <w:szCs w:val="28"/>
        </w:rPr>
        <w:t>по сравнению с</w:t>
      </w:r>
      <w:r w:rsidRPr="00C63954">
        <w:rPr>
          <w:rFonts w:ascii="Times New Roman" w:hAnsi="Times New Roman"/>
          <w:sz w:val="28"/>
          <w:szCs w:val="28"/>
        </w:rPr>
        <w:t xml:space="preserve"> аналогичн</w:t>
      </w:r>
      <w:r w:rsidR="00DC7AAB">
        <w:rPr>
          <w:rFonts w:ascii="Times New Roman" w:hAnsi="Times New Roman"/>
          <w:sz w:val="28"/>
          <w:szCs w:val="28"/>
        </w:rPr>
        <w:t>ым</w:t>
      </w:r>
      <w:r w:rsidRPr="00C63954">
        <w:rPr>
          <w:rFonts w:ascii="Times New Roman" w:hAnsi="Times New Roman"/>
          <w:sz w:val="28"/>
          <w:szCs w:val="28"/>
        </w:rPr>
        <w:t xml:space="preserve"> перио</w:t>
      </w:r>
      <w:r w:rsidR="00DC7AAB">
        <w:rPr>
          <w:rFonts w:ascii="Times New Roman" w:hAnsi="Times New Roman"/>
          <w:sz w:val="28"/>
          <w:szCs w:val="28"/>
        </w:rPr>
        <w:t>дом</w:t>
      </w:r>
      <w:r w:rsidRPr="00C63954">
        <w:rPr>
          <w:rFonts w:ascii="Times New Roman" w:hAnsi="Times New Roman"/>
          <w:sz w:val="28"/>
          <w:szCs w:val="28"/>
        </w:rPr>
        <w:t xml:space="preserve"> 2015 года.</w:t>
      </w:r>
    </w:p>
    <w:p w:rsidR="007F39DA" w:rsidRDefault="00F71144" w:rsidP="00CD6D3A">
      <w:pPr>
        <w:autoSpaceDE w:val="0"/>
        <w:autoSpaceDN w:val="0"/>
        <w:adjustRightInd w:val="0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954">
        <w:rPr>
          <w:rFonts w:ascii="Times New Roman" w:hAnsi="Times New Roman"/>
          <w:sz w:val="28"/>
          <w:szCs w:val="28"/>
        </w:rPr>
        <w:t xml:space="preserve">Снижение поступлений НДФЛ по сравнению </w:t>
      </w:r>
      <w:r w:rsidR="00C63954" w:rsidRPr="00C63954">
        <w:rPr>
          <w:rFonts w:ascii="Times New Roman" w:hAnsi="Times New Roman"/>
          <w:sz w:val="28"/>
          <w:szCs w:val="28"/>
        </w:rPr>
        <w:t xml:space="preserve">с аналогичным периодом </w:t>
      </w:r>
      <w:r w:rsidRPr="00C63954">
        <w:rPr>
          <w:rFonts w:ascii="Times New Roman" w:hAnsi="Times New Roman"/>
          <w:sz w:val="28"/>
          <w:szCs w:val="28"/>
        </w:rPr>
        <w:t>201</w:t>
      </w:r>
      <w:r w:rsidR="00C63954" w:rsidRPr="00C63954">
        <w:rPr>
          <w:rFonts w:ascii="Times New Roman" w:hAnsi="Times New Roman"/>
          <w:sz w:val="28"/>
          <w:szCs w:val="28"/>
        </w:rPr>
        <w:t>5</w:t>
      </w:r>
      <w:r w:rsidRPr="00C63954">
        <w:rPr>
          <w:rFonts w:ascii="Times New Roman" w:hAnsi="Times New Roman"/>
          <w:sz w:val="28"/>
          <w:szCs w:val="28"/>
        </w:rPr>
        <w:t xml:space="preserve"> год</w:t>
      </w:r>
      <w:r w:rsidR="00C63954" w:rsidRPr="00C63954">
        <w:rPr>
          <w:rFonts w:ascii="Times New Roman" w:hAnsi="Times New Roman"/>
          <w:sz w:val="28"/>
          <w:szCs w:val="28"/>
        </w:rPr>
        <w:t>а</w:t>
      </w:r>
      <w:r w:rsidRPr="00C63954">
        <w:rPr>
          <w:rFonts w:ascii="Times New Roman" w:hAnsi="Times New Roman"/>
          <w:sz w:val="28"/>
          <w:szCs w:val="28"/>
        </w:rPr>
        <w:t xml:space="preserve"> произошло в </w:t>
      </w:r>
      <w:r w:rsidR="00C63954" w:rsidRPr="00C63954">
        <w:rPr>
          <w:rFonts w:ascii="Times New Roman" w:hAnsi="Times New Roman"/>
          <w:sz w:val="28"/>
          <w:szCs w:val="28"/>
        </w:rPr>
        <w:t>1</w:t>
      </w:r>
      <w:r w:rsidR="003D09B4" w:rsidRPr="00C63954">
        <w:rPr>
          <w:rFonts w:ascii="Times New Roman" w:hAnsi="Times New Roman"/>
          <w:sz w:val="28"/>
          <w:szCs w:val="28"/>
        </w:rPr>
        <w:t>3</w:t>
      </w:r>
      <w:r w:rsidR="004A1A84" w:rsidRPr="00C63954">
        <w:rPr>
          <w:rFonts w:ascii="Times New Roman" w:hAnsi="Times New Roman"/>
          <w:sz w:val="28"/>
          <w:szCs w:val="28"/>
        </w:rPr>
        <w:t xml:space="preserve"> </w:t>
      </w:r>
      <w:r w:rsidRPr="00C63954">
        <w:rPr>
          <w:rFonts w:ascii="Times New Roman" w:hAnsi="Times New Roman"/>
          <w:sz w:val="28"/>
          <w:szCs w:val="28"/>
        </w:rPr>
        <w:t xml:space="preserve">регионах. </w:t>
      </w:r>
    </w:p>
    <w:p w:rsidR="006478CA" w:rsidRPr="00706ADF" w:rsidRDefault="006478CA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 xml:space="preserve">На объем поступлений налога на доходы физических лиц, по данным регионов, влияет  сокращение численности и </w:t>
      </w:r>
      <w:r w:rsidR="006A1B4D">
        <w:rPr>
          <w:rFonts w:ascii="Times New Roman" w:hAnsi="Times New Roman"/>
          <w:sz w:val="28"/>
          <w:szCs w:val="28"/>
        </w:rPr>
        <w:t>о</w:t>
      </w:r>
      <w:r w:rsidRPr="00706ADF">
        <w:rPr>
          <w:rFonts w:ascii="Times New Roman" w:hAnsi="Times New Roman"/>
          <w:sz w:val="28"/>
          <w:szCs w:val="28"/>
        </w:rPr>
        <w:t>платы труда работников, а также увеличение имущественных и социальных налоговых вычетов (например, в Костромской области</w:t>
      </w:r>
      <w:r>
        <w:rPr>
          <w:rStyle w:val="af1"/>
          <w:rFonts w:ascii="Times New Roman" w:hAnsi="Times New Roman"/>
          <w:sz w:val="28"/>
          <w:szCs w:val="28"/>
        </w:rPr>
        <w:footnoteReference w:id="4"/>
      </w:r>
      <w:r w:rsidRPr="00706ADF">
        <w:rPr>
          <w:rFonts w:ascii="Times New Roman" w:hAnsi="Times New Roman"/>
          <w:sz w:val="28"/>
          <w:szCs w:val="28"/>
        </w:rPr>
        <w:t xml:space="preserve"> на 1 марта 2016 года сумма указанных вычетов по сравнению с аналогичным периодом прошлого года увеличилась на 26,5 %).</w:t>
      </w:r>
    </w:p>
    <w:p w:rsidR="00C63954" w:rsidRPr="007B6D73" w:rsidRDefault="00C63954" w:rsidP="00CD6D3A">
      <w:pPr>
        <w:shd w:val="clear" w:color="auto" w:fill="FFFFFF"/>
        <w:spacing w:after="0" w:line="269" w:lineRule="auto"/>
        <w:ind w:firstLine="709"/>
        <w:jc w:val="both"/>
        <w:rPr>
          <w:i/>
          <w:sz w:val="27"/>
          <w:szCs w:val="27"/>
        </w:rPr>
      </w:pPr>
      <w:r w:rsidRPr="00767657">
        <w:rPr>
          <w:rFonts w:ascii="Times New Roman" w:hAnsi="Times New Roman"/>
          <w:i/>
          <w:sz w:val="27"/>
          <w:szCs w:val="27"/>
        </w:rPr>
        <w:t>Справочно: по оперативным данным Федерального казначейства</w:t>
      </w:r>
      <w:r w:rsidRPr="00767657">
        <w:rPr>
          <w:rFonts w:ascii="Times New Roman" w:hAnsi="Times New Roman"/>
          <w:sz w:val="27"/>
          <w:szCs w:val="27"/>
        </w:rPr>
        <w:t xml:space="preserve">, </w:t>
      </w:r>
      <w:r w:rsidRPr="00767657">
        <w:rPr>
          <w:rFonts w:ascii="Times New Roman" w:hAnsi="Times New Roman"/>
          <w:i/>
          <w:sz w:val="27"/>
          <w:szCs w:val="27"/>
        </w:rPr>
        <w:t>поступления налога на доходы физических лиц по состоянию на 1 апреля 201</w:t>
      </w:r>
      <w:r>
        <w:rPr>
          <w:rFonts w:ascii="Times New Roman" w:hAnsi="Times New Roman"/>
          <w:i/>
          <w:sz w:val="27"/>
          <w:szCs w:val="27"/>
        </w:rPr>
        <w:t>6 </w:t>
      </w:r>
      <w:r w:rsidRPr="00767657">
        <w:rPr>
          <w:rFonts w:ascii="Times New Roman" w:hAnsi="Times New Roman"/>
          <w:i/>
          <w:sz w:val="27"/>
          <w:szCs w:val="27"/>
        </w:rPr>
        <w:t xml:space="preserve">года составили </w:t>
      </w:r>
      <w:r>
        <w:rPr>
          <w:rFonts w:ascii="Times New Roman" w:hAnsi="Times New Roman"/>
          <w:i/>
          <w:sz w:val="27"/>
          <w:szCs w:val="27"/>
        </w:rPr>
        <w:t>616,1</w:t>
      </w:r>
      <w:r w:rsidRPr="00767657">
        <w:rPr>
          <w:rFonts w:ascii="Times New Roman" w:hAnsi="Times New Roman"/>
          <w:i/>
          <w:sz w:val="27"/>
          <w:szCs w:val="27"/>
        </w:rPr>
        <w:t xml:space="preserve"> млрд. рублей, или с ростом</w:t>
      </w:r>
      <w:r w:rsidR="00DC7AAB">
        <w:rPr>
          <w:rFonts w:ascii="Times New Roman" w:hAnsi="Times New Roman"/>
          <w:i/>
          <w:sz w:val="27"/>
          <w:szCs w:val="27"/>
        </w:rPr>
        <w:t xml:space="preserve"> по сравнению</w:t>
      </w:r>
      <w:r w:rsidRPr="00767657">
        <w:rPr>
          <w:rFonts w:ascii="Times New Roman" w:hAnsi="Times New Roman"/>
          <w:i/>
          <w:sz w:val="27"/>
          <w:szCs w:val="27"/>
        </w:rPr>
        <w:t xml:space="preserve"> аналогичн</w:t>
      </w:r>
      <w:r w:rsidR="00DC7AAB">
        <w:rPr>
          <w:rFonts w:ascii="Times New Roman" w:hAnsi="Times New Roman"/>
          <w:i/>
          <w:sz w:val="27"/>
          <w:szCs w:val="27"/>
        </w:rPr>
        <w:t>ым</w:t>
      </w:r>
      <w:r w:rsidRPr="00767657">
        <w:rPr>
          <w:rFonts w:ascii="Times New Roman" w:hAnsi="Times New Roman"/>
          <w:i/>
          <w:sz w:val="27"/>
          <w:szCs w:val="27"/>
        </w:rPr>
        <w:t xml:space="preserve"> </w:t>
      </w:r>
      <w:r w:rsidR="00DC7AAB">
        <w:rPr>
          <w:rFonts w:ascii="Times New Roman" w:hAnsi="Times New Roman"/>
          <w:i/>
          <w:sz w:val="27"/>
          <w:szCs w:val="27"/>
        </w:rPr>
        <w:t>периодом</w:t>
      </w:r>
      <w:r w:rsidRPr="007B6D73">
        <w:rPr>
          <w:rFonts w:ascii="Times New Roman" w:hAnsi="Times New Roman"/>
          <w:i/>
          <w:sz w:val="27"/>
          <w:szCs w:val="27"/>
        </w:rPr>
        <w:t xml:space="preserve">  прошлого года на </w:t>
      </w:r>
      <w:r>
        <w:rPr>
          <w:rFonts w:ascii="Times New Roman" w:hAnsi="Times New Roman"/>
          <w:i/>
          <w:sz w:val="27"/>
          <w:szCs w:val="27"/>
        </w:rPr>
        <w:t>8</w:t>
      </w:r>
      <w:r w:rsidRPr="007B6D73">
        <w:rPr>
          <w:rFonts w:ascii="Times New Roman" w:hAnsi="Times New Roman"/>
          <w:i/>
          <w:sz w:val="27"/>
          <w:szCs w:val="27"/>
        </w:rPr>
        <w:t> % (в 201</w:t>
      </w:r>
      <w:r>
        <w:rPr>
          <w:rFonts w:ascii="Times New Roman" w:hAnsi="Times New Roman"/>
          <w:i/>
          <w:sz w:val="27"/>
          <w:szCs w:val="27"/>
        </w:rPr>
        <w:t>5</w:t>
      </w:r>
      <w:r w:rsidRPr="007B6D73">
        <w:rPr>
          <w:rFonts w:ascii="Times New Roman" w:hAnsi="Times New Roman"/>
          <w:i/>
          <w:sz w:val="27"/>
          <w:szCs w:val="27"/>
        </w:rPr>
        <w:t xml:space="preserve"> году  рост составл</w:t>
      </w:r>
      <w:r>
        <w:rPr>
          <w:rFonts w:ascii="Times New Roman" w:hAnsi="Times New Roman"/>
          <w:i/>
          <w:sz w:val="27"/>
          <w:szCs w:val="27"/>
        </w:rPr>
        <w:t>ял 104,3</w:t>
      </w:r>
      <w:r w:rsidRPr="007B6D73">
        <w:rPr>
          <w:rFonts w:ascii="Times New Roman" w:hAnsi="Times New Roman"/>
          <w:i/>
          <w:sz w:val="27"/>
          <w:szCs w:val="27"/>
        </w:rPr>
        <w:t> %).</w:t>
      </w:r>
    </w:p>
    <w:p w:rsidR="002968B5" w:rsidRPr="00DB4FD6" w:rsidRDefault="00EB539B" w:rsidP="00CD6D3A">
      <w:pPr>
        <w:shd w:val="clear" w:color="auto" w:fill="FFFFFF"/>
        <w:spacing w:after="0" w:line="269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70ED">
        <w:rPr>
          <w:rFonts w:ascii="Times New Roman" w:hAnsi="Times New Roman"/>
          <w:b/>
          <w:sz w:val="28"/>
          <w:szCs w:val="28"/>
        </w:rPr>
        <w:t>2</w:t>
      </w:r>
      <w:r w:rsidR="008B6D99" w:rsidRPr="00A170ED">
        <w:rPr>
          <w:rFonts w:ascii="Times New Roman" w:hAnsi="Times New Roman"/>
          <w:b/>
          <w:sz w:val="28"/>
          <w:szCs w:val="28"/>
        </w:rPr>
        <w:t>.</w:t>
      </w:r>
      <w:r w:rsidR="00B2348C" w:rsidRPr="00A170ED">
        <w:rPr>
          <w:rFonts w:ascii="Times New Roman" w:hAnsi="Times New Roman"/>
          <w:b/>
          <w:sz w:val="28"/>
          <w:szCs w:val="28"/>
        </w:rPr>
        <w:t>3</w:t>
      </w:r>
      <w:r w:rsidR="008B6D99" w:rsidRPr="00A170ED">
        <w:rPr>
          <w:rFonts w:ascii="Times New Roman" w:hAnsi="Times New Roman"/>
          <w:b/>
          <w:sz w:val="28"/>
          <w:szCs w:val="28"/>
        </w:rPr>
        <w:t>.</w:t>
      </w:r>
      <w:r w:rsidR="008B6D99" w:rsidRPr="00A170ED">
        <w:rPr>
          <w:rFonts w:ascii="Times New Roman" w:hAnsi="Times New Roman"/>
          <w:sz w:val="28"/>
          <w:szCs w:val="28"/>
        </w:rPr>
        <w:t xml:space="preserve"> </w:t>
      </w:r>
      <w:r w:rsidR="00683262" w:rsidRPr="00A170ED">
        <w:rPr>
          <w:rFonts w:ascii="Times New Roman" w:hAnsi="Times New Roman"/>
          <w:sz w:val="28"/>
          <w:szCs w:val="28"/>
        </w:rPr>
        <w:t>Удельный вес</w:t>
      </w:r>
      <w:r w:rsidR="005950C7" w:rsidRPr="00A170ED">
        <w:rPr>
          <w:rFonts w:ascii="Times New Roman" w:hAnsi="Times New Roman"/>
          <w:sz w:val="28"/>
          <w:szCs w:val="28"/>
        </w:rPr>
        <w:t xml:space="preserve"> в доходах</w:t>
      </w:r>
      <w:r w:rsidR="00683262" w:rsidRPr="00A170ED">
        <w:rPr>
          <w:rFonts w:ascii="Times New Roman" w:hAnsi="Times New Roman"/>
          <w:sz w:val="28"/>
          <w:szCs w:val="28"/>
        </w:rPr>
        <w:t xml:space="preserve"> по группе имущественных налогов (налог на имущество организаций, налог на игорный бизнес, транспортн</w:t>
      </w:r>
      <w:r w:rsidR="00253213" w:rsidRPr="00A170ED">
        <w:rPr>
          <w:rFonts w:ascii="Times New Roman" w:hAnsi="Times New Roman"/>
          <w:sz w:val="28"/>
          <w:szCs w:val="28"/>
        </w:rPr>
        <w:t>ый</w:t>
      </w:r>
      <w:r w:rsidR="00683262" w:rsidRPr="00A170ED">
        <w:rPr>
          <w:rFonts w:ascii="Times New Roman" w:hAnsi="Times New Roman"/>
          <w:sz w:val="28"/>
          <w:szCs w:val="28"/>
        </w:rPr>
        <w:t xml:space="preserve"> налог, земельн</w:t>
      </w:r>
      <w:r w:rsidR="00253213" w:rsidRPr="00A170ED">
        <w:rPr>
          <w:rFonts w:ascii="Times New Roman" w:hAnsi="Times New Roman"/>
          <w:sz w:val="28"/>
          <w:szCs w:val="28"/>
        </w:rPr>
        <w:t>ый</w:t>
      </w:r>
      <w:r w:rsidR="00683262" w:rsidRPr="00A170ED">
        <w:rPr>
          <w:rFonts w:ascii="Times New Roman" w:hAnsi="Times New Roman"/>
          <w:sz w:val="28"/>
          <w:szCs w:val="28"/>
        </w:rPr>
        <w:t xml:space="preserve"> налог и налог на имущество физических лиц) в отчетном периоде по-прежнему невысок и составляет </w:t>
      </w:r>
      <w:r w:rsidR="00A170ED" w:rsidRPr="00A170ED">
        <w:rPr>
          <w:rFonts w:ascii="Times New Roman" w:hAnsi="Times New Roman"/>
          <w:sz w:val="28"/>
          <w:szCs w:val="28"/>
        </w:rPr>
        <w:t>7,5</w:t>
      </w:r>
      <w:r w:rsidR="00683262" w:rsidRPr="00A170ED">
        <w:rPr>
          <w:rFonts w:ascii="Times New Roman" w:hAnsi="Times New Roman"/>
          <w:sz w:val="28"/>
          <w:szCs w:val="28"/>
        </w:rPr>
        <w:t> </w:t>
      </w:r>
      <w:r w:rsidR="00683262" w:rsidRPr="00DB4FD6">
        <w:rPr>
          <w:rFonts w:ascii="Times New Roman" w:hAnsi="Times New Roman"/>
          <w:sz w:val="28"/>
          <w:szCs w:val="28"/>
        </w:rPr>
        <w:t>%</w:t>
      </w:r>
      <w:r w:rsidR="00E00D54" w:rsidRPr="00DB4FD6">
        <w:rPr>
          <w:rFonts w:ascii="Times New Roman" w:hAnsi="Times New Roman"/>
          <w:sz w:val="28"/>
          <w:szCs w:val="28"/>
        </w:rPr>
        <w:t xml:space="preserve"> (доля региональных налогов</w:t>
      </w:r>
      <w:r w:rsidR="00AD05D3">
        <w:rPr>
          <w:rFonts w:ascii="Times New Roman" w:hAnsi="Times New Roman"/>
          <w:sz w:val="28"/>
          <w:szCs w:val="28"/>
        </w:rPr>
        <w:t xml:space="preserve"> -</w:t>
      </w:r>
      <w:r w:rsidR="00E00D54" w:rsidRPr="00DB4FD6">
        <w:rPr>
          <w:rFonts w:ascii="Times New Roman" w:hAnsi="Times New Roman"/>
          <w:sz w:val="28"/>
          <w:szCs w:val="28"/>
        </w:rPr>
        <w:t xml:space="preserve"> </w:t>
      </w:r>
      <w:r w:rsidR="00DB4FD6" w:rsidRPr="00DB4FD6">
        <w:rPr>
          <w:rFonts w:ascii="Times New Roman" w:hAnsi="Times New Roman"/>
          <w:sz w:val="28"/>
          <w:szCs w:val="28"/>
        </w:rPr>
        <w:t>3,6</w:t>
      </w:r>
      <w:r w:rsidR="00E00D54" w:rsidRPr="00DB4FD6">
        <w:rPr>
          <w:rFonts w:ascii="Times New Roman" w:hAnsi="Times New Roman"/>
          <w:sz w:val="28"/>
          <w:szCs w:val="28"/>
        </w:rPr>
        <w:t xml:space="preserve"> %, местных налогов – </w:t>
      </w:r>
      <w:r w:rsidR="00DB4FD6" w:rsidRPr="00DB4FD6">
        <w:rPr>
          <w:rFonts w:ascii="Times New Roman" w:hAnsi="Times New Roman"/>
          <w:sz w:val="28"/>
          <w:szCs w:val="28"/>
        </w:rPr>
        <w:t>3,9</w:t>
      </w:r>
      <w:r w:rsidR="00E00D54" w:rsidRPr="00DB4FD6">
        <w:rPr>
          <w:rFonts w:ascii="Times New Roman" w:hAnsi="Times New Roman"/>
          <w:sz w:val="28"/>
          <w:szCs w:val="28"/>
        </w:rPr>
        <w:t> %)</w:t>
      </w:r>
      <w:r w:rsidR="00683262" w:rsidRPr="00DB4FD6">
        <w:rPr>
          <w:rFonts w:ascii="Times New Roman" w:hAnsi="Times New Roman"/>
          <w:sz w:val="28"/>
          <w:szCs w:val="28"/>
        </w:rPr>
        <w:t xml:space="preserve">. </w:t>
      </w:r>
    </w:p>
    <w:p w:rsidR="001801B6" w:rsidRDefault="001801B6" w:rsidP="00CD6D3A">
      <w:pPr>
        <w:shd w:val="clear" w:color="auto" w:fill="FFFFFF"/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70ED">
        <w:rPr>
          <w:rFonts w:ascii="Times New Roman" w:hAnsi="Times New Roman"/>
          <w:sz w:val="28"/>
          <w:szCs w:val="28"/>
        </w:rPr>
        <w:t xml:space="preserve">Общая сумма поступлений </w:t>
      </w:r>
      <w:r w:rsidR="00924268" w:rsidRPr="00A170ED">
        <w:rPr>
          <w:rFonts w:ascii="Times New Roman" w:hAnsi="Times New Roman"/>
          <w:sz w:val="28"/>
          <w:szCs w:val="28"/>
        </w:rPr>
        <w:t xml:space="preserve">по </w:t>
      </w:r>
      <w:r w:rsidR="00683262" w:rsidRPr="00A170ED">
        <w:rPr>
          <w:rFonts w:ascii="Times New Roman" w:hAnsi="Times New Roman"/>
          <w:sz w:val="28"/>
          <w:szCs w:val="28"/>
        </w:rPr>
        <w:t xml:space="preserve">данной </w:t>
      </w:r>
      <w:r w:rsidR="00924268" w:rsidRPr="00A170ED">
        <w:rPr>
          <w:rFonts w:ascii="Times New Roman" w:hAnsi="Times New Roman"/>
          <w:sz w:val="28"/>
          <w:szCs w:val="28"/>
        </w:rPr>
        <w:t xml:space="preserve">группе налогов </w:t>
      </w:r>
      <w:r w:rsidRPr="00A170ED">
        <w:rPr>
          <w:rFonts w:ascii="Times New Roman" w:hAnsi="Times New Roman"/>
          <w:sz w:val="28"/>
          <w:szCs w:val="28"/>
        </w:rPr>
        <w:t xml:space="preserve">составила </w:t>
      </w:r>
      <w:r w:rsidR="00AA120B" w:rsidRPr="00A170ED">
        <w:rPr>
          <w:rFonts w:ascii="Times New Roman" w:hAnsi="Times New Roman"/>
          <w:sz w:val="28"/>
          <w:szCs w:val="28"/>
        </w:rPr>
        <w:t xml:space="preserve">по состоянию на 1 </w:t>
      </w:r>
      <w:r w:rsidR="00A170ED" w:rsidRPr="00A170ED">
        <w:rPr>
          <w:rFonts w:ascii="Times New Roman" w:hAnsi="Times New Roman"/>
          <w:sz w:val="28"/>
          <w:szCs w:val="28"/>
        </w:rPr>
        <w:t>марта</w:t>
      </w:r>
      <w:r w:rsidR="00AA120B" w:rsidRPr="00A170ED">
        <w:rPr>
          <w:rFonts w:ascii="Times New Roman" w:hAnsi="Times New Roman"/>
          <w:sz w:val="28"/>
          <w:szCs w:val="28"/>
        </w:rPr>
        <w:t xml:space="preserve"> 201</w:t>
      </w:r>
      <w:r w:rsidR="00B2348C" w:rsidRPr="00A170ED">
        <w:rPr>
          <w:rFonts w:ascii="Times New Roman" w:hAnsi="Times New Roman"/>
          <w:sz w:val="28"/>
          <w:szCs w:val="28"/>
        </w:rPr>
        <w:t>6</w:t>
      </w:r>
      <w:r w:rsidR="00AA120B" w:rsidRPr="00A170ED">
        <w:rPr>
          <w:rFonts w:ascii="Times New Roman" w:hAnsi="Times New Roman"/>
          <w:sz w:val="28"/>
          <w:szCs w:val="28"/>
        </w:rPr>
        <w:t xml:space="preserve"> года </w:t>
      </w:r>
      <w:r w:rsidR="00A170ED" w:rsidRPr="00A170ED">
        <w:rPr>
          <w:rFonts w:ascii="Times New Roman" w:hAnsi="Times New Roman"/>
          <w:sz w:val="28"/>
          <w:szCs w:val="28"/>
        </w:rPr>
        <w:t>66,4</w:t>
      </w:r>
      <w:r w:rsidR="00683262" w:rsidRPr="00A170ED">
        <w:rPr>
          <w:rFonts w:ascii="Times New Roman" w:hAnsi="Times New Roman"/>
          <w:sz w:val="28"/>
          <w:szCs w:val="28"/>
        </w:rPr>
        <w:t> </w:t>
      </w:r>
      <w:r w:rsidRPr="00A170ED">
        <w:rPr>
          <w:rFonts w:ascii="Times New Roman" w:hAnsi="Times New Roman"/>
          <w:sz w:val="28"/>
          <w:szCs w:val="28"/>
        </w:rPr>
        <w:t xml:space="preserve">млрд. рублей, из них </w:t>
      </w:r>
      <w:r w:rsidR="00A170ED" w:rsidRPr="00A170ED">
        <w:rPr>
          <w:rFonts w:ascii="Times New Roman" w:hAnsi="Times New Roman"/>
          <w:sz w:val="28"/>
          <w:szCs w:val="28"/>
        </w:rPr>
        <w:t xml:space="preserve">поступления по </w:t>
      </w:r>
      <w:r w:rsidR="00DB4FD6">
        <w:rPr>
          <w:rFonts w:ascii="Times New Roman" w:hAnsi="Times New Roman"/>
          <w:sz w:val="28"/>
          <w:szCs w:val="28"/>
        </w:rPr>
        <w:t xml:space="preserve">земельному налогу </w:t>
      </w:r>
      <w:r w:rsidR="00AD05D3">
        <w:rPr>
          <w:rFonts w:ascii="Times New Roman" w:hAnsi="Times New Roman"/>
          <w:sz w:val="28"/>
          <w:szCs w:val="28"/>
        </w:rPr>
        <w:t>-</w:t>
      </w:r>
      <w:r w:rsidR="00DB4FD6">
        <w:rPr>
          <w:rFonts w:ascii="Times New Roman" w:hAnsi="Times New Roman"/>
          <w:sz w:val="28"/>
          <w:szCs w:val="28"/>
        </w:rPr>
        <w:t xml:space="preserve"> 32,9 млрд. рублей, </w:t>
      </w:r>
      <w:r w:rsidR="00AD05D3">
        <w:rPr>
          <w:rFonts w:ascii="Times New Roman" w:hAnsi="Times New Roman"/>
          <w:sz w:val="28"/>
          <w:szCs w:val="28"/>
        </w:rPr>
        <w:t xml:space="preserve">по </w:t>
      </w:r>
      <w:r w:rsidR="00A170ED" w:rsidRPr="00A170ED">
        <w:rPr>
          <w:rFonts w:ascii="Times New Roman" w:hAnsi="Times New Roman"/>
          <w:sz w:val="28"/>
          <w:szCs w:val="28"/>
        </w:rPr>
        <w:t>налогу на имущество организаций</w:t>
      </w:r>
      <w:r w:rsidR="0062778F">
        <w:rPr>
          <w:rFonts w:ascii="Times New Roman" w:hAnsi="Times New Roman"/>
          <w:sz w:val="28"/>
          <w:szCs w:val="28"/>
        </w:rPr>
        <w:t> </w:t>
      </w:r>
      <w:r w:rsidR="00DB4FD6">
        <w:rPr>
          <w:rFonts w:ascii="Times New Roman" w:hAnsi="Times New Roman"/>
          <w:sz w:val="28"/>
          <w:szCs w:val="28"/>
        </w:rPr>
        <w:t xml:space="preserve">– </w:t>
      </w:r>
      <w:r w:rsidR="00A170ED" w:rsidRPr="00A170ED">
        <w:rPr>
          <w:rFonts w:ascii="Times New Roman" w:hAnsi="Times New Roman"/>
          <w:sz w:val="28"/>
          <w:szCs w:val="28"/>
        </w:rPr>
        <w:t>15,9</w:t>
      </w:r>
      <w:r w:rsidRPr="00A170ED">
        <w:rPr>
          <w:rFonts w:ascii="Times New Roman" w:hAnsi="Times New Roman"/>
          <w:sz w:val="28"/>
          <w:szCs w:val="28"/>
        </w:rPr>
        <w:t xml:space="preserve"> млрд. </w:t>
      </w:r>
      <w:r w:rsidR="00A170ED" w:rsidRPr="00A170ED">
        <w:rPr>
          <w:rFonts w:ascii="Times New Roman" w:hAnsi="Times New Roman"/>
          <w:sz w:val="28"/>
          <w:szCs w:val="28"/>
        </w:rPr>
        <w:t xml:space="preserve">рублей, по </w:t>
      </w:r>
      <w:r w:rsidR="00A170ED" w:rsidRPr="003469FA">
        <w:rPr>
          <w:rFonts w:ascii="Times New Roman" w:hAnsi="Times New Roman"/>
          <w:sz w:val="28"/>
          <w:szCs w:val="28"/>
        </w:rPr>
        <w:t xml:space="preserve">транспортному налогу </w:t>
      </w:r>
      <w:r w:rsidR="00DB4FD6" w:rsidRPr="003469FA">
        <w:rPr>
          <w:rFonts w:ascii="Times New Roman" w:hAnsi="Times New Roman"/>
          <w:sz w:val="28"/>
          <w:szCs w:val="28"/>
        </w:rPr>
        <w:t xml:space="preserve">– </w:t>
      </w:r>
      <w:r w:rsidR="00A170ED" w:rsidRPr="003469FA">
        <w:rPr>
          <w:rFonts w:ascii="Times New Roman" w:hAnsi="Times New Roman"/>
          <w:sz w:val="28"/>
          <w:szCs w:val="28"/>
        </w:rPr>
        <w:t xml:space="preserve">16,3 млрд. </w:t>
      </w:r>
      <w:r w:rsidR="00A170ED" w:rsidRPr="003469FA">
        <w:rPr>
          <w:rFonts w:ascii="Times New Roman" w:hAnsi="Times New Roman"/>
          <w:sz w:val="28"/>
          <w:szCs w:val="28"/>
        </w:rPr>
        <w:lastRenderedPageBreak/>
        <w:t>рублей.</w:t>
      </w:r>
      <w:r w:rsidR="00691627" w:rsidRPr="003469FA">
        <w:rPr>
          <w:rFonts w:ascii="Times New Roman" w:hAnsi="Times New Roman"/>
          <w:sz w:val="28"/>
          <w:szCs w:val="28"/>
        </w:rPr>
        <w:t xml:space="preserve"> </w:t>
      </w:r>
      <w:r w:rsidR="00DB4FD6" w:rsidRPr="003469FA">
        <w:rPr>
          <w:rFonts w:ascii="Times New Roman" w:hAnsi="Times New Roman"/>
          <w:sz w:val="28"/>
          <w:szCs w:val="28"/>
        </w:rPr>
        <w:t>П</w:t>
      </w:r>
      <w:r w:rsidR="008B6D99" w:rsidRPr="003469FA">
        <w:rPr>
          <w:rFonts w:ascii="Times New Roman" w:hAnsi="Times New Roman"/>
          <w:sz w:val="28"/>
          <w:szCs w:val="28"/>
        </w:rPr>
        <w:t xml:space="preserve">о сравнению с </w:t>
      </w:r>
      <w:r w:rsidR="00DB4FD6" w:rsidRPr="003469FA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="008B6D99" w:rsidRPr="003469FA">
        <w:rPr>
          <w:rFonts w:ascii="Times New Roman" w:hAnsi="Times New Roman"/>
          <w:sz w:val="28"/>
          <w:szCs w:val="28"/>
        </w:rPr>
        <w:t>201</w:t>
      </w:r>
      <w:r w:rsidR="00DB4FD6" w:rsidRPr="003469FA">
        <w:rPr>
          <w:rFonts w:ascii="Times New Roman" w:hAnsi="Times New Roman"/>
          <w:sz w:val="28"/>
          <w:szCs w:val="28"/>
        </w:rPr>
        <w:t>5</w:t>
      </w:r>
      <w:r w:rsidR="008B6D99" w:rsidRPr="003469FA">
        <w:rPr>
          <w:rFonts w:ascii="Times New Roman" w:hAnsi="Times New Roman"/>
          <w:sz w:val="28"/>
          <w:szCs w:val="28"/>
        </w:rPr>
        <w:t xml:space="preserve"> год</w:t>
      </w:r>
      <w:r w:rsidR="00DB4FD6" w:rsidRPr="003469FA">
        <w:rPr>
          <w:rFonts w:ascii="Times New Roman" w:hAnsi="Times New Roman"/>
          <w:sz w:val="28"/>
          <w:szCs w:val="28"/>
        </w:rPr>
        <w:t>а</w:t>
      </w:r>
      <w:r w:rsidR="005950C7" w:rsidRPr="003469FA">
        <w:rPr>
          <w:rFonts w:ascii="Times New Roman" w:hAnsi="Times New Roman"/>
          <w:sz w:val="28"/>
          <w:szCs w:val="28"/>
        </w:rPr>
        <w:t xml:space="preserve"> по данной группе налогов </w:t>
      </w:r>
      <w:r w:rsidR="00DB4FD6" w:rsidRPr="003469FA">
        <w:rPr>
          <w:rFonts w:ascii="Times New Roman" w:hAnsi="Times New Roman"/>
          <w:sz w:val="28"/>
          <w:szCs w:val="28"/>
        </w:rPr>
        <w:t xml:space="preserve">отмечается снижение </w:t>
      </w:r>
      <w:r w:rsidR="003469FA" w:rsidRPr="003469FA">
        <w:rPr>
          <w:rFonts w:ascii="Times New Roman" w:hAnsi="Times New Roman"/>
          <w:sz w:val="28"/>
          <w:szCs w:val="28"/>
        </w:rPr>
        <w:t>на 2,8</w:t>
      </w:r>
      <w:r w:rsidR="005950C7" w:rsidRPr="003469FA">
        <w:rPr>
          <w:rFonts w:ascii="Times New Roman" w:hAnsi="Times New Roman"/>
          <w:sz w:val="28"/>
          <w:szCs w:val="28"/>
        </w:rPr>
        <w:t> </w:t>
      </w:r>
      <w:r w:rsidRPr="003469FA">
        <w:rPr>
          <w:rFonts w:ascii="Times New Roman" w:hAnsi="Times New Roman"/>
          <w:sz w:val="28"/>
          <w:szCs w:val="28"/>
        </w:rPr>
        <w:t>%</w:t>
      </w:r>
      <w:r w:rsidR="008B6D99" w:rsidRPr="003469FA">
        <w:rPr>
          <w:rFonts w:ascii="Times New Roman" w:hAnsi="Times New Roman"/>
          <w:sz w:val="28"/>
          <w:szCs w:val="28"/>
        </w:rPr>
        <w:t>.</w:t>
      </w:r>
      <w:r w:rsidR="00691627" w:rsidRPr="003469FA">
        <w:rPr>
          <w:rFonts w:ascii="Times New Roman" w:hAnsi="Times New Roman"/>
          <w:sz w:val="28"/>
          <w:szCs w:val="28"/>
        </w:rPr>
        <w:t xml:space="preserve"> </w:t>
      </w:r>
    </w:p>
    <w:p w:rsidR="006478CA" w:rsidRPr="00706ADF" w:rsidRDefault="006478CA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>В части земельного налога фактором, оказывающим негативное влияние на объем поступлений земельного налога, является оспаривание налогоплательщиками результатов государственной кадастровой оценки земельных участков (</w:t>
      </w:r>
      <w:r w:rsidR="00B41009">
        <w:rPr>
          <w:rFonts w:ascii="Times New Roman" w:hAnsi="Times New Roman"/>
          <w:sz w:val="28"/>
          <w:szCs w:val="28"/>
        </w:rPr>
        <w:t xml:space="preserve">проблема отмечается </w:t>
      </w:r>
      <w:r w:rsidR="00E86D55">
        <w:rPr>
          <w:rFonts w:ascii="Times New Roman" w:hAnsi="Times New Roman"/>
          <w:sz w:val="28"/>
          <w:szCs w:val="28"/>
        </w:rPr>
        <w:t xml:space="preserve">в </w:t>
      </w:r>
      <w:r w:rsidRPr="00706ADF">
        <w:rPr>
          <w:rFonts w:ascii="Times New Roman" w:hAnsi="Times New Roman"/>
          <w:sz w:val="28"/>
          <w:szCs w:val="28"/>
        </w:rPr>
        <w:t>Свердловск</w:t>
      </w:r>
      <w:r w:rsidR="00B41009">
        <w:rPr>
          <w:rFonts w:ascii="Times New Roman" w:hAnsi="Times New Roman"/>
          <w:sz w:val="28"/>
          <w:szCs w:val="28"/>
        </w:rPr>
        <w:t>ой</w:t>
      </w:r>
      <w:r w:rsidR="0062778F">
        <w:rPr>
          <w:rStyle w:val="af1"/>
          <w:rFonts w:ascii="Times New Roman" w:hAnsi="Times New Roman"/>
          <w:sz w:val="28"/>
          <w:szCs w:val="28"/>
        </w:rPr>
        <w:footnoteReference w:id="5"/>
      </w:r>
      <w:r w:rsidRPr="00706ADF">
        <w:rPr>
          <w:rFonts w:ascii="Times New Roman" w:hAnsi="Times New Roman"/>
          <w:sz w:val="28"/>
          <w:szCs w:val="28"/>
        </w:rPr>
        <w:t>, Костромск</w:t>
      </w:r>
      <w:r w:rsidR="00B41009">
        <w:rPr>
          <w:rFonts w:ascii="Times New Roman" w:hAnsi="Times New Roman"/>
          <w:sz w:val="28"/>
          <w:szCs w:val="28"/>
        </w:rPr>
        <w:t>ой</w:t>
      </w:r>
      <w:r w:rsidRPr="00706ADF">
        <w:rPr>
          <w:rFonts w:ascii="Times New Roman" w:hAnsi="Times New Roman"/>
          <w:sz w:val="28"/>
          <w:szCs w:val="28"/>
        </w:rPr>
        <w:t>, Ростовск</w:t>
      </w:r>
      <w:r w:rsidR="00B41009">
        <w:rPr>
          <w:rFonts w:ascii="Times New Roman" w:hAnsi="Times New Roman"/>
          <w:sz w:val="28"/>
          <w:szCs w:val="28"/>
        </w:rPr>
        <w:t>ой</w:t>
      </w:r>
      <w:r>
        <w:rPr>
          <w:rStyle w:val="af1"/>
          <w:rFonts w:ascii="Times New Roman" w:hAnsi="Times New Roman"/>
          <w:sz w:val="28"/>
          <w:szCs w:val="28"/>
        </w:rPr>
        <w:footnoteReference w:id="6"/>
      </w:r>
      <w:r w:rsidRPr="00706ADF">
        <w:rPr>
          <w:rFonts w:ascii="Times New Roman" w:hAnsi="Times New Roman"/>
          <w:sz w:val="28"/>
          <w:szCs w:val="28"/>
        </w:rPr>
        <w:t xml:space="preserve"> област</w:t>
      </w:r>
      <w:r w:rsidR="00B41009">
        <w:rPr>
          <w:rFonts w:ascii="Times New Roman" w:hAnsi="Times New Roman"/>
          <w:sz w:val="28"/>
          <w:szCs w:val="28"/>
        </w:rPr>
        <w:t>я</w:t>
      </w:r>
      <w:r w:rsidR="00AD05D3">
        <w:rPr>
          <w:rFonts w:ascii="Times New Roman" w:hAnsi="Times New Roman"/>
          <w:sz w:val="28"/>
          <w:szCs w:val="28"/>
        </w:rPr>
        <w:t>х</w:t>
      </w:r>
      <w:r w:rsidR="00E86D55">
        <w:rPr>
          <w:rFonts w:ascii="Times New Roman" w:hAnsi="Times New Roman"/>
          <w:sz w:val="28"/>
          <w:szCs w:val="28"/>
        </w:rPr>
        <w:t xml:space="preserve"> и</w:t>
      </w:r>
      <w:r w:rsidRPr="00706A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други</w:t>
      </w:r>
      <w:r w:rsidR="00AD05D3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регион</w:t>
      </w:r>
      <w:r w:rsidR="00AD05D3">
        <w:rPr>
          <w:rFonts w:ascii="Times New Roman" w:hAnsi="Times New Roman"/>
          <w:sz w:val="28"/>
          <w:szCs w:val="28"/>
        </w:rPr>
        <w:t>ах</w:t>
      </w:r>
      <w:r w:rsidRPr="00706ADF">
        <w:rPr>
          <w:rFonts w:ascii="Times New Roman" w:hAnsi="Times New Roman"/>
          <w:sz w:val="28"/>
          <w:szCs w:val="28"/>
        </w:rPr>
        <w:t>), снижени</w:t>
      </w:r>
      <w:r>
        <w:rPr>
          <w:rFonts w:ascii="Times New Roman" w:hAnsi="Times New Roman"/>
          <w:sz w:val="28"/>
          <w:szCs w:val="28"/>
        </w:rPr>
        <w:t>е</w:t>
      </w:r>
      <w:r w:rsidRPr="00706ADF">
        <w:rPr>
          <w:rFonts w:ascii="Times New Roman" w:hAnsi="Times New Roman"/>
          <w:sz w:val="28"/>
          <w:szCs w:val="28"/>
        </w:rPr>
        <w:t xml:space="preserve"> стоимости  земельных участков по результатам проведения государственной кадастровой оценки земель (Ростовская область). </w:t>
      </w:r>
    </w:p>
    <w:p w:rsidR="005A4630" w:rsidRDefault="005A4630" w:rsidP="00CD6D3A">
      <w:pPr>
        <w:pStyle w:val="ae"/>
        <w:shd w:val="clear" w:color="auto" w:fill="FFFFFF"/>
        <w:spacing w:after="0" w:line="269" w:lineRule="auto"/>
        <w:ind w:left="0" w:firstLine="709"/>
        <w:jc w:val="both"/>
        <w:rPr>
          <w:rFonts w:ascii="Times New Roman" w:hAnsi="Times New Roman"/>
          <w:i/>
          <w:sz w:val="27"/>
          <w:szCs w:val="27"/>
        </w:rPr>
      </w:pPr>
      <w:r w:rsidRPr="00767657">
        <w:rPr>
          <w:rFonts w:ascii="Times New Roman" w:hAnsi="Times New Roman"/>
          <w:i/>
          <w:sz w:val="27"/>
          <w:szCs w:val="27"/>
        </w:rPr>
        <w:t>Справочно: по оперативным данным Федерального казначейства</w:t>
      </w:r>
      <w:r w:rsidR="00AD05D3">
        <w:rPr>
          <w:rFonts w:ascii="Times New Roman" w:hAnsi="Times New Roman"/>
          <w:i/>
          <w:sz w:val="27"/>
          <w:szCs w:val="27"/>
        </w:rPr>
        <w:t>,</w:t>
      </w:r>
      <w:r w:rsidRPr="00767657">
        <w:rPr>
          <w:rFonts w:ascii="Times New Roman" w:hAnsi="Times New Roman"/>
          <w:i/>
          <w:sz w:val="27"/>
          <w:szCs w:val="27"/>
        </w:rPr>
        <w:t xml:space="preserve"> по состоянию на 1 апреля 201</w:t>
      </w:r>
      <w:r>
        <w:rPr>
          <w:rFonts w:ascii="Times New Roman" w:hAnsi="Times New Roman"/>
          <w:i/>
          <w:sz w:val="27"/>
          <w:szCs w:val="27"/>
        </w:rPr>
        <w:t>6</w:t>
      </w:r>
      <w:r w:rsidRPr="00767657">
        <w:rPr>
          <w:rFonts w:ascii="Times New Roman" w:hAnsi="Times New Roman"/>
          <w:i/>
          <w:sz w:val="27"/>
          <w:szCs w:val="27"/>
        </w:rPr>
        <w:t xml:space="preserve"> года поступления по группе имущественных налогов составили </w:t>
      </w:r>
      <w:r>
        <w:rPr>
          <w:rFonts w:ascii="Times New Roman" w:hAnsi="Times New Roman"/>
          <w:i/>
          <w:sz w:val="27"/>
          <w:szCs w:val="27"/>
        </w:rPr>
        <w:t>201,3</w:t>
      </w:r>
      <w:r w:rsidRPr="00767657">
        <w:rPr>
          <w:rFonts w:ascii="Times New Roman" w:hAnsi="Times New Roman"/>
          <w:i/>
          <w:sz w:val="27"/>
          <w:szCs w:val="27"/>
        </w:rPr>
        <w:t xml:space="preserve"> млрд. рублей, или выросли по сравнению с аналогичным периодом прошлого года на </w:t>
      </w:r>
      <w:r>
        <w:rPr>
          <w:rFonts w:ascii="Times New Roman" w:hAnsi="Times New Roman"/>
          <w:i/>
          <w:sz w:val="27"/>
          <w:szCs w:val="27"/>
        </w:rPr>
        <w:t>4,5</w:t>
      </w:r>
      <w:r w:rsidRPr="00767657">
        <w:rPr>
          <w:rFonts w:ascii="Times New Roman" w:hAnsi="Times New Roman"/>
          <w:i/>
          <w:sz w:val="27"/>
          <w:szCs w:val="27"/>
        </w:rPr>
        <w:t> %.</w:t>
      </w:r>
    </w:p>
    <w:p w:rsidR="00123AFC" w:rsidRPr="00706ADF" w:rsidRDefault="00C34B1E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2.4. </w:t>
      </w:r>
      <w:r>
        <w:rPr>
          <w:rFonts w:ascii="Times New Roman" w:hAnsi="Times New Roman"/>
          <w:sz w:val="28"/>
          <w:szCs w:val="28"/>
        </w:rPr>
        <w:t xml:space="preserve">В 2016 году вступили в силу </w:t>
      </w:r>
      <w:r w:rsidR="00123AFC" w:rsidRPr="00706ADF">
        <w:rPr>
          <w:rFonts w:ascii="Times New Roman" w:hAnsi="Times New Roman"/>
          <w:sz w:val="28"/>
          <w:szCs w:val="28"/>
        </w:rPr>
        <w:t xml:space="preserve">изменения налогового законодательства, оказывающие влияние на формирование доходов консолидированных бюджетов субъектов Российской Федерации. </w:t>
      </w:r>
      <w:proofErr w:type="gramStart"/>
      <w:r w:rsidR="00123AFC" w:rsidRPr="00706ADF">
        <w:rPr>
          <w:rFonts w:ascii="Times New Roman" w:hAnsi="Times New Roman"/>
          <w:sz w:val="28"/>
          <w:szCs w:val="28"/>
        </w:rPr>
        <w:t>Так</w:t>
      </w:r>
      <w:r w:rsidR="00E86D55">
        <w:rPr>
          <w:rFonts w:ascii="Times New Roman" w:hAnsi="Times New Roman"/>
          <w:sz w:val="28"/>
          <w:szCs w:val="28"/>
        </w:rPr>
        <w:t>, Федеральным законом от 8 </w:t>
      </w:r>
      <w:r w:rsidR="00136F3C">
        <w:rPr>
          <w:rFonts w:ascii="Times New Roman" w:hAnsi="Times New Roman"/>
          <w:sz w:val="28"/>
          <w:szCs w:val="28"/>
        </w:rPr>
        <w:t>июня 2015 г. № 150-ФЗ</w:t>
      </w:r>
      <w:r w:rsidR="00123AFC" w:rsidRPr="00706ADF">
        <w:rPr>
          <w:rFonts w:ascii="Times New Roman" w:hAnsi="Times New Roman"/>
          <w:sz w:val="28"/>
          <w:szCs w:val="28"/>
        </w:rPr>
        <w:t xml:space="preserve"> по налогу на прибыль организаций порог первоначальной стоимости для отнесения имущества к основным средствам и амортизируемому имуществу повышен с 40 тыс. рублей до  100 тыс. рублей,  в результате чего организации, находящиеся на общей системе налогообложения, могут учитывать при расчете налоговой базы по налогу на прибыль в составе материальных расходов затраты на</w:t>
      </w:r>
      <w:proofErr w:type="gramEnd"/>
      <w:r w:rsidR="00123AFC" w:rsidRPr="00706ADF">
        <w:rPr>
          <w:rFonts w:ascii="Times New Roman" w:hAnsi="Times New Roman"/>
          <w:sz w:val="28"/>
          <w:szCs w:val="28"/>
        </w:rPr>
        <w:t xml:space="preserve"> пр</w:t>
      </w:r>
      <w:r w:rsidR="00AD05D3">
        <w:rPr>
          <w:rFonts w:ascii="Times New Roman" w:hAnsi="Times New Roman"/>
          <w:sz w:val="28"/>
          <w:szCs w:val="28"/>
        </w:rPr>
        <w:t>иобретение (создание) имущества</w:t>
      </w:r>
      <w:r w:rsidR="00123AFC" w:rsidRPr="00706ADF">
        <w:rPr>
          <w:rFonts w:ascii="Times New Roman" w:hAnsi="Times New Roman"/>
          <w:sz w:val="28"/>
          <w:szCs w:val="28"/>
        </w:rPr>
        <w:t xml:space="preserve"> первоначально</w:t>
      </w:r>
      <w:r w:rsidR="00AD05D3">
        <w:rPr>
          <w:rFonts w:ascii="Times New Roman" w:hAnsi="Times New Roman"/>
          <w:sz w:val="28"/>
          <w:szCs w:val="28"/>
        </w:rPr>
        <w:t>й стоимостью до 100 тыс. рублей единовременно</w:t>
      </w:r>
      <w:r w:rsidR="00123AFC" w:rsidRPr="00706ADF">
        <w:rPr>
          <w:rFonts w:ascii="Times New Roman" w:hAnsi="Times New Roman"/>
          <w:sz w:val="28"/>
          <w:szCs w:val="28"/>
        </w:rPr>
        <w:t xml:space="preserve"> по мере ввода его в эксплуатацию, не применяя амортизационный механизм, что приведет к сокращению поступлений налога на прибыль организаций. Так, например, в бюджете Ставропольского края</w:t>
      </w:r>
      <w:r w:rsidR="00123AFC">
        <w:rPr>
          <w:rStyle w:val="af1"/>
          <w:rFonts w:ascii="Times New Roman" w:hAnsi="Times New Roman"/>
          <w:sz w:val="28"/>
          <w:szCs w:val="28"/>
        </w:rPr>
        <w:footnoteReference w:id="7"/>
      </w:r>
      <w:r w:rsidR="00123AFC" w:rsidRPr="00706ADF">
        <w:rPr>
          <w:rFonts w:ascii="Times New Roman" w:hAnsi="Times New Roman"/>
          <w:sz w:val="28"/>
          <w:szCs w:val="28"/>
        </w:rPr>
        <w:t xml:space="preserve">  выпадающие доходы  от указанной новации оцениваются в размере  470,</w:t>
      </w:r>
      <w:r w:rsidR="00785F35">
        <w:rPr>
          <w:rFonts w:ascii="Times New Roman" w:hAnsi="Times New Roman"/>
          <w:sz w:val="28"/>
          <w:szCs w:val="28"/>
        </w:rPr>
        <w:t>0 </w:t>
      </w:r>
      <w:r w:rsidR="00123AFC" w:rsidRPr="00706ADF">
        <w:rPr>
          <w:rFonts w:ascii="Times New Roman" w:hAnsi="Times New Roman"/>
          <w:sz w:val="28"/>
          <w:szCs w:val="28"/>
        </w:rPr>
        <w:t xml:space="preserve">млн. рублей. </w:t>
      </w:r>
    </w:p>
    <w:p w:rsidR="00123AFC" w:rsidRPr="00706ADF" w:rsidRDefault="00136F3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Этим же федеральным законом установлено</w:t>
      </w:r>
      <w:r w:rsidR="00123AFC" w:rsidRPr="00706A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</w:t>
      </w:r>
      <w:r w:rsidR="00123AFC" w:rsidRPr="00706ADF">
        <w:rPr>
          <w:rFonts w:ascii="Times New Roman" w:hAnsi="Times New Roman"/>
          <w:sz w:val="28"/>
          <w:szCs w:val="28"/>
        </w:rPr>
        <w:t xml:space="preserve"> с 2016 года показатель выручки, позволяющий уплачивать авансы по налогу на прибыль организаций только по итогам отчетных периодов (ежеквартально), с 10 млн. рублей увеличен до 15 млн. рублей включительно в среднем за каждый квартал из предыдущих четырех, что создает риски неритмичности поступления налога в доходы консолидированных бюджетов субъектов Российской Федерации. </w:t>
      </w:r>
      <w:proofErr w:type="gramEnd"/>
    </w:p>
    <w:p w:rsidR="00123AFC" w:rsidRPr="00706ADF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6ADF">
        <w:rPr>
          <w:rFonts w:ascii="Times New Roman" w:hAnsi="Times New Roman"/>
          <w:sz w:val="28"/>
          <w:szCs w:val="28"/>
        </w:rPr>
        <w:t xml:space="preserve">В соответствии с подпунктом «а» пункта 2 Перечня поручений Президента Российской Федерации от 22 сентября 2015 г. № Пр-1987 о направлении в федеральный бюджет дополнительных доходов, получаемых компаниями-экспортерами в результате девальвации рубля, при сохранении </w:t>
      </w:r>
      <w:r w:rsidRPr="00706ADF">
        <w:rPr>
          <w:rFonts w:ascii="Times New Roman" w:hAnsi="Times New Roman"/>
          <w:sz w:val="28"/>
          <w:szCs w:val="28"/>
        </w:rPr>
        <w:lastRenderedPageBreak/>
        <w:t>инвестиционных возможностей указанных  организаций принят  Федеральный  закон от 28 ноября 2015 г. № 325-ФЗ, направленный в основном на реализацию мер по увеличению доходов  федерального бюджета в 2016 году</w:t>
      </w:r>
      <w:proofErr w:type="gramEnd"/>
      <w:r w:rsidRPr="00706ADF">
        <w:rPr>
          <w:rFonts w:ascii="Times New Roman" w:hAnsi="Times New Roman"/>
          <w:sz w:val="28"/>
          <w:szCs w:val="28"/>
        </w:rPr>
        <w:t xml:space="preserve"> посредством изъятия дополнительного дохода, возникшего вследствие положительного девальвационного эффекта при снижении курса рубля у экспортеров природного газа.  </w:t>
      </w:r>
    </w:p>
    <w:p w:rsidR="00123AFC" w:rsidRPr="00706ADF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>Кроме того, Федеральным законом от 28 ноября 2015 г. № 324-ФЗ,  направленным на реализацию мер по увеличению доходов федерального бюджета в 2016 году в связи с резким снижением прогнозных цен на нефть</w:t>
      </w:r>
      <w:r w:rsidR="00AD05D3">
        <w:rPr>
          <w:rFonts w:ascii="Times New Roman" w:hAnsi="Times New Roman"/>
          <w:sz w:val="28"/>
          <w:szCs w:val="28"/>
        </w:rPr>
        <w:t>,</w:t>
      </w:r>
      <w:r w:rsidRPr="00706ADF">
        <w:rPr>
          <w:rFonts w:ascii="Times New Roman" w:hAnsi="Times New Roman"/>
          <w:sz w:val="28"/>
          <w:szCs w:val="28"/>
        </w:rPr>
        <w:t xml:space="preserve"> предусматривает</w:t>
      </w:r>
      <w:r w:rsidR="00AD05D3">
        <w:rPr>
          <w:rFonts w:ascii="Times New Roman" w:hAnsi="Times New Roman"/>
          <w:sz w:val="28"/>
          <w:szCs w:val="28"/>
        </w:rPr>
        <w:t>ся</w:t>
      </w:r>
      <w:r w:rsidRPr="00706ADF">
        <w:rPr>
          <w:rFonts w:ascii="Times New Roman" w:hAnsi="Times New Roman"/>
          <w:sz w:val="28"/>
          <w:szCs w:val="28"/>
        </w:rPr>
        <w:t xml:space="preserve"> сохранение порядка расчета ставки вывозной таможенной пошлины на уровне 2015 года. </w:t>
      </w:r>
    </w:p>
    <w:p w:rsidR="00631F46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 xml:space="preserve">Указанные изменения приведут к </w:t>
      </w:r>
      <w:r w:rsidR="006A1B4D">
        <w:rPr>
          <w:rFonts w:ascii="Times New Roman" w:hAnsi="Times New Roman"/>
          <w:sz w:val="28"/>
          <w:szCs w:val="28"/>
        </w:rPr>
        <w:t xml:space="preserve">рискам </w:t>
      </w:r>
      <w:proofErr w:type="spellStart"/>
      <w:r w:rsidR="006A1B4D" w:rsidRPr="00706ADF">
        <w:rPr>
          <w:rFonts w:ascii="Times New Roman" w:hAnsi="Times New Roman"/>
          <w:sz w:val="28"/>
          <w:szCs w:val="28"/>
        </w:rPr>
        <w:t>недопоступлений</w:t>
      </w:r>
      <w:proofErr w:type="spellEnd"/>
      <w:r w:rsidR="006A1B4D" w:rsidRPr="00706ADF">
        <w:rPr>
          <w:rFonts w:ascii="Times New Roman" w:hAnsi="Times New Roman"/>
          <w:sz w:val="28"/>
          <w:szCs w:val="28"/>
        </w:rPr>
        <w:t xml:space="preserve"> </w:t>
      </w:r>
      <w:r w:rsidRPr="00706ADF">
        <w:rPr>
          <w:rFonts w:ascii="Times New Roman" w:hAnsi="Times New Roman"/>
          <w:sz w:val="28"/>
          <w:szCs w:val="28"/>
        </w:rPr>
        <w:t>в доходы бюджетов субъектов Российской Федерации налога на прибыль организаций в 2016 году. По информации, представленной Ханты-Мансийским автономным округом</w:t>
      </w:r>
      <w:r>
        <w:rPr>
          <w:rStyle w:val="af1"/>
          <w:rFonts w:ascii="Times New Roman" w:hAnsi="Times New Roman"/>
          <w:sz w:val="28"/>
          <w:szCs w:val="28"/>
        </w:rPr>
        <w:footnoteReference w:id="8"/>
      </w:r>
      <w:r w:rsidRPr="00706ADF">
        <w:rPr>
          <w:rFonts w:ascii="Times New Roman" w:hAnsi="Times New Roman"/>
          <w:sz w:val="28"/>
          <w:szCs w:val="28"/>
        </w:rPr>
        <w:t xml:space="preserve">, выпадающие доходы по налогу на прибыль организаций </w:t>
      </w:r>
      <w:r w:rsidR="00631F46">
        <w:rPr>
          <w:rFonts w:ascii="Times New Roman" w:hAnsi="Times New Roman"/>
          <w:sz w:val="28"/>
          <w:szCs w:val="28"/>
        </w:rPr>
        <w:t xml:space="preserve">от «налогового маневра» </w:t>
      </w:r>
      <w:r w:rsidRPr="00706ADF">
        <w:rPr>
          <w:rFonts w:ascii="Times New Roman" w:hAnsi="Times New Roman"/>
          <w:sz w:val="28"/>
          <w:szCs w:val="28"/>
        </w:rPr>
        <w:t xml:space="preserve">оцениваются регионом в  размере 11 млрд. рублей.  </w:t>
      </w:r>
    </w:p>
    <w:p w:rsidR="00123AFC" w:rsidRPr="00706ADF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 xml:space="preserve">Согласно действовавшему до 2016 года  порядку социальные налоговые вычеты в общем случае предоставлялись налогоплательщику при подаче им налоговой декларации по НДФЛ в налоговый орган по окончании налогового периода (года). Исключение составляли социальные налоговые вычеты, предоставляемые в связи с участием налогоплательщика в договорах негосударственного пенсионного обеспечения, добровольного пенсионного страхования, добровольного страхования жизни, а также в связи с уплатой дополнительных страховых взносов на накопительную пенсию.  </w:t>
      </w:r>
    </w:p>
    <w:p w:rsidR="00123AFC" w:rsidRPr="00706ADF" w:rsidRDefault="00136F3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апреля 2015 г. № 85-ФЗ с</w:t>
      </w:r>
      <w:r w:rsidR="00123AFC" w:rsidRPr="00706ADF">
        <w:rPr>
          <w:rFonts w:ascii="Times New Roman" w:hAnsi="Times New Roman"/>
          <w:sz w:val="28"/>
          <w:szCs w:val="28"/>
        </w:rPr>
        <w:t xml:space="preserve"> 2016 года работодатель может до окончания налогового периода предоставлять налогоплательщику социальные налоговые вычеты по расходам на обучение и лечение при условии обращения налогоплательщика с письменным заявлением и представления подтверждения соответствующего права, выданного налогоплательщику налоговым органом. Таким образом, в 2016 году могут быть предоставлены социальные вычеты  по расходам, осуществленным как в 2015, так и в 2016 годах.</w:t>
      </w:r>
      <w:r w:rsidR="00123AFC">
        <w:rPr>
          <w:rFonts w:ascii="Times New Roman" w:hAnsi="Times New Roman"/>
          <w:sz w:val="28"/>
          <w:szCs w:val="28"/>
        </w:rPr>
        <w:t xml:space="preserve"> Также</w:t>
      </w:r>
      <w:r w:rsidR="00123AFC" w:rsidRPr="00706ADF">
        <w:rPr>
          <w:rFonts w:ascii="Times New Roman" w:hAnsi="Times New Roman"/>
          <w:sz w:val="28"/>
          <w:szCs w:val="28"/>
        </w:rPr>
        <w:t xml:space="preserve"> увеличены стандартные вычет</w:t>
      </w:r>
      <w:r w:rsidR="00123AFC">
        <w:rPr>
          <w:rFonts w:ascii="Times New Roman" w:hAnsi="Times New Roman"/>
          <w:sz w:val="28"/>
          <w:szCs w:val="28"/>
        </w:rPr>
        <w:t>ы</w:t>
      </w:r>
      <w:r w:rsidR="00AD05D3">
        <w:rPr>
          <w:rFonts w:ascii="Times New Roman" w:hAnsi="Times New Roman"/>
          <w:sz w:val="28"/>
          <w:szCs w:val="28"/>
        </w:rPr>
        <w:t xml:space="preserve"> на детей</w:t>
      </w:r>
      <w:r w:rsidR="00E86D55">
        <w:rPr>
          <w:rFonts w:ascii="Times New Roman" w:hAnsi="Times New Roman"/>
          <w:sz w:val="28"/>
          <w:szCs w:val="28"/>
        </w:rPr>
        <w:t>-</w:t>
      </w:r>
      <w:r w:rsidR="00123AFC" w:rsidRPr="00706ADF">
        <w:rPr>
          <w:rFonts w:ascii="Times New Roman" w:hAnsi="Times New Roman"/>
          <w:sz w:val="28"/>
          <w:szCs w:val="28"/>
        </w:rPr>
        <w:t>инвалидов</w:t>
      </w:r>
      <w:r>
        <w:rPr>
          <w:rFonts w:ascii="Times New Roman" w:hAnsi="Times New Roman"/>
          <w:sz w:val="28"/>
          <w:szCs w:val="28"/>
        </w:rPr>
        <w:t xml:space="preserve"> (Федеральный закон от 23 ноября 2015 г. № 317-ФЗ)</w:t>
      </w:r>
      <w:r w:rsidR="00123AFC" w:rsidRPr="00706ADF">
        <w:rPr>
          <w:rFonts w:ascii="Times New Roman" w:hAnsi="Times New Roman"/>
          <w:sz w:val="28"/>
          <w:szCs w:val="28"/>
        </w:rPr>
        <w:t>.</w:t>
      </w:r>
    </w:p>
    <w:p w:rsidR="00123AFC" w:rsidRPr="00706ADF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706ADF">
        <w:rPr>
          <w:rFonts w:ascii="Times New Roman" w:hAnsi="Times New Roman"/>
          <w:sz w:val="28"/>
          <w:szCs w:val="28"/>
        </w:rPr>
        <w:t>В соответствии с Федеральным законом от 23 ноября 2015 г. № 320-ФЗ предельный срок уплаты имущественных налогов физическими лицами перенесен с 1 октября на 1 декабря года, следующего за истекшим налоговым периодом. Перенос сроков уплаты создает риски неравномерной наполняемости местных бюджетов. Кроме того, указанные изменения создают риски снижения собираемости и</w:t>
      </w:r>
      <w:r>
        <w:rPr>
          <w:rFonts w:ascii="Times New Roman" w:hAnsi="Times New Roman"/>
          <w:sz w:val="28"/>
          <w:szCs w:val="28"/>
        </w:rPr>
        <w:t xml:space="preserve"> могут привести к  росту недоимки на </w:t>
      </w:r>
      <w:r>
        <w:rPr>
          <w:rFonts w:ascii="Times New Roman" w:hAnsi="Times New Roman"/>
          <w:sz w:val="28"/>
          <w:szCs w:val="28"/>
        </w:rPr>
        <w:lastRenderedPageBreak/>
        <w:t>1 </w:t>
      </w:r>
      <w:r w:rsidRPr="00706ADF">
        <w:rPr>
          <w:rFonts w:ascii="Times New Roman" w:hAnsi="Times New Roman"/>
          <w:sz w:val="28"/>
          <w:szCs w:val="28"/>
        </w:rPr>
        <w:t xml:space="preserve">января 2017 года, так как у налоговых органов останется в 2016 году недостаточно времени для взыскания задолженности (в 2015 году – 3 месяца для принятия мер, в 2016 году только 1 месяц). </w:t>
      </w:r>
    </w:p>
    <w:p w:rsidR="00123AFC" w:rsidRPr="00706ADF" w:rsidRDefault="00123AFC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Одновременно</w:t>
      </w:r>
      <w:r w:rsidRPr="00706ADF">
        <w:rPr>
          <w:rFonts w:ascii="Times New Roman" w:hAnsi="Times New Roman"/>
          <w:sz w:val="28"/>
          <w:szCs w:val="28"/>
        </w:rPr>
        <w:t xml:space="preserve"> в 2016 году вступили  в силу изменения налогового законодательства, приводящие к увеличению налоговых доходов, зачисляемых </w:t>
      </w:r>
      <w:r w:rsidR="00174878">
        <w:rPr>
          <w:rFonts w:ascii="Times New Roman" w:hAnsi="Times New Roman"/>
          <w:sz w:val="28"/>
          <w:szCs w:val="28"/>
        </w:rPr>
        <w:t xml:space="preserve">в </w:t>
      </w:r>
      <w:r w:rsidR="00136F3C">
        <w:rPr>
          <w:rFonts w:ascii="Times New Roman" w:hAnsi="Times New Roman"/>
          <w:sz w:val="28"/>
          <w:szCs w:val="28"/>
        </w:rPr>
        <w:t>консолидированные бюджеты субъектов Российской Федерации</w:t>
      </w:r>
      <w:r w:rsidRPr="00706ADF">
        <w:rPr>
          <w:rFonts w:ascii="Times New Roman" w:hAnsi="Times New Roman"/>
          <w:sz w:val="28"/>
          <w:szCs w:val="28"/>
        </w:rPr>
        <w:t xml:space="preserve">, в частности, </w:t>
      </w:r>
      <w:r>
        <w:rPr>
          <w:rFonts w:ascii="Times New Roman" w:hAnsi="Times New Roman"/>
          <w:sz w:val="28"/>
          <w:szCs w:val="28"/>
        </w:rPr>
        <w:t xml:space="preserve">увеличены </w:t>
      </w:r>
      <w:r w:rsidR="00136F3C">
        <w:rPr>
          <w:rFonts w:ascii="Times New Roman" w:hAnsi="Times New Roman"/>
          <w:sz w:val="28"/>
          <w:szCs w:val="28"/>
        </w:rPr>
        <w:t xml:space="preserve">предельные </w:t>
      </w:r>
      <w:r w:rsidRPr="00706ADF">
        <w:rPr>
          <w:rFonts w:ascii="Times New Roman" w:hAnsi="Times New Roman"/>
          <w:sz w:val="28"/>
          <w:szCs w:val="28"/>
        </w:rPr>
        <w:t xml:space="preserve">ставки по налогу на имущество организаций </w:t>
      </w:r>
      <w:r w:rsidR="00B4100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B41009">
        <w:rPr>
          <w:rFonts w:ascii="Times New Roman" w:hAnsi="Times New Roman"/>
          <w:sz w:val="28"/>
          <w:szCs w:val="28"/>
        </w:rPr>
        <w:t xml:space="preserve">субъектов </w:t>
      </w:r>
      <w:r w:rsidRPr="00706ADF">
        <w:rPr>
          <w:rFonts w:ascii="Times New Roman" w:hAnsi="Times New Roman"/>
          <w:sz w:val="28"/>
          <w:szCs w:val="28"/>
        </w:rPr>
        <w:t>естественных монополий.</w:t>
      </w:r>
      <w:proofErr w:type="gramEnd"/>
    </w:p>
    <w:p w:rsidR="00185818" w:rsidRDefault="00C34B1E" w:rsidP="00185818">
      <w:pPr>
        <w:pStyle w:val="ConsPlusNormal"/>
        <w:spacing w:line="271" w:lineRule="auto"/>
        <w:ind w:firstLine="540"/>
        <w:jc w:val="both"/>
      </w:pPr>
      <w:r>
        <w:rPr>
          <w:b/>
        </w:rPr>
        <w:t>2.5. </w:t>
      </w:r>
      <w:proofErr w:type="gramStart"/>
      <w:r w:rsidR="00123AFC" w:rsidRPr="00706ADF">
        <w:t xml:space="preserve">Федеральным законом от 28 ноября 2015 г. № 325-ФЗ до 2018 года продлен мораторий на создание </w:t>
      </w:r>
      <w:r w:rsidR="00AD05D3" w:rsidRPr="00546568">
        <w:t xml:space="preserve">консолидированных групп налогоплательщиков </w:t>
      </w:r>
      <w:r w:rsidR="00AD05D3">
        <w:t xml:space="preserve">(далее – </w:t>
      </w:r>
      <w:r w:rsidR="00123AFC" w:rsidRPr="00706ADF">
        <w:t>КГН</w:t>
      </w:r>
      <w:r w:rsidR="00AD05D3">
        <w:t>)</w:t>
      </w:r>
      <w:r w:rsidR="00123AFC" w:rsidRPr="00706ADF">
        <w:t xml:space="preserve"> и на присоединение к уже существующим КГН (кроме случаев реорганизации участников группы).</w:t>
      </w:r>
      <w:proofErr w:type="gramEnd"/>
      <w:r w:rsidR="00123AFC" w:rsidRPr="00706ADF">
        <w:t xml:space="preserve"> Договоры о создании КГН, зарегистрированные налоговыми органами в 2014</w:t>
      </w:r>
      <w:r w:rsidR="00123AFC">
        <w:t> – </w:t>
      </w:r>
      <w:r w:rsidR="00123AFC" w:rsidRPr="00706ADF">
        <w:t>2015 годах считаются незарегистрированными</w:t>
      </w:r>
      <w:r w:rsidR="00174878">
        <w:t xml:space="preserve">. </w:t>
      </w:r>
      <w:r w:rsidR="00174878" w:rsidRPr="00174878">
        <w:t xml:space="preserve">Налоговый орган в срок до 1 марта 2016 года уведомляет в произвольной форме ответственного участника такой группы о признании соответствующего договора </w:t>
      </w:r>
      <w:proofErr w:type="gramStart"/>
      <w:r w:rsidR="00174878" w:rsidRPr="00174878">
        <w:t>незарегистрированным</w:t>
      </w:r>
      <w:proofErr w:type="gramEnd"/>
      <w:r w:rsidR="00123AFC" w:rsidRPr="00706ADF">
        <w:t xml:space="preserve">. </w:t>
      </w:r>
      <w:proofErr w:type="gramStart"/>
      <w:r w:rsidR="00123AFC" w:rsidRPr="00706ADF">
        <w:t>При этом увеличен минимальный срок, на который может быть образована КГН, с 2 до 5 налоговых периодов по налогу на прибыль организаций.</w:t>
      </w:r>
      <w:proofErr w:type="gramEnd"/>
      <w:r w:rsidR="00123AFC" w:rsidRPr="00706ADF">
        <w:t xml:space="preserve"> Указанные новации  могут привести к </w:t>
      </w:r>
      <w:r w:rsidR="00174878">
        <w:t xml:space="preserve">дополнительному </w:t>
      </w:r>
      <w:r w:rsidR="00123AFC" w:rsidRPr="00706ADF">
        <w:t>перераспределению поступлений налога на прибыль организаций по субъектам Российской Федерации. Учитывая, что</w:t>
      </w:r>
      <w:r w:rsidR="0019268D">
        <w:t>,</w:t>
      </w:r>
      <w:r w:rsidR="00123AFC" w:rsidRPr="00706ADF">
        <w:t xml:space="preserve"> как правило, участники КГН являются крупнейшими и зачастую </w:t>
      </w:r>
      <w:proofErr w:type="spellStart"/>
      <w:r w:rsidR="00123AFC" w:rsidRPr="00706ADF">
        <w:t>бюджетообразующими</w:t>
      </w:r>
      <w:proofErr w:type="spellEnd"/>
      <w:r w:rsidR="00123AFC" w:rsidRPr="00706ADF">
        <w:t xml:space="preserve"> налогоплательщиками, следует отметить высокую зависимость (уязвимость) бюджетов ряда регионов от величины и динамики поступления налогов от плательщиков, входящих в КГН. </w:t>
      </w:r>
    </w:p>
    <w:p w:rsidR="00185818" w:rsidRPr="00185818" w:rsidRDefault="00185818" w:rsidP="00185818">
      <w:pPr>
        <w:pStyle w:val="ConsPlusNormal"/>
        <w:spacing w:line="271" w:lineRule="auto"/>
        <w:ind w:firstLine="540"/>
        <w:jc w:val="both"/>
      </w:pPr>
      <w:r w:rsidRPr="00185818">
        <w:t xml:space="preserve">В </w:t>
      </w:r>
      <w:r w:rsidRPr="00185818">
        <w:rPr>
          <w:lang w:val="en-US"/>
        </w:rPr>
        <w:t>I</w:t>
      </w:r>
      <w:r w:rsidRPr="00185818">
        <w:t xml:space="preserve"> квартале 2016 года поступление налога на прибыль организаций от КГН снизилось в 42 регионах и составило 10,7 млрд. рублей, или 11,9 % к уровню </w:t>
      </w:r>
      <w:r w:rsidRPr="00185818">
        <w:rPr>
          <w:lang w:val="en-US"/>
        </w:rPr>
        <w:t>I</w:t>
      </w:r>
      <w:r w:rsidRPr="00185818">
        <w:t xml:space="preserve"> квартала 2015 года. </w:t>
      </w:r>
    </w:p>
    <w:p w:rsidR="00185818" w:rsidRDefault="00185818" w:rsidP="00185818">
      <w:pPr>
        <w:pStyle w:val="ConsPlusNormal"/>
        <w:spacing w:line="271" w:lineRule="auto"/>
        <w:ind w:firstLine="540"/>
        <w:jc w:val="both"/>
      </w:pPr>
      <w:r w:rsidRPr="00185818">
        <w:t>Таким образом, влияние деятельности КГН в части поступления доходов от уплаты налога на прибыль организаций сохраняется и должно быть учтено при представлении межбюджетных трансфертов бюджетам субъектов Российской Федерации в течение текущего года.</w:t>
      </w:r>
    </w:p>
    <w:p w:rsidR="00546568" w:rsidRPr="00546568" w:rsidRDefault="00546568" w:rsidP="00185818">
      <w:pPr>
        <w:pStyle w:val="ConsPlusNormal"/>
        <w:spacing w:line="269" w:lineRule="auto"/>
        <w:ind w:firstLine="540"/>
        <w:jc w:val="both"/>
      </w:pPr>
      <w:r>
        <w:t>Информация о п</w:t>
      </w:r>
      <w:r w:rsidRPr="00546568">
        <w:t>оступлени</w:t>
      </w:r>
      <w:r>
        <w:t>и</w:t>
      </w:r>
      <w:r w:rsidRPr="00546568">
        <w:t xml:space="preserve"> и начислени</w:t>
      </w:r>
      <w:r>
        <w:t>и</w:t>
      </w:r>
      <w:r w:rsidRPr="00546568">
        <w:t xml:space="preserve"> налога на прибыль организаций </w:t>
      </w:r>
      <w:r w:rsidR="00AD05D3">
        <w:t>КГН</w:t>
      </w:r>
      <w:r w:rsidRPr="00546568">
        <w:t xml:space="preserve"> за </w:t>
      </w:r>
      <w:r>
        <w:rPr>
          <w:lang w:val="en-US"/>
        </w:rPr>
        <w:t>I</w:t>
      </w:r>
      <w:r w:rsidR="00690405">
        <w:t xml:space="preserve"> квартал 2016 </w:t>
      </w:r>
      <w:r w:rsidRPr="00546568">
        <w:t xml:space="preserve">года </w:t>
      </w:r>
      <w:r>
        <w:t xml:space="preserve"> представлена в </w:t>
      </w:r>
      <w:r w:rsidR="00AD05D3">
        <w:t>таблице</w:t>
      </w:r>
      <w:r w:rsidR="00EF0F65">
        <w:t xml:space="preserve"> №</w:t>
      </w:r>
      <w:r>
        <w:t xml:space="preserve"> 8.</w:t>
      </w:r>
    </w:p>
    <w:p w:rsidR="00123AFC" w:rsidRDefault="00123AFC" w:rsidP="00CD6D3A">
      <w:pPr>
        <w:pStyle w:val="ae"/>
        <w:shd w:val="clear" w:color="auto" w:fill="FFFFFF"/>
        <w:spacing w:after="0" w:line="269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706ADF">
        <w:rPr>
          <w:rFonts w:ascii="Times New Roman" w:hAnsi="Times New Roman"/>
          <w:sz w:val="28"/>
          <w:szCs w:val="28"/>
        </w:rPr>
        <w:t>Проектом федерального закона «О федеральном бюджете на 2016 год» при его внесении в Государственную Думу Федерального Собрания Российской Федерации предусматривались дотации на поддержку мер по обеспечению сбалансированности в общем объеме 91</w:t>
      </w:r>
      <w:r w:rsidR="006B64C0">
        <w:rPr>
          <w:rFonts w:ascii="Times New Roman" w:hAnsi="Times New Roman"/>
          <w:sz w:val="28"/>
          <w:szCs w:val="28"/>
        </w:rPr>
        <w:t> </w:t>
      </w:r>
      <w:r w:rsidRPr="00706ADF">
        <w:rPr>
          <w:rFonts w:ascii="Times New Roman" w:hAnsi="Times New Roman"/>
          <w:sz w:val="28"/>
          <w:szCs w:val="28"/>
        </w:rPr>
        <w:t>549,0 млн. рублей в  целях компенсации выпадающих доходов по налогу на прибыль организаций в связи с изменением налогообложения нефтегазовой отрасли, а также на поддержку мер по обеспечению сбалансированности бюджетов</w:t>
      </w:r>
      <w:proofErr w:type="gramEnd"/>
      <w:r w:rsidRPr="00706ADF">
        <w:rPr>
          <w:rFonts w:ascii="Times New Roman" w:hAnsi="Times New Roman"/>
          <w:sz w:val="28"/>
          <w:szCs w:val="28"/>
        </w:rPr>
        <w:t xml:space="preserve"> Чеченской Республике, Республике Крым и городу федерального значения Севастополю.  </w:t>
      </w:r>
      <w:r w:rsidRPr="00706ADF">
        <w:rPr>
          <w:rFonts w:ascii="Times New Roman" w:hAnsi="Times New Roman"/>
          <w:sz w:val="28"/>
          <w:szCs w:val="28"/>
        </w:rPr>
        <w:lastRenderedPageBreak/>
        <w:t xml:space="preserve">Иные основания для предоставления дотаций  в материалах законопроекта не указывались. </w:t>
      </w:r>
      <w:proofErr w:type="gramStart"/>
      <w:r w:rsidRPr="00706ADF">
        <w:rPr>
          <w:rFonts w:ascii="Times New Roman" w:hAnsi="Times New Roman"/>
          <w:sz w:val="28"/>
          <w:szCs w:val="28"/>
        </w:rPr>
        <w:t>После рассмотрения проекта федерального закона в Государственной Думе и внесения в него поправок (включающих выделение  целевых статей по дотациям в целя</w:t>
      </w:r>
      <w:r w:rsidR="00AD05D3">
        <w:rPr>
          <w:rFonts w:ascii="Times New Roman" w:hAnsi="Times New Roman"/>
          <w:sz w:val="28"/>
          <w:szCs w:val="28"/>
        </w:rPr>
        <w:t>х</w:t>
      </w:r>
      <w:r w:rsidRPr="00706ADF">
        <w:rPr>
          <w:rFonts w:ascii="Times New Roman" w:hAnsi="Times New Roman"/>
          <w:sz w:val="28"/>
          <w:szCs w:val="28"/>
        </w:rPr>
        <w:t xml:space="preserve"> обеспечения сбалансированност</w:t>
      </w:r>
      <w:r w:rsidR="00AD05D3">
        <w:rPr>
          <w:rFonts w:ascii="Times New Roman" w:hAnsi="Times New Roman"/>
          <w:sz w:val="28"/>
          <w:szCs w:val="28"/>
        </w:rPr>
        <w:t>и</w:t>
      </w:r>
      <w:r w:rsidRPr="00706ADF">
        <w:rPr>
          <w:rFonts w:ascii="Times New Roman" w:hAnsi="Times New Roman"/>
          <w:sz w:val="28"/>
          <w:szCs w:val="28"/>
        </w:rPr>
        <w:t xml:space="preserve"> б</w:t>
      </w:r>
      <w:r>
        <w:rPr>
          <w:rFonts w:ascii="Times New Roman" w:hAnsi="Times New Roman"/>
          <w:sz w:val="28"/>
          <w:szCs w:val="28"/>
        </w:rPr>
        <w:t>юджет</w:t>
      </w:r>
      <w:r w:rsidR="00AD05D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Чеченской Республики (18 </w:t>
      </w:r>
      <w:r w:rsidRPr="00706ADF">
        <w:rPr>
          <w:rFonts w:ascii="Times New Roman" w:hAnsi="Times New Roman"/>
          <w:sz w:val="28"/>
          <w:szCs w:val="28"/>
        </w:rPr>
        <w:t>249,1 млн. рублей), Республики Крым (14</w:t>
      </w:r>
      <w:r>
        <w:rPr>
          <w:rFonts w:ascii="Times New Roman" w:hAnsi="Times New Roman"/>
          <w:sz w:val="28"/>
          <w:szCs w:val="28"/>
        </w:rPr>
        <w:t> 872,6 </w:t>
      </w:r>
      <w:r w:rsidRPr="00706ADF">
        <w:rPr>
          <w:rFonts w:ascii="Times New Roman" w:hAnsi="Times New Roman"/>
          <w:sz w:val="28"/>
          <w:szCs w:val="28"/>
        </w:rPr>
        <w:t>млн. рублей) и города федеральног</w:t>
      </w:r>
      <w:r>
        <w:rPr>
          <w:rFonts w:ascii="Times New Roman" w:hAnsi="Times New Roman"/>
          <w:sz w:val="28"/>
          <w:szCs w:val="28"/>
        </w:rPr>
        <w:t>о значения Севастопол</w:t>
      </w:r>
      <w:r w:rsidR="008617C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(4 867,5 </w:t>
      </w:r>
      <w:r w:rsidRPr="00706ADF">
        <w:rPr>
          <w:rFonts w:ascii="Times New Roman" w:hAnsi="Times New Roman"/>
          <w:sz w:val="28"/>
          <w:szCs w:val="28"/>
        </w:rPr>
        <w:t>млн. рублей) дотации на поддержку мер по обеспечению сбалансиров</w:t>
      </w:r>
      <w:r>
        <w:rPr>
          <w:rFonts w:ascii="Times New Roman" w:hAnsi="Times New Roman"/>
          <w:sz w:val="28"/>
          <w:szCs w:val="28"/>
        </w:rPr>
        <w:t>анности  бюджетов составляют 53 </w:t>
      </w:r>
      <w:r w:rsidRPr="00706ADF">
        <w:rPr>
          <w:rFonts w:ascii="Times New Roman" w:hAnsi="Times New Roman"/>
          <w:sz w:val="28"/>
          <w:szCs w:val="28"/>
        </w:rPr>
        <w:t>694,7 млн. рублей.</w:t>
      </w:r>
      <w:proofErr w:type="gramEnd"/>
    </w:p>
    <w:p w:rsidR="001162A0" w:rsidRDefault="00EB539B" w:rsidP="00CD6D3A">
      <w:pPr>
        <w:pStyle w:val="ae"/>
        <w:shd w:val="clear" w:color="auto" w:fill="FFFFFF"/>
        <w:spacing w:after="0" w:line="26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62A0">
        <w:rPr>
          <w:rFonts w:ascii="Times New Roman" w:hAnsi="Times New Roman"/>
          <w:b/>
          <w:sz w:val="28"/>
          <w:szCs w:val="28"/>
        </w:rPr>
        <w:t>2</w:t>
      </w:r>
      <w:r w:rsidR="001B486D" w:rsidRPr="001162A0">
        <w:rPr>
          <w:rFonts w:ascii="Times New Roman" w:hAnsi="Times New Roman"/>
          <w:b/>
          <w:sz w:val="28"/>
          <w:szCs w:val="28"/>
        </w:rPr>
        <w:t>.</w:t>
      </w:r>
      <w:r w:rsidR="00C34B1E">
        <w:rPr>
          <w:rFonts w:ascii="Times New Roman" w:hAnsi="Times New Roman"/>
          <w:b/>
          <w:sz w:val="28"/>
          <w:szCs w:val="28"/>
        </w:rPr>
        <w:t>6</w:t>
      </w:r>
      <w:r w:rsidR="001B486D" w:rsidRPr="001162A0">
        <w:rPr>
          <w:rFonts w:ascii="Times New Roman" w:hAnsi="Times New Roman"/>
          <w:b/>
          <w:sz w:val="28"/>
          <w:szCs w:val="28"/>
        </w:rPr>
        <w:t>.</w:t>
      </w:r>
      <w:r w:rsidR="001B486D" w:rsidRPr="001162A0">
        <w:rPr>
          <w:rFonts w:ascii="Times New Roman" w:hAnsi="Times New Roman"/>
          <w:sz w:val="28"/>
          <w:szCs w:val="28"/>
        </w:rPr>
        <w:t xml:space="preserve"> </w:t>
      </w:r>
      <w:r w:rsidR="00882E84" w:rsidRPr="001162A0">
        <w:rPr>
          <w:rFonts w:ascii="Times New Roman" w:hAnsi="Times New Roman"/>
          <w:sz w:val="28"/>
          <w:szCs w:val="28"/>
        </w:rPr>
        <w:t xml:space="preserve">Объем безвозмездных поступлений от бюджетов других уровней </w:t>
      </w:r>
      <w:r w:rsidR="008624CC" w:rsidRPr="001162A0">
        <w:rPr>
          <w:rFonts w:ascii="Times New Roman" w:hAnsi="Times New Roman"/>
          <w:sz w:val="28"/>
          <w:szCs w:val="28"/>
        </w:rPr>
        <w:t xml:space="preserve">в январе – </w:t>
      </w:r>
      <w:r w:rsidR="001162A0">
        <w:rPr>
          <w:rFonts w:ascii="Times New Roman" w:hAnsi="Times New Roman"/>
          <w:sz w:val="28"/>
          <w:szCs w:val="28"/>
        </w:rPr>
        <w:t>феврале</w:t>
      </w:r>
      <w:r w:rsidR="008624CC" w:rsidRPr="001162A0">
        <w:rPr>
          <w:rFonts w:ascii="Times New Roman" w:hAnsi="Times New Roman"/>
          <w:sz w:val="28"/>
          <w:szCs w:val="28"/>
        </w:rPr>
        <w:t xml:space="preserve"> 2015 года </w:t>
      </w:r>
      <w:r w:rsidR="00882E84" w:rsidRPr="001162A0">
        <w:rPr>
          <w:rFonts w:ascii="Times New Roman" w:hAnsi="Times New Roman"/>
          <w:sz w:val="28"/>
          <w:szCs w:val="28"/>
        </w:rPr>
        <w:t xml:space="preserve">по сравнению с </w:t>
      </w:r>
      <w:r w:rsidR="000A6BF3" w:rsidRPr="001162A0"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="00EC7C00" w:rsidRPr="001162A0">
        <w:rPr>
          <w:rFonts w:ascii="Times New Roman" w:hAnsi="Times New Roman"/>
          <w:sz w:val="28"/>
          <w:szCs w:val="28"/>
        </w:rPr>
        <w:t>201</w:t>
      </w:r>
      <w:r w:rsidR="000A6BF3" w:rsidRPr="001162A0">
        <w:rPr>
          <w:rFonts w:ascii="Times New Roman" w:hAnsi="Times New Roman"/>
          <w:sz w:val="28"/>
          <w:szCs w:val="28"/>
        </w:rPr>
        <w:t>5</w:t>
      </w:r>
      <w:r w:rsidR="00EC7C00" w:rsidRPr="001162A0">
        <w:rPr>
          <w:rFonts w:ascii="Times New Roman" w:hAnsi="Times New Roman"/>
          <w:sz w:val="28"/>
          <w:szCs w:val="28"/>
        </w:rPr>
        <w:t> </w:t>
      </w:r>
      <w:r w:rsidR="00A57786" w:rsidRPr="001162A0">
        <w:rPr>
          <w:rFonts w:ascii="Times New Roman" w:hAnsi="Times New Roman"/>
          <w:sz w:val="28"/>
          <w:szCs w:val="28"/>
        </w:rPr>
        <w:t>год</w:t>
      </w:r>
      <w:r w:rsidR="000A6BF3" w:rsidRPr="001162A0">
        <w:rPr>
          <w:rFonts w:ascii="Times New Roman" w:hAnsi="Times New Roman"/>
          <w:sz w:val="28"/>
          <w:szCs w:val="28"/>
        </w:rPr>
        <w:t>а</w:t>
      </w:r>
      <w:r w:rsidR="00A57786" w:rsidRPr="001162A0">
        <w:rPr>
          <w:rFonts w:ascii="Times New Roman" w:hAnsi="Times New Roman"/>
          <w:sz w:val="28"/>
          <w:szCs w:val="28"/>
        </w:rPr>
        <w:t xml:space="preserve"> </w:t>
      </w:r>
      <w:r w:rsidR="009770BD" w:rsidRPr="001162A0">
        <w:rPr>
          <w:rFonts w:ascii="Times New Roman" w:hAnsi="Times New Roman"/>
          <w:sz w:val="28"/>
          <w:szCs w:val="28"/>
        </w:rPr>
        <w:t xml:space="preserve">снизился </w:t>
      </w:r>
      <w:r w:rsidR="00882E84" w:rsidRPr="001162A0">
        <w:rPr>
          <w:rFonts w:ascii="Times New Roman" w:hAnsi="Times New Roman"/>
          <w:sz w:val="28"/>
          <w:szCs w:val="28"/>
        </w:rPr>
        <w:t xml:space="preserve">на </w:t>
      </w:r>
      <w:r w:rsidR="001162A0" w:rsidRPr="001162A0">
        <w:rPr>
          <w:rFonts w:ascii="Times New Roman" w:hAnsi="Times New Roman"/>
          <w:sz w:val="28"/>
          <w:szCs w:val="28"/>
        </w:rPr>
        <w:t>12,2</w:t>
      </w:r>
      <w:r w:rsidR="00253213" w:rsidRPr="001162A0">
        <w:rPr>
          <w:rFonts w:ascii="Times New Roman" w:hAnsi="Times New Roman"/>
          <w:sz w:val="28"/>
          <w:szCs w:val="28"/>
        </w:rPr>
        <w:t> </w:t>
      </w:r>
      <w:r w:rsidR="00882E84" w:rsidRPr="001162A0">
        <w:rPr>
          <w:rFonts w:ascii="Times New Roman" w:hAnsi="Times New Roman"/>
          <w:sz w:val="28"/>
          <w:szCs w:val="28"/>
        </w:rPr>
        <w:t xml:space="preserve">% и составил </w:t>
      </w:r>
      <w:r w:rsidR="001162A0" w:rsidRPr="001162A0">
        <w:rPr>
          <w:rFonts w:ascii="Times New Roman" w:hAnsi="Times New Roman"/>
          <w:sz w:val="28"/>
          <w:szCs w:val="28"/>
        </w:rPr>
        <w:t>189,0</w:t>
      </w:r>
      <w:r w:rsidR="00312137" w:rsidRPr="001162A0">
        <w:rPr>
          <w:rFonts w:ascii="Times New Roman" w:hAnsi="Times New Roman"/>
          <w:sz w:val="28"/>
          <w:szCs w:val="28"/>
        </w:rPr>
        <w:t xml:space="preserve"> </w:t>
      </w:r>
      <w:r w:rsidR="00882E84" w:rsidRPr="001162A0">
        <w:rPr>
          <w:rFonts w:ascii="Times New Roman" w:hAnsi="Times New Roman"/>
          <w:sz w:val="28"/>
          <w:szCs w:val="28"/>
        </w:rPr>
        <w:t xml:space="preserve">млрд. рублей. </w:t>
      </w:r>
      <w:r w:rsidR="002C53F0" w:rsidRPr="001162A0">
        <w:rPr>
          <w:rFonts w:ascii="Times New Roman" w:hAnsi="Times New Roman"/>
          <w:sz w:val="28"/>
          <w:szCs w:val="28"/>
        </w:rPr>
        <w:t>Их у</w:t>
      </w:r>
      <w:r w:rsidR="00882E84" w:rsidRPr="001162A0">
        <w:rPr>
          <w:rFonts w:ascii="Times New Roman" w:hAnsi="Times New Roman"/>
          <w:sz w:val="28"/>
          <w:szCs w:val="28"/>
        </w:rPr>
        <w:t xml:space="preserve">дельный вес в доходах консолидированных бюджетов субъектов Российской Федерации </w:t>
      </w:r>
      <w:r w:rsidR="001046B7" w:rsidRPr="001162A0">
        <w:rPr>
          <w:rFonts w:ascii="Times New Roman" w:hAnsi="Times New Roman"/>
          <w:sz w:val="28"/>
          <w:szCs w:val="28"/>
        </w:rPr>
        <w:t xml:space="preserve">также </w:t>
      </w:r>
      <w:r w:rsidR="00882E84" w:rsidRPr="001162A0">
        <w:rPr>
          <w:rFonts w:ascii="Times New Roman" w:hAnsi="Times New Roman"/>
          <w:sz w:val="28"/>
          <w:szCs w:val="28"/>
        </w:rPr>
        <w:t>с</w:t>
      </w:r>
      <w:r w:rsidR="00105361" w:rsidRPr="001162A0">
        <w:rPr>
          <w:rFonts w:ascii="Times New Roman" w:hAnsi="Times New Roman"/>
          <w:sz w:val="28"/>
          <w:szCs w:val="28"/>
        </w:rPr>
        <w:t>низи</w:t>
      </w:r>
      <w:r w:rsidR="00882E84" w:rsidRPr="001162A0">
        <w:rPr>
          <w:rFonts w:ascii="Times New Roman" w:hAnsi="Times New Roman"/>
          <w:sz w:val="28"/>
          <w:szCs w:val="28"/>
        </w:rPr>
        <w:t xml:space="preserve">лся на </w:t>
      </w:r>
      <w:r w:rsidR="001162A0" w:rsidRPr="001162A0">
        <w:rPr>
          <w:rFonts w:ascii="Times New Roman" w:hAnsi="Times New Roman"/>
          <w:sz w:val="28"/>
          <w:szCs w:val="28"/>
        </w:rPr>
        <w:t>5,3</w:t>
      </w:r>
      <w:r w:rsidR="00164056" w:rsidRPr="001162A0">
        <w:rPr>
          <w:rFonts w:ascii="Times New Roman" w:hAnsi="Times New Roman"/>
          <w:sz w:val="28"/>
          <w:szCs w:val="28"/>
        </w:rPr>
        <w:t xml:space="preserve"> </w:t>
      </w:r>
      <w:r w:rsidR="001162A0" w:rsidRPr="001162A0">
        <w:rPr>
          <w:rFonts w:ascii="Times New Roman" w:hAnsi="Times New Roman"/>
          <w:sz w:val="28"/>
          <w:szCs w:val="28"/>
        </w:rPr>
        <w:t>процентного пункта</w:t>
      </w:r>
      <w:r w:rsidR="00882E84" w:rsidRPr="001162A0">
        <w:rPr>
          <w:rFonts w:ascii="Times New Roman" w:hAnsi="Times New Roman"/>
          <w:sz w:val="28"/>
          <w:szCs w:val="28"/>
        </w:rPr>
        <w:t xml:space="preserve"> и составил </w:t>
      </w:r>
      <w:r w:rsidR="00EB06AF" w:rsidRPr="001162A0">
        <w:rPr>
          <w:rFonts w:ascii="Times New Roman" w:hAnsi="Times New Roman"/>
          <w:sz w:val="28"/>
          <w:szCs w:val="28"/>
        </w:rPr>
        <w:t>17,</w:t>
      </w:r>
      <w:r w:rsidR="002C53F0" w:rsidRPr="001162A0">
        <w:rPr>
          <w:rFonts w:ascii="Times New Roman" w:hAnsi="Times New Roman"/>
          <w:sz w:val="28"/>
          <w:szCs w:val="28"/>
        </w:rPr>
        <w:t>4</w:t>
      </w:r>
      <w:r w:rsidR="00E54EBC" w:rsidRPr="001162A0">
        <w:rPr>
          <w:rFonts w:ascii="Times New Roman" w:hAnsi="Times New Roman"/>
          <w:sz w:val="28"/>
          <w:szCs w:val="28"/>
        </w:rPr>
        <w:t> %.</w:t>
      </w:r>
      <w:r w:rsidR="00F717F1" w:rsidRPr="001162A0">
        <w:rPr>
          <w:rFonts w:ascii="Times New Roman" w:hAnsi="Times New Roman"/>
          <w:sz w:val="28"/>
          <w:szCs w:val="28"/>
        </w:rPr>
        <w:t xml:space="preserve"> </w:t>
      </w:r>
    </w:p>
    <w:p w:rsidR="00F21F8D" w:rsidRPr="00E6050D" w:rsidRDefault="001046B7" w:rsidP="00CD6D3A">
      <w:pPr>
        <w:pStyle w:val="ae"/>
        <w:shd w:val="clear" w:color="auto" w:fill="FFFFFF"/>
        <w:spacing w:after="0" w:line="26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400C">
        <w:rPr>
          <w:rFonts w:ascii="Times New Roman" w:hAnsi="Times New Roman"/>
          <w:sz w:val="28"/>
          <w:szCs w:val="28"/>
        </w:rPr>
        <w:t>Необходимо отметить, что объем безвозмездных поступлений в консолидированные бюджеты субъектов Российской Федерации ежегодно сокращается. Так</w:t>
      </w:r>
      <w:r w:rsidR="00E86D55">
        <w:rPr>
          <w:rFonts w:ascii="Times New Roman" w:hAnsi="Times New Roman"/>
          <w:sz w:val="28"/>
          <w:szCs w:val="28"/>
        </w:rPr>
        <w:t>,</w:t>
      </w:r>
      <w:r w:rsidRPr="00E2400C">
        <w:rPr>
          <w:rFonts w:ascii="Times New Roman" w:hAnsi="Times New Roman"/>
          <w:sz w:val="28"/>
          <w:szCs w:val="28"/>
        </w:rPr>
        <w:t xml:space="preserve"> в 201</w:t>
      </w:r>
      <w:r w:rsidR="00E6050D">
        <w:rPr>
          <w:rFonts w:ascii="Times New Roman" w:hAnsi="Times New Roman"/>
          <w:sz w:val="28"/>
          <w:szCs w:val="28"/>
        </w:rPr>
        <w:t>1</w:t>
      </w:r>
      <w:r w:rsidRPr="00E2400C">
        <w:rPr>
          <w:rFonts w:ascii="Times New Roman" w:hAnsi="Times New Roman"/>
          <w:sz w:val="28"/>
          <w:szCs w:val="28"/>
        </w:rPr>
        <w:t xml:space="preserve"> году удельный вес безвозмездных поступлений от бюджетов других уровней в доходах консолидированных бюджетов субъектов Российской Федерации составлял </w:t>
      </w:r>
      <w:r w:rsidR="008A07B3" w:rsidRPr="00E2400C">
        <w:rPr>
          <w:rFonts w:ascii="Times New Roman" w:hAnsi="Times New Roman"/>
          <w:sz w:val="28"/>
          <w:szCs w:val="28"/>
        </w:rPr>
        <w:t>21,5 %, в 2012 году – 20,1 </w:t>
      </w:r>
      <w:r w:rsidR="002C53F0" w:rsidRPr="00E2400C">
        <w:rPr>
          <w:rFonts w:ascii="Times New Roman" w:hAnsi="Times New Roman"/>
          <w:sz w:val="28"/>
          <w:szCs w:val="28"/>
        </w:rPr>
        <w:t>%, в 2013 году – 18,6 %, в 2014 </w:t>
      </w:r>
      <w:r w:rsidR="008A07B3" w:rsidRPr="00E2400C">
        <w:rPr>
          <w:rFonts w:ascii="Times New Roman" w:hAnsi="Times New Roman"/>
          <w:sz w:val="28"/>
          <w:szCs w:val="28"/>
        </w:rPr>
        <w:t xml:space="preserve">году </w:t>
      </w:r>
      <w:r w:rsidR="005F3EE5" w:rsidRPr="00E2400C">
        <w:rPr>
          <w:rFonts w:ascii="Times New Roman" w:hAnsi="Times New Roman"/>
          <w:sz w:val="28"/>
          <w:szCs w:val="28"/>
        </w:rPr>
        <w:t xml:space="preserve">– </w:t>
      </w:r>
      <w:r w:rsidR="008A07B3" w:rsidRPr="00E6050D">
        <w:rPr>
          <w:rFonts w:ascii="Times New Roman" w:hAnsi="Times New Roman"/>
          <w:sz w:val="28"/>
          <w:szCs w:val="28"/>
        </w:rPr>
        <w:t>18,8 %</w:t>
      </w:r>
      <w:r w:rsidR="00E2400C" w:rsidRPr="00E6050D">
        <w:rPr>
          <w:rFonts w:ascii="Times New Roman" w:hAnsi="Times New Roman"/>
          <w:sz w:val="28"/>
          <w:szCs w:val="28"/>
        </w:rPr>
        <w:t>, в 2015 году – 17,4 %</w:t>
      </w:r>
      <w:r w:rsidR="008A07B3" w:rsidRPr="00E6050D">
        <w:rPr>
          <w:rFonts w:ascii="Times New Roman" w:hAnsi="Times New Roman"/>
          <w:sz w:val="28"/>
          <w:szCs w:val="28"/>
        </w:rPr>
        <w:t>.</w:t>
      </w:r>
    </w:p>
    <w:p w:rsidR="0039090B" w:rsidRPr="008E4228" w:rsidRDefault="001162A0" w:rsidP="00CD6D3A">
      <w:pPr>
        <w:pStyle w:val="ae"/>
        <w:spacing w:after="0" w:line="269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50D">
        <w:rPr>
          <w:rFonts w:ascii="Times New Roman" w:hAnsi="Times New Roman"/>
          <w:sz w:val="28"/>
          <w:szCs w:val="28"/>
        </w:rPr>
        <w:t>В отчетном периоде</w:t>
      </w:r>
      <w:r w:rsidR="00A3598D" w:rsidRPr="00E6050D">
        <w:rPr>
          <w:rFonts w:ascii="Times New Roman" w:hAnsi="Times New Roman"/>
          <w:sz w:val="28"/>
          <w:szCs w:val="28"/>
        </w:rPr>
        <w:t xml:space="preserve"> </w:t>
      </w:r>
      <w:r w:rsidR="00DC685E" w:rsidRPr="00E6050D">
        <w:rPr>
          <w:rFonts w:ascii="Times New Roman" w:hAnsi="Times New Roman"/>
          <w:sz w:val="28"/>
          <w:szCs w:val="28"/>
        </w:rPr>
        <w:t>межбюджетны</w:t>
      </w:r>
      <w:r w:rsidR="00B41009">
        <w:rPr>
          <w:rFonts w:ascii="Times New Roman" w:hAnsi="Times New Roman"/>
          <w:sz w:val="28"/>
          <w:szCs w:val="28"/>
        </w:rPr>
        <w:t>е</w:t>
      </w:r>
      <w:r w:rsidR="00DC685E" w:rsidRPr="00E6050D">
        <w:rPr>
          <w:rFonts w:ascii="Times New Roman" w:hAnsi="Times New Roman"/>
          <w:sz w:val="28"/>
          <w:szCs w:val="28"/>
        </w:rPr>
        <w:t xml:space="preserve"> трансферт</w:t>
      </w:r>
      <w:r w:rsidR="00B41009">
        <w:rPr>
          <w:rFonts w:ascii="Times New Roman" w:hAnsi="Times New Roman"/>
          <w:sz w:val="28"/>
          <w:szCs w:val="28"/>
        </w:rPr>
        <w:t>ы</w:t>
      </w:r>
      <w:r w:rsidR="000D2C10" w:rsidRPr="00E6050D">
        <w:rPr>
          <w:rFonts w:ascii="Times New Roman" w:hAnsi="Times New Roman"/>
          <w:sz w:val="28"/>
          <w:szCs w:val="28"/>
        </w:rPr>
        <w:t xml:space="preserve"> бюджетам субъектов Российской Федерации из федерального бюджета</w:t>
      </w:r>
      <w:r w:rsidR="00DC685E" w:rsidRPr="00E6050D">
        <w:rPr>
          <w:rFonts w:ascii="Times New Roman" w:hAnsi="Times New Roman"/>
          <w:sz w:val="28"/>
          <w:szCs w:val="28"/>
        </w:rPr>
        <w:t xml:space="preserve"> </w:t>
      </w:r>
      <w:r w:rsidR="000D2C10" w:rsidRPr="00E6050D">
        <w:rPr>
          <w:rFonts w:ascii="Times New Roman" w:hAnsi="Times New Roman"/>
          <w:sz w:val="28"/>
          <w:szCs w:val="28"/>
        </w:rPr>
        <w:t>Федера</w:t>
      </w:r>
      <w:r w:rsidR="00253213" w:rsidRPr="00E6050D">
        <w:rPr>
          <w:rFonts w:ascii="Times New Roman" w:hAnsi="Times New Roman"/>
          <w:sz w:val="28"/>
          <w:szCs w:val="28"/>
        </w:rPr>
        <w:t>льным законом от 1</w:t>
      </w:r>
      <w:r w:rsidR="00E6050D" w:rsidRPr="00E6050D">
        <w:rPr>
          <w:rFonts w:ascii="Times New Roman" w:hAnsi="Times New Roman"/>
          <w:sz w:val="28"/>
          <w:szCs w:val="28"/>
        </w:rPr>
        <w:t>4</w:t>
      </w:r>
      <w:r w:rsidR="00E86D55">
        <w:rPr>
          <w:rFonts w:ascii="Times New Roman" w:hAnsi="Times New Roman"/>
          <w:sz w:val="28"/>
          <w:szCs w:val="28"/>
        </w:rPr>
        <w:t> </w:t>
      </w:r>
      <w:r w:rsidR="00253213" w:rsidRPr="00E6050D">
        <w:rPr>
          <w:rFonts w:ascii="Times New Roman" w:hAnsi="Times New Roman"/>
          <w:sz w:val="28"/>
          <w:szCs w:val="28"/>
        </w:rPr>
        <w:t>декабря 201</w:t>
      </w:r>
      <w:r w:rsidR="00E6050D" w:rsidRPr="00E6050D">
        <w:rPr>
          <w:rFonts w:ascii="Times New Roman" w:hAnsi="Times New Roman"/>
          <w:sz w:val="28"/>
          <w:szCs w:val="28"/>
        </w:rPr>
        <w:t>5</w:t>
      </w:r>
      <w:r w:rsidR="00253213" w:rsidRPr="00E6050D">
        <w:rPr>
          <w:rFonts w:ascii="Times New Roman" w:hAnsi="Times New Roman"/>
          <w:sz w:val="28"/>
          <w:szCs w:val="28"/>
        </w:rPr>
        <w:t> </w:t>
      </w:r>
      <w:r w:rsidR="000D2C10" w:rsidRPr="00E6050D">
        <w:rPr>
          <w:rFonts w:ascii="Times New Roman" w:hAnsi="Times New Roman"/>
          <w:sz w:val="28"/>
          <w:szCs w:val="28"/>
        </w:rPr>
        <w:t xml:space="preserve">г. </w:t>
      </w:r>
      <w:r w:rsidR="000D2C10" w:rsidRPr="008E4228">
        <w:rPr>
          <w:rFonts w:ascii="Times New Roman" w:hAnsi="Times New Roman"/>
          <w:sz w:val="28"/>
          <w:szCs w:val="28"/>
        </w:rPr>
        <w:t>№ 3</w:t>
      </w:r>
      <w:r w:rsidR="00E2400C" w:rsidRPr="008E4228">
        <w:rPr>
          <w:rFonts w:ascii="Times New Roman" w:hAnsi="Times New Roman"/>
          <w:sz w:val="28"/>
          <w:szCs w:val="28"/>
        </w:rPr>
        <w:t>59</w:t>
      </w:r>
      <w:r w:rsidR="000D2C10" w:rsidRPr="008E4228">
        <w:rPr>
          <w:rFonts w:ascii="Times New Roman" w:hAnsi="Times New Roman"/>
          <w:sz w:val="28"/>
          <w:szCs w:val="28"/>
        </w:rPr>
        <w:t xml:space="preserve">-ФЗ </w:t>
      </w:r>
      <w:r w:rsidR="000D2C10" w:rsidRPr="008E4228">
        <w:rPr>
          <w:rFonts w:ascii="Times New Roman" w:hAnsi="Times New Roman"/>
          <w:iCs/>
          <w:sz w:val="28"/>
          <w:szCs w:val="28"/>
        </w:rPr>
        <w:t>«О федеральном бюджете на 201</w:t>
      </w:r>
      <w:r w:rsidR="00E6050D" w:rsidRPr="008E4228">
        <w:rPr>
          <w:rFonts w:ascii="Times New Roman" w:hAnsi="Times New Roman"/>
          <w:iCs/>
          <w:sz w:val="28"/>
          <w:szCs w:val="28"/>
        </w:rPr>
        <w:t>6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 год»</w:t>
      </w:r>
      <w:r w:rsidR="00443283" w:rsidRPr="008E4228">
        <w:rPr>
          <w:rFonts w:ascii="Times New Roman" w:hAnsi="Times New Roman"/>
          <w:iCs/>
          <w:sz w:val="28"/>
          <w:szCs w:val="28"/>
        </w:rPr>
        <w:t xml:space="preserve"> (далее – Федеральный закон № 359-ФЗ)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 запланирован</w:t>
      </w:r>
      <w:r w:rsidR="00B41009" w:rsidRPr="008E4228">
        <w:rPr>
          <w:rFonts w:ascii="Times New Roman" w:hAnsi="Times New Roman"/>
          <w:iCs/>
          <w:sz w:val="28"/>
          <w:szCs w:val="28"/>
        </w:rPr>
        <w:t>ы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 в </w:t>
      </w:r>
      <w:r w:rsidR="00B41009" w:rsidRPr="008E4228">
        <w:rPr>
          <w:rFonts w:ascii="Times New Roman" w:hAnsi="Times New Roman"/>
          <w:iCs/>
          <w:sz w:val="28"/>
          <w:szCs w:val="28"/>
        </w:rPr>
        <w:t>сумме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 1</w:t>
      </w:r>
      <w:r w:rsidR="00E6050D" w:rsidRPr="008E4228">
        <w:rPr>
          <w:rFonts w:ascii="Times New Roman" w:hAnsi="Times New Roman"/>
          <w:iCs/>
          <w:sz w:val="28"/>
          <w:szCs w:val="28"/>
        </w:rPr>
        <w:t> 610,9</w:t>
      </w:r>
      <w:r w:rsidR="00A041E3" w:rsidRPr="008E4228">
        <w:rPr>
          <w:rFonts w:ascii="Times New Roman" w:hAnsi="Times New Roman"/>
          <w:iCs/>
          <w:sz w:val="28"/>
          <w:szCs w:val="28"/>
        </w:rPr>
        <w:t xml:space="preserve"> 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млрд. рублей. Сводной бюджетной </w:t>
      </w:r>
      <w:proofErr w:type="gramStart"/>
      <w:r w:rsidR="000D2C10" w:rsidRPr="008E4228">
        <w:rPr>
          <w:rFonts w:ascii="Times New Roman" w:hAnsi="Times New Roman"/>
          <w:iCs/>
          <w:sz w:val="28"/>
          <w:szCs w:val="28"/>
        </w:rPr>
        <w:t>росписью</w:t>
      </w:r>
      <w:proofErr w:type="gramEnd"/>
      <w:r w:rsidR="000D2C10" w:rsidRPr="008E4228">
        <w:rPr>
          <w:rFonts w:ascii="Times New Roman" w:hAnsi="Times New Roman"/>
          <w:iCs/>
          <w:sz w:val="28"/>
          <w:szCs w:val="28"/>
        </w:rPr>
        <w:t xml:space="preserve"> данный объем увеличен на </w:t>
      </w:r>
      <w:r w:rsidR="00E6050D" w:rsidRPr="008E4228">
        <w:rPr>
          <w:rFonts w:ascii="Times New Roman" w:hAnsi="Times New Roman"/>
          <w:iCs/>
          <w:sz w:val="28"/>
          <w:szCs w:val="28"/>
        </w:rPr>
        <w:t>2,</w:t>
      </w:r>
      <w:r w:rsidR="00A75EA6" w:rsidRPr="008E4228">
        <w:rPr>
          <w:rFonts w:ascii="Times New Roman" w:hAnsi="Times New Roman"/>
          <w:iCs/>
          <w:sz w:val="28"/>
          <w:szCs w:val="28"/>
        </w:rPr>
        <w:t>1</w:t>
      </w:r>
      <w:r w:rsidR="000D2C10" w:rsidRPr="008E4228">
        <w:rPr>
          <w:rFonts w:ascii="Times New Roman" w:hAnsi="Times New Roman"/>
          <w:iCs/>
          <w:sz w:val="28"/>
          <w:szCs w:val="28"/>
        </w:rPr>
        <w:t> % и составил 1</w:t>
      </w:r>
      <w:r w:rsidR="00E6050D" w:rsidRPr="008E4228">
        <w:rPr>
          <w:rFonts w:ascii="Times New Roman" w:hAnsi="Times New Roman"/>
          <w:iCs/>
          <w:sz w:val="28"/>
          <w:szCs w:val="28"/>
        </w:rPr>
        <w:t> </w:t>
      </w:r>
      <w:r w:rsidR="00A041E3" w:rsidRPr="008E4228">
        <w:rPr>
          <w:rFonts w:ascii="Times New Roman" w:hAnsi="Times New Roman"/>
          <w:iCs/>
          <w:sz w:val="28"/>
          <w:szCs w:val="28"/>
        </w:rPr>
        <w:t>6</w:t>
      </w:r>
      <w:r w:rsidR="00E6050D" w:rsidRPr="008E4228">
        <w:rPr>
          <w:rFonts w:ascii="Times New Roman" w:hAnsi="Times New Roman"/>
          <w:iCs/>
          <w:sz w:val="28"/>
          <w:szCs w:val="28"/>
        </w:rPr>
        <w:t>45,2</w:t>
      </w:r>
      <w:r w:rsidR="000D2C10" w:rsidRPr="008E4228">
        <w:rPr>
          <w:rFonts w:ascii="Times New Roman" w:hAnsi="Times New Roman"/>
          <w:iCs/>
          <w:sz w:val="28"/>
          <w:szCs w:val="28"/>
        </w:rPr>
        <w:t xml:space="preserve"> млрд. рублей.</w:t>
      </w:r>
      <w:r w:rsidR="00E2400C" w:rsidRPr="008E4228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="000D2C10" w:rsidRPr="008E4228">
        <w:rPr>
          <w:rFonts w:ascii="Times New Roman" w:hAnsi="Times New Roman"/>
          <w:sz w:val="28"/>
          <w:szCs w:val="28"/>
        </w:rPr>
        <w:t xml:space="preserve">По состоянию на 1 </w:t>
      </w:r>
      <w:r w:rsidR="00E2400C" w:rsidRPr="008E4228">
        <w:rPr>
          <w:rFonts w:ascii="Times New Roman" w:hAnsi="Times New Roman"/>
          <w:sz w:val="28"/>
          <w:szCs w:val="28"/>
        </w:rPr>
        <w:t>марта</w:t>
      </w:r>
      <w:r w:rsidR="000D2C10" w:rsidRPr="008E4228">
        <w:rPr>
          <w:rFonts w:ascii="Times New Roman" w:hAnsi="Times New Roman"/>
          <w:sz w:val="28"/>
          <w:szCs w:val="28"/>
        </w:rPr>
        <w:t xml:space="preserve"> 201</w:t>
      </w:r>
      <w:r w:rsidR="008A07B3" w:rsidRPr="008E4228">
        <w:rPr>
          <w:rFonts w:ascii="Times New Roman" w:hAnsi="Times New Roman"/>
          <w:sz w:val="28"/>
          <w:szCs w:val="28"/>
        </w:rPr>
        <w:t>6</w:t>
      </w:r>
      <w:r w:rsidR="000D2C10" w:rsidRPr="008E4228">
        <w:rPr>
          <w:rFonts w:ascii="Times New Roman" w:hAnsi="Times New Roman"/>
          <w:sz w:val="28"/>
          <w:szCs w:val="28"/>
        </w:rPr>
        <w:t xml:space="preserve"> года </w:t>
      </w:r>
      <w:r w:rsidR="00DC685E" w:rsidRPr="008E4228">
        <w:rPr>
          <w:rFonts w:ascii="Times New Roman" w:hAnsi="Times New Roman"/>
          <w:sz w:val="28"/>
          <w:szCs w:val="28"/>
        </w:rPr>
        <w:t xml:space="preserve">бюджетам субъектов Российской Федерации и муниципальных образований </w:t>
      </w:r>
      <w:r w:rsidR="0039090B" w:rsidRPr="008E4228">
        <w:rPr>
          <w:rFonts w:ascii="Times New Roman" w:hAnsi="Times New Roman"/>
          <w:sz w:val="28"/>
          <w:szCs w:val="28"/>
        </w:rPr>
        <w:t>межбюджетные трансферты из федерального бюджета  предоставлены в объеме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E6050D" w:rsidRPr="008E4228">
        <w:rPr>
          <w:rFonts w:ascii="Times New Roman" w:hAnsi="Times New Roman"/>
          <w:sz w:val="28"/>
          <w:szCs w:val="28"/>
        </w:rPr>
        <w:t>189,0</w:t>
      </w:r>
      <w:r w:rsidR="007708D7" w:rsidRPr="008E4228">
        <w:rPr>
          <w:rFonts w:ascii="Times New Roman" w:hAnsi="Times New Roman"/>
          <w:sz w:val="28"/>
          <w:szCs w:val="28"/>
        </w:rPr>
        <w:t> </w:t>
      </w:r>
      <w:r w:rsidR="00DC685E" w:rsidRPr="008E4228">
        <w:rPr>
          <w:rFonts w:ascii="Times New Roman" w:hAnsi="Times New Roman"/>
          <w:sz w:val="28"/>
          <w:szCs w:val="28"/>
        </w:rPr>
        <w:t>млрд. рублей</w:t>
      </w:r>
      <w:r w:rsidR="003003DD" w:rsidRPr="008E4228">
        <w:rPr>
          <w:rFonts w:ascii="Times New Roman" w:hAnsi="Times New Roman"/>
          <w:sz w:val="28"/>
          <w:szCs w:val="28"/>
        </w:rPr>
        <w:t xml:space="preserve"> (</w:t>
      </w:r>
      <w:r w:rsidR="00E6050D" w:rsidRPr="008E4228">
        <w:rPr>
          <w:rFonts w:ascii="Times New Roman" w:hAnsi="Times New Roman"/>
          <w:sz w:val="28"/>
          <w:szCs w:val="28"/>
        </w:rPr>
        <w:t>11,5</w:t>
      </w:r>
      <w:r w:rsidR="003003DD" w:rsidRPr="008E4228">
        <w:rPr>
          <w:rFonts w:ascii="Times New Roman" w:hAnsi="Times New Roman"/>
          <w:sz w:val="28"/>
          <w:szCs w:val="28"/>
        </w:rPr>
        <w:t> % объема</w:t>
      </w:r>
      <w:r w:rsidR="0039090B" w:rsidRPr="008E4228">
        <w:rPr>
          <w:rFonts w:ascii="Times New Roman" w:hAnsi="Times New Roman"/>
          <w:sz w:val="28"/>
          <w:szCs w:val="28"/>
        </w:rPr>
        <w:t xml:space="preserve"> </w:t>
      </w:r>
      <w:r w:rsidR="003003DD" w:rsidRPr="008E4228">
        <w:rPr>
          <w:rFonts w:ascii="Times New Roman" w:hAnsi="Times New Roman"/>
          <w:iCs/>
          <w:sz w:val="28"/>
          <w:szCs w:val="28"/>
        </w:rPr>
        <w:t>сводной бюджетной росписи</w:t>
      </w:r>
      <w:r w:rsidR="0039090B" w:rsidRPr="008E4228">
        <w:rPr>
          <w:rFonts w:ascii="Times New Roman" w:hAnsi="Times New Roman"/>
          <w:sz w:val="28"/>
          <w:szCs w:val="28"/>
        </w:rPr>
        <w:t>)</w:t>
      </w:r>
      <w:r w:rsidR="00DC685E" w:rsidRPr="008E4228">
        <w:rPr>
          <w:rFonts w:ascii="Times New Roman" w:hAnsi="Times New Roman"/>
          <w:sz w:val="28"/>
          <w:szCs w:val="28"/>
        </w:rPr>
        <w:t>, в том числе дотаци</w:t>
      </w:r>
      <w:r w:rsidR="00724AE1" w:rsidRPr="008E4228">
        <w:rPr>
          <w:rFonts w:ascii="Times New Roman" w:hAnsi="Times New Roman"/>
          <w:sz w:val="28"/>
          <w:szCs w:val="28"/>
        </w:rPr>
        <w:t>и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253213" w:rsidRPr="008E4228">
        <w:rPr>
          <w:rFonts w:ascii="Times New Roman" w:hAnsi="Times New Roman"/>
          <w:sz w:val="28"/>
          <w:szCs w:val="28"/>
        </w:rPr>
        <w:t xml:space="preserve">– </w:t>
      </w:r>
      <w:r w:rsidR="00E6050D" w:rsidRPr="008E4228">
        <w:rPr>
          <w:rFonts w:ascii="Times New Roman" w:hAnsi="Times New Roman"/>
          <w:sz w:val="28"/>
          <w:szCs w:val="28"/>
        </w:rPr>
        <w:t>137,6</w:t>
      </w:r>
      <w:r w:rsidR="00DC685E" w:rsidRPr="008E4228">
        <w:rPr>
          <w:rFonts w:ascii="Times New Roman" w:hAnsi="Times New Roman"/>
          <w:sz w:val="28"/>
          <w:szCs w:val="28"/>
        </w:rPr>
        <w:t xml:space="preserve"> млрд. рублей</w:t>
      </w:r>
      <w:r w:rsidR="003003DD" w:rsidRPr="008E4228">
        <w:rPr>
          <w:rFonts w:ascii="Times New Roman" w:hAnsi="Times New Roman"/>
          <w:sz w:val="28"/>
          <w:szCs w:val="28"/>
        </w:rPr>
        <w:t xml:space="preserve"> (</w:t>
      </w:r>
      <w:r w:rsidR="00E6050D" w:rsidRPr="008E4228">
        <w:rPr>
          <w:rFonts w:ascii="Times New Roman" w:hAnsi="Times New Roman"/>
          <w:sz w:val="28"/>
          <w:szCs w:val="28"/>
        </w:rPr>
        <w:t>21,1</w:t>
      </w:r>
      <w:r w:rsidR="003003DD" w:rsidRPr="008E4228">
        <w:rPr>
          <w:rFonts w:ascii="Times New Roman" w:hAnsi="Times New Roman"/>
          <w:sz w:val="28"/>
          <w:szCs w:val="28"/>
        </w:rPr>
        <w:t> %)</w:t>
      </w:r>
      <w:r w:rsidR="00DC685E" w:rsidRPr="008E4228">
        <w:rPr>
          <w:rFonts w:ascii="Times New Roman" w:hAnsi="Times New Roman"/>
          <w:sz w:val="28"/>
          <w:szCs w:val="28"/>
        </w:rPr>
        <w:t>, субсиди</w:t>
      </w:r>
      <w:r w:rsidR="00724AE1" w:rsidRPr="008E4228">
        <w:rPr>
          <w:rFonts w:ascii="Times New Roman" w:hAnsi="Times New Roman"/>
          <w:sz w:val="28"/>
          <w:szCs w:val="28"/>
        </w:rPr>
        <w:t>и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7708D7" w:rsidRPr="008E4228">
        <w:rPr>
          <w:rFonts w:ascii="Times New Roman" w:hAnsi="Times New Roman"/>
          <w:sz w:val="28"/>
          <w:szCs w:val="28"/>
        </w:rPr>
        <w:t>–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E6050D" w:rsidRPr="008E4228">
        <w:rPr>
          <w:rFonts w:ascii="Times New Roman" w:hAnsi="Times New Roman"/>
          <w:sz w:val="28"/>
          <w:szCs w:val="28"/>
        </w:rPr>
        <w:t>2,4</w:t>
      </w:r>
      <w:r w:rsidR="007708D7" w:rsidRPr="008E4228">
        <w:rPr>
          <w:rFonts w:ascii="Times New Roman" w:hAnsi="Times New Roman"/>
          <w:sz w:val="28"/>
          <w:szCs w:val="28"/>
        </w:rPr>
        <w:t> </w:t>
      </w:r>
      <w:r w:rsidR="00DC685E" w:rsidRPr="008E4228">
        <w:rPr>
          <w:rFonts w:ascii="Times New Roman" w:hAnsi="Times New Roman"/>
          <w:sz w:val="28"/>
          <w:szCs w:val="28"/>
        </w:rPr>
        <w:t>млрд. рублей</w:t>
      </w:r>
      <w:r w:rsidR="003003DD" w:rsidRPr="008E4228">
        <w:rPr>
          <w:rFonts w:ascii="Times New Roman" w:hAnsi="Times New Roman"/>
          <w:sz w:val="28"/>
          <w:szCs w:val="28"/>
        </w:rPr>
        <w:t xml:space="preserve"> (</w:t>
      </w:r>
      <w:r w:rsidR="00E6050D" w:rsidRPr="008E4228">
        <w:rPr>
          <w:rFonts w:ascii="Times New Roman" w:hAnsi="Times New Roman"/>
          <w:sz w:val="28"/>
          <w:szCs w:val="28"/>
        </w:rPr>
        <w:t>0,6</w:t>
      </w:r>
      <w:r w:rsidR="003003DD" w:rsidRPr="008E4228">
        <w:rPr>
          <w:rFonts w:ascii="Times New Roman" w:hAnsi="Times New Roman"/>
          <w:sz w:val="28"/>
          <w:szCs w:val="28"/>
        </w:rPr>
        <w:t> %)</w:t>
      </w:r>
      <w:r w:rsidR="00DC685E" w:rsidRPr="008E4228">
        <w:rPr>
          <w:rFonts w:ascii="Times New Roman" w:hAnsi="Times New Roman"/>
          <w:sz w:val="28"/>
          <w:szCs w:val="28"/>
        </w:rPr>
        <w:t>, субвенци</w:t>
      </w:r>
      <w:r w:rsidR="00724AE1" w:rsidRPr="008E4228">
        <w:rPr>
          <w:rFonts w:ascii="Times New Roman" w:hAnsi="Times New Roman"/>
          <w:sz w:val="28"/>
          <w:szCs w:val="28"/>
        </w:rPr>
        <w:t>и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7708D7" w:rsidRPr="008E4228">
        <w:rPr>
          <w:rFonts w:ascii="Times New Roman" w:hAnsi="Times New Roman"/>
          <w:sz w:val="28"/>
          <w:szCs w:val="28"/>
        </w:rPr>
        <w:t>–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E6050D" w:rsidRPr="008E4228">
        <w:rPr>
          <w:rFonts w:ascii="Times New Roman" w:hAnsi="Times New Roman"/>
          <w:sz w:val="28"/>
          <w:szCs w:val="28"/>
        </w:rPr>
        <w:t>46,6</w:t>
      </w:r>
      <w:r w:rsidR="00336CF1" w:rsidRPr="008E4228">
        <w:rPr>
          <w:rFonts w:ascii="Times New Roman" w:hAnsi="Times New Roman"/>
          <w:sz w:val="28"/>
          <w:szCs w:val="28"/>
        </w:rPr>
        <w:t> </w:t>
      </w:r>
      <w:r w:rsidR="00DC685E" w:rsidRPr="008E4228">
        <w:rPr>
          <w:rFonts w:ascii="Times New Roman" w:hAnsi="Times New Roman"/>
          <w:sz w:val="28"/>
          <w:szCs w:val="28"/>
        </w:rPr>
        <w:t>млрд. рублей</w:t>
      </w:r>
      <w:r w:rsidR="003003DD" w:rsidRPr="008E4228">
        <w:rPr>
          <w:rFonts w:ascii="Times New Roman" w:hAnsi="Times New Roman"/>
          <w:sz w:val="28"/>
          <w:szCs w:val="28"/>
        </w:rPr>
        <w:t xml:space="preserve"> </w:t>
      </w:r>
      <w:r w:rsidR="00F56A1F" w:rsidRPr="008E4228">
        <w:rPr>
          <w:rFonts w:ascii="Times New Roman" w:hAnsi="Times New Roman"/>
          <w:sz w:val="28"/>
          <w:szCs w:val="28"/>
        </w:rPr>
        <w:t>(</w:t>
      </w:r>
      <w:r w:rsidR="00E6050D" w:rsidRPr="008E4228">
        <w:rPr>
          <w:rFonts w:ascii="Times New Roman" w:hAnsi="Times New Roman"/>
          <w:sz w:val="28"/>
          <w:szCs w:val="28"/>
        </w:rPr>
        <w:t>13,2</w:t>
      </w:r>
      <w:r w:rsidR="003003DD" w:rsidRPr="008E4228">
        <w:rPr>
          <w:rFonts w:ascii="Times New Roman" w:hAnsi="Times New Roman"/>
          <w:sz w:val="28"/>
          <w:szCs w:val="28"/>
        </w:rPr>
        <w:t> %)</w:t>
      </w:r>
      <w:r w:rsidR="00DC685E" w:rsidRPr="008E4228">
        <w:rPr>
          <w:rFonts w:ascii="Times New Roman" w:hAnsi="Times New Roman"/>
          <w:sz w:val="28"/>
          <w:szCs w:val="28"/>
        </w:rPr>
        <w:t>, ины</w:t>
      </w:r>
      <w:r w:rsidR="00724AE1" w:rsidRPr="008E4228">
        <w:rPr>
          <w:rFonts w:ascii="Times New Roman" w:hAnsi="Times New Roman"/>
          <w:sz w:val="28"/>
          <w:szCs w:val="28"/>
        </w:rPr>
        <w:t>е</w:t>
      </w:r>
      <w:r w:rsidR="00DC685E" w:rsidRPr="008E4228">
        <w:rPr>
          <w:rFonts w:ascii="Times New Roman" w:hAnsi="Times New Roman"/>
          <w:sz w:val="28"/>
          <w:szCs w:val="28"/>
        </w:rPr>
        <w:t xml:space="preserve"> межбюджетны</w:t>
      </w:r>
      <w:r w:rsidR="00724AE1" w:rsidRPr="008E4228">
        <w:rPr>
          <w:rFonts w:ascii="Times New Roman" w:hAnsi="Times New Roman"/>
          <w:sz w:val="28"/>
          <w:szCs w:val="28"/>
        </w:rPr>
        <w:t>е</w:t>
      </w:r>
      <w:r w:rsidR="00DC685E" w:rsidRPr="008E4228">
        <w:rPr>
          <w:rFonts w:ascii="Times New Roman" w:hAnsi="Times New Roman"/>
          <w:sz w:val="28"/>
          <w:szCs w:val="28"/>
        </w:rPr>
        <w:t xml:space="preserve"> трансферт</w:t>
      </w:r>
      <w:r w:rsidR="00724AE1" w:rsidRPr="008E4228">
        <w:rPr>
          <w:rFonts w:ascii="Times New Roman" w:hAnsi="Times New Roman"/>
          <w:sz w:val="28"/>
          <w:szCs w:val="28"/>
        </w:rPr>
        <w:t>ы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7708D7" w:rsidRPr="008E4228">
        <w:rPr>
          <w:rFonts w:ascii="Times New Roman" w:hAnsi="Times New Roman"/>
          <w:sz w:val="28"/>
          <w:szCs w:val="28"/>
        </w:rPr>
        <w:t>–</w:t>
      </w:r>
      <w:r w:rsidR="00DC685E" w:rsidRPr="008E4228">
        <w:rPr>
          <w:rFonts w:ascii="Times New Roman" w:hAnsi="Times New Roman"/>
          <w:sz w:val="28"/>
          <w:szCs w:val="28"/>
        </w:rPr>
        <w:t xml:space="preserve"> </w:t>
      </w:r>
      <w:r w:rsidR="00E6050D" w:rsidRPr="008E4228">
        <w:rPr>
          <w:rFonts w:ascii="Times New Roman" w:hAnsi="Times New Roman"/>
          <w:sz w:val="28"/>
          <w:szCs w:val="28"/>
        </w:rPr>
        <w:t>2,5</w:t>
      </w:r>
      <w:r w:rsidR="00336CF1" w:rsidRPr="008E4228">
        <w:rPr>
          <w:rFonts w:ascii="Times New Roman" w:hAnsi="Times New Roman"/>
          <w:sz w:val="28"/>
          <w:szCs w:val="28"/>
        </w:rPr>
        <w:t> </w:t>
      </w:r>
      <w:r w:rsidR="00DC685E" w:rsidRPr="008E4228">
        <w:rPr>
          <w:rFonts w:ascii="Times New Roman" w:hAnsi="Times New Roman"/>
          <w:sz w:val="28"/>
          <w:szCs w:val="28"/>
        </w:rPr>
        <w:t>млрд. рублей</w:t>
      </w:r>
      <w:r w:rsidR="003003DD" w:rsidRPr="008E4228">
        <w:rPr>
          <w:rFonts w:ascii="Times New Roman" w:hAnsi="Times New Roman"/>
          <w:sz w:val="28"/>
          <w:szCs w:val="28"/>
        </w:rPr>
        <w:t xml:space="preserve"> (</w:t>
      </w:r>
      <w:r w:rsidR="00E6050D" w:rsidRPr="008E4228">
        <w:rPr>
          <w:rFonts w:ascii="Times New Roman" w:hAnsi="Times New Roman"/>
          <w:sz w:val="28"/>
          <w:szCs w:val="28"/>
        </w:rPr>
        <w:t>0,9</w:t>
      </w:r>
      <w:r w:rsidR="003003DD" w:rsidRPr="008E4228">
        <w:rPr>
          <w:rFonts w:ascii="Times New Roman" w:hAnsi="Times New Roman"/>
          <w:sz w:val="28"/>
          <w:szCs w:val="28"/>
        </w:rPr>
        <w:t> %)</w:t>
      </w:r>
      <w:r w:rsidR="00DC685E" w:rsidRPr="008E422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E6050D" w:rsidRDefault="00C93218" w:rsidP="00CD6D3A">
      <w:pPr>
        <w:spacing w:after="0" w:line="26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8E4228">
        <w:rPr>
          <w:rFonts w:ascii="Times New Roman" w:hAnsi="Times New Roman"/>
          <w:i/>
          <w:sz w:val="28"/>
          <w:szCs w:val="28"/>
        </w:rPr>
        <w:t>Справочно: по оперативным данным Федерального казначейства</w:t>
      </w:r>
      <w:r w:rsidR="008617CE">
        <w:rPr>
          <w:rFonts w:ascii="Times New Roman" w:hAnsi="Times New Roman"/>
          <w:i/>
          <w:sz w:val="28"/>
          <w:szCs w:val="28"/>
        </w:rPr>
        <w:t>,</w:t>
      </w:r>
      <w:r w:rsidRPr="008E4228">
        <w:rPr>
          <w:rFonts w:ascii="Times New Roman" w:hAnsi="Times New Roman"/>
          <w:i/>
          <w:sz w:val="28"/>
          <w:szCs w:val="28"/>
        </w:rPr>
        <w:t xml:space="preserve"> по состоянию на 1 апреля 2016 года объем перечисленных </w:t>
      </w:r>
      <w:r w:rsidR="007C4877" w:rsidRPr="008E4228">
        <w:rPr>
          <w:rFonts w:ascii="Times New Roman" w:hAnsi="Times New Roman"/>
          <w:i/>
          <w:sz w:val="28"/>
          <w:szCs w:val="28"/>
        </w:rPr>
        <w:t>из федерального бюджета межбюджетных трансфертов</w:t>
      </w:r>
      <w:r w:rsidRPr="008E4228">
        <w:rPr>
          <w:rFonts w:ascii="Times New Roman" w:hAnsi="Times New Roman"/>
          <w:i/>
          <w:sz w:val="28"/>
          <w:szCs w:val="28"/>
        </w:rPr>
        <w:t xml:space="preserve"> составил </w:t>
      </w:r>
      <w:r w:rsidR="00D22CFE" w:rsidRPr="008E4228">
        <w:rPr>
          <w:rFonts w:ascii="Times New Roman" w:hAnsi="Times New Roman"/>
          <w:i/>
          <w:sz w:val="28"/>
          <w:szCs w:val="28"/>
        </w:rPr>
        <w:t xml:space="preserve">312,9 млрд. рублей (18,8 % объема </w:t>
      </w:r>
      <w:r w:rsidR="00D22CFE" w:rsidRPr="008E4228">
        <w:rPr>
          <w:rFonts w:ascii="Times New Roman" w:hAnsi="Times New Roman"/>
          <w:i/>
          <w:iCs/>
          <w:sz w:val="28"/>
          <w:szCs w:val="28"/>
        </w:rPr>
        <w:t>сводной бюджетной росписи</w:t>
      </w:r>
      <w:r w:rsidR="00D22CFE" w:rsidRPr="008E4228">
        <w:rPr>
          <w:rFonts w:ascii="Times New Roman" w:hAnsi="Times New Roman"/>
          <w:i/>
          <w:sz w:val="28"/>
          <w:szCs w:val="28"/>
        </w:rPr>
        <w:t>), в то</w:t>
      </w:r>
      <w:r w:rsidR="00E86D55">
        <w:rPr>
          <w:rFonts w:ascii="Times New Roman" w:hAnsi="Times New Roman"/>
          <w:i/>
          <w:sz w:val="28"/>
          <w:szCs w:val="28"/>
        </w:rPr>
        <w:t>м числе дотации – 182,8 </w:t>
      </w:r>
      <w:r w:rsidR="00D22CFE" w:rsidRPr="008E4228">
        <w:rPr>
          <w:rFonts w:ascii="Times New Roman" w:hAnsi="Times New Roman"/>
          <w:i/>
          <w:sz w:val="28"/>
          <w:szCs w:val="28"/>
        </w:rPr>
        <w:t>млрд. рублей (28 %), субсидии – 29,1 млрд. рублей (7,4 %), субвенции – 84,9 млрд. рублей (24 %), иные межбюджетные трансферты – 16,1 млрд. рублей (6,1 %).</w:t>
      </w:r>
      <w:r w:rsidR="00D22CFE" w:rsidRPr="008E4228">
        <w:rPr>
          <w:rFonts w:ascii="Times New Roman" w:hAnsi="Times New Roman"/>
          <w:sz w:val="28"/>
          <w:szCs w:val="28"/>
        </w:rPr>
        <w:t xml:space="preserve"> </w:t>
      </w:r>
      <w:r w:rsidRPr="008E4228">
        <w:rPr>
          <w:rFonts w:ascii="Times New Roman" w:hAnsi="Times New Roman"/>
          <w:i/>
          <w:sz w:val="28"/>
          <w:szCs w:val="28"/>
        </w:rPr>
        <w:t xml:space="preserve"> </w:t>
      </w:r>
      <w:proofErr w:type="gramEnd"/>
    </w:p>
    <w:p w:rsidR="00A63176" w:rsidRPr="008E4228" w:rsidRDefault="00A63176" w:rsidP="00CD6D3A">
      <w:pPr>
        <w:spacing w:after="0" w:line="26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 информации, представленной субъектами Российской Федерации, в отчетном периоде случаев приостановки предоставления межбюджетных трансфертов не установлено.</w:t>
      </w:r>
    </w:p>
    <w:p w:rsidR="00CD6D3A" w:rsidRDefault="00185818" w:rsidP="00CD6D3A">
      <w:pPr>
        <w:pStyle w:val="ConsPlusNormal"/>
        <w:spacing w:line="269" w:lineRule="auto"/>
        <w:ind w:firstLine="540"/>
        <w:jc w:val="both"/>
        <w:rPr>
          <w:rFonts w:eastAsia="Times New Roman"/>
          <w:lang w:eastAsia="ru-RU"/>
        </w:rPr>
      </w:pPr>
      <w:r>
        <w:rPr>
          <w:b/>
          <w:lang w:eastAsia="ru-RU"/>
        </w:rPr>
        <w:lastRenderedPageBreak/>
        <w:t>2.7. </w:t>
      </w:r>
      <w:r w:rsidR="00CD6D3A">
        <w:rPr>
          <w:lang w:eastAsia="ru-RU"/>
        </w:rPr>
        <w:t xml:space="preserve">В рамках </w:t>
      </w:r>
      <w:proofErr w:type="gramStart"/>
      <w:r w:rsidR="00CD6D3A">
        <w:rPr>
          <w:lang w:eastAsia="ru-RU"/>
        </w:rPr>
        <w:t xml:space="preserve">анализа реализации Указа </w:t>
      </w:r>
      <w:r w:rsidR="00CD6D3A" w:rsidRPr="008E4228">
        <w:rPr>
          <w:rFonts w:eastAsia="Times New Roman"/>
          <w:lang w:eastAsia="ru-RU"/>
        </w:rPr>
        <w:t>Президента Российской Федерации</w:t>
      </w:r>
      <w:proofErr w:type="gramEnd"/>
      <w:r w:rsidR="00CD6D3A" w:rsidRPr="008E4228">
        <w:rPr>
          <w:rFonts w:eastAsia="Times New Roman"/>
          <w:lang w:eastAsia="ru-RU"/>
        </w:rPr>
        <w:t xml:space="preserve"> от 7 мая 2008 г. № 714 «Об обеспечении жильем ветеранов Великой Отечественной войны 1941 </w:t>
      </w:r>
      <w:r w:rsidR="00CD6D3A">
        <w:rPr>
          <w:rFonts w:eastAsia="Times New Roman"/>
          <w:lang w:eastAsia="ru-RU"/>
        </w:rPr>
        <w:t>–</w:t>
      </w:r>
      <w:r w:rsidR="00CD6D3A" w:rsidRPr="008E4228">
        <w:rPr>
          <w:rFonts w:eastAsia="Times New Roman"/>
          <w:lang w:eastAsia="ru-RU"/>
        </w:rPr>
        <w:t xml:space="preserve"> 1945</w:t>
      </w:r>
      <w:r w:rsidR="00CD6D3A">
        <w:rPr>
          <w:rFonts w:eastAsia="Times New Roman"/>
          <w:lang w:eastAsia="ru-RU"/>
        </w:rPr>
        <w:t xml:space="preserve"> </w:t>
      </w:r>
      <w:r w:rsidR="00CD6D3A" w:rsidRPr="008E4228">
        <w:rPr>
          <w:rFonts w:eastAsia="Times New Roman"/>
          <w:lang w:eastAsia="ru-RU"/>
        </w:rPr>
        <w:t>годов»</w:t>
      </w:r>
      <w:r w:rsidR="00CD6D3A">
        <w:rPr>
          <w:rFonts w:eastAsia="Times New Roman"/>
          <w:lang w:eastAsia="ru-RU"/>
        </w:rPr>
        <w:t xml:space="preserve"> </w:t>
      </w:r>
      <w:r w:rsidR="00CD6D3A">
        <w:rPr>
          <w:lang w:eastAsia="ru-RU"/>
        </w:rPr>
        <w:t>рассмотрена информация 68</w:t>
      </w:r>
      <w:r w:rsidR="00CD6D3A">
        <w:rPr>
          <w:rFonts w:eastAsia="Times New Roman"/>
          <w:lang w:eastAsia="ru-RU"/>
        </w:rPr>
        <w:t> </w:t>
      </w:r>
      <w:r w:rsidR="00CD6D3A" w:rsidRPr="008E4228">
        <w:rPr>
          <w:rFonts w:eastAsia="Times New Roman"/>
          <w:lang w:eastAsia="ru-RU"/>
        </w:rPr>
        <w:t>субъектов Российской Федерации</w:t>
      </w:r>
      <w:r w:rsidR="00CD6D3A">
        <w:rPr>
          <w:rFonts w:eastAsia="Times New Roman"/>
          <w:lang w:eastAsia="ru-RU"/>
        </w:rPr>
        <w:t xml:space="preserve"> в части </w:t>
      </w:r>
      <w:r w:rsidR="00CD6D3A" w:rsidRPr="000E32D4">
        <w:t>обеспечени</w:t>
      </w:r>
      <w:r w:rsidR="00CD6D3A">
        <w:t>я</w:t>
      </w:r>
      <w:r w:rsidR="00CD6D3A" w:rsidRPr="000E32D4">
        <w:t xml:space="preserve"> жильем ветеранов Великой Отечественной войны</w:t>
      </w:r>
      <w:r w:rsidR="00CD6D3A">
        <w:t xml:space="preserve"> </w:t>
      </w:r>
      <w:r w:rsidR="00CD6D3A" w:rsidRPr="008E4228">
        <w:rPr>
          <w:rFonts w:eastAsia="Times New Roman"/>
          <w:lang w:eastAsia="ru-RU"/>
        </w:rPr>
        <w:t xml:space="preserve">1941 </w:t>
      </w:r>
      <w:r w:rsidR="00CD6D3A">
        <w:rPr>
          <w:rFonts w:eastAsia="Times New Roman"/>
          <w:lang w:eastAsia="ru-RU"/>
        </w:rPr>
        <w:t>–</w:t>
      </w:r>
      <w:r w:rsidR="00CD6D3A" w:rsidRPr="008E4228">
        <w:rPr>
          <w:rFonts w:eastAsia="Times New Roman"/>
          <w:lang w:eastAsia="ru-RU"/>
        </w:rPr>
        <w:t xml:space="preserve"> 1945</w:t>
      </w:r>
      <w:r w:rsidR="00CD6D3A">
        <w:rPr>
          <w:rFonts w:eastAsia="Times New Roman"/>
          <w:lang w:eastAsia="ru-RU"/>
        </w:rPr>
        <w:t xml:space="preserve"> </w:t>
      </w:r>
      <w:r w:rsidR="00CD6D3A" w:rsidRPr="008E4228">
        <w:rPr>
          <w:rFonts w:eastAsia="Times New Roman"/>
          <w:lang w:eastAsia="ru-RU"/>
        </w:rPr>
        <w:t>годов</w:t>
      </w:r>
      <w:r w:rsidR="00CD6D3A">
        <w:rPr>
          <w:rFonts w:eastAsia="Times New Roman"/>
          <w:lang w:eastAsia="ru-RU"/>
        </w:rPr>
        <w:t>.</w:t>
      </w:r>
    </w:p>
    <w:p w:rsidR="00CD6D3A" w:rsidRPr="008E4228" w:rsidRDefault="00CD6D3A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E4228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данным регионов, </w:t>
      </w:r>
      <w:r w:rsidRPr="008E4228">
        <w:rPr>
          <w:rFonts w:ascii="Times New Roman" w:hAnsi="Times New Roman"/>
          <w:sz w:val="28"/>
          <w:szCs w:val="28"/>
          <w:lang w:eastAsia="ru-RU"/>
        </w:rPr>
        <w:t>количество необеспеченных жильем и нуждающихся в улучшении жилищных условий отдельных категорий граждан, установленных Федеральным законом «О ветеранах», в соответствии с Указом Президента Российск</w:t>
      </w:r>
      <w:r>
        <w:rPr>
          <w:rFonts w:ascii="Times New Roman" w:hAnsi="Times New Roman"/>
          <w:sz w:val="28"/>
          <w:szCs w:val="28"/>
          <w:lang w:eastAsia="ru-RU"/>
        </w:rPr>
        <w:t>ой Федерации от 7 мая 2008 г. № 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714 «Об обеспечении жильем ветеранов Великой Отечественной войны 1941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194</w:t>
      </w:r>
      <w:r>
        <w:rPr>
          <w:rFonts w:ascii="Times New Roman" w:hAnsi="Times New Roman"/>
          <w:sz w:val="28"/>
          <w:szCs w:val="28"/>
          <w:lang w:eastAsia="ru-RU"/>
        </w:rPr>
        <w:t>5 годов» (далее – ветераны ВОВ)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 по состоянию на 1</w:t>
      </w:r>
      <w:r>
        <w:rPr>
          <w:rFonts w:ascii="Times New Roman" w:hAnsi="Times New Roman"/>
          <w:sz w:val="28"/>
          <w:szCs w:val="28"/>
          <w:lang w:eastAsia="ru-RU"/>
        </w:rPr>
        <w:t xml:space="preserve"> января </w:t>
      </w:r>
      <w:r w:rsidRPr="008E4228">
        <w:rPr>
          <w:rFonts w:ascii="Times New Roman" w:hAnsi="Times New Roman"/>
          <w:sz w:val="28"/>
          <w:szCs w:val="28"/>
          <w:lang w:eastAsia="ru-RU"/>
        </w:rPr>
        <w:t>2016</w:t>
      </w:r>
      <w:r>
        <w:rPr>
          <w:rFonts w:ascii="Times New Roman" w:hAnsi="Times New Roman"/>
          <w:sz w:val="28"/>
          <w:szCs w:val="28"/>
          <w:lang w:eastAsia="ru-RU"/>
        </w:rPr>
        <w:t> года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составляет </w:t>
      </w:r>
      <w:r>
        <w:rPr>
          <w:rFonts w:ascii="Times New Roman" w:hAnsi="Times New Roman"/>
          <w:sz w:val="28"/>
          <w:szCs w:val="28"/>
          <w:lang w:eastAsia="ru-RU"/>
        </w:rPr>
        <w:t>8 092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E4228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 </w:t>
      </w:r>
      <w:r>
        <w:rPr>
          <w:rFonts w:ascii="Times New Roman" w:hAnsi="Times New Roman"/>
          <w:sz w:val="28"/>
          <w:szCs w:val="28"/>
          <w:lang w:val="en-US" w:eastAsia="ru-RU"/>
        </w:rPr>
        <w:t>I</w:t>
      </w:r>
      <w:r>
        <w:rPr>
          <w:rFonts w:ascii="Times New Roman" w:hAnsi="Times New Roman"/>
          <w:sz w:val="28"/>
          <w:szCs w:val="28"/>
          <w:lang w:eastAsia="ru-RU"/>
        </w:rPr>
        <w:t xml:space="preserve"> квартал 2016 </w:t>
      </w:r>
      <w:r w:rsidRPr="008E4228">
        <w:rPr>
          <w:rFonts w:ascii="Times New Roman" w:hAnsi="Times New Roman"/>
          <w:sz w:val="28"/>
          <w:szCs w:val="28"/>
          <w:lang w:eastAsia="ru-RU"/>
        </w:rPr>
        <w:t>года на учет в качестве  нуждающихся в улучшении жилищных условий встали 364 человека.</w:t>
      </w:r>
    </w:p>
    <w:p w:rsidR="00CD6D3A" w:rsidRPr="008E4228" w:rsidRDefault="00CD6D3A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E4228">
        <w:rPr>
          <w:rFonts w:ascii="Times New Roman" w:hAnsi="Times New Roman"/>
          <w:sz w:val="28"/>
          <w:szCs w:val="28"/>
          <w:lang w:eastAsia="ru-RU"/>
        </w:rPr>
        <w:t xml:space="preserve">За счет предусмотренной в Федеральном законе № 359-ФЗ субвенции из федерального бюджета на осуществление полномочий по обеспечению жильем ветеранов ВОВ в сумме </w:t>
      </w:r>
      <w:r>
        <w:rPr>
          <w:rFonts w:ascii="Times New Roman" w:hAnsi="Times New Roman"/>
          <w:sz w:val="28"/>
          <w:szCs w:val="28"/>
          <w:lang w:eastAsia="ru-RU"/>
        </w:rPr>
        <w:t>7 923,3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млн. рублей (общая сумма субвенции, предусмотренная на 2016 год для всех субъектов Российской Федерации, составляет 10 042,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млн. рублей) улучшить свои жилищные условия смогут </w:t>
      </w:r>
      <w:r>
        <w:rPr>
          <w:rFonts w:ascii="Times New Roman" w:hAnsi="Times New Roman"/>
          <w:sz w:val="28"/>
          <w:szCs w:val="28"/>
          <w:lang w:eastAsia="ru-RU"/>
        </w:rPr>
        <w:t>6 222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ветеран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ВОВ.</w:t>
      </w:r>
      <w:proofErr w:type="gramEnd"/>
      <w:r w:rsidRPr="008E4228">
        <w:rPr>
          <w:rFonts w:ascii="Times New Roman" w:hAnsi="Times New Roman"/>
          <w:sz w:val="28"/>
          <w:szCs w:val="28"/>
          <w:lang w:eastAsia="ru-RU"/>
        </w:rPr>
        <w:t xml:space="preserve"> Дополнительная потребность в средствах федерального бюджета на финансовое обеспечение необеспеченных жильем ветеранов ВОВ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по оценке субъектов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по состоянию на 1</w:t>
      </w:r>
      <w:r>
        <w:rPr>
          <w:rFonts w:ascii="Times New Roman" w:hAnsi="Times New Roman"/>
          <w:sz w:val="28"/>
          <w:szCs w:val="28"/>
          <w:lang w:eastAsia="ru-RU"/>
        </w:rPr>
        <w:t xml:space="preserve"> апреля </w:t>
      </w:r>
      <w:r w:rsidRPr="008E4228">
        <w:rPr>
          <w:rFonts w:ascii="Times New Roman" w:hAnsi="Times New Roman"/>
          <w:sz w:val="28"/>
          <w:szCs w:val="28"/>
          <w:lang w:eastAsia="ru-RU"/>
        </w:rPr>
        <w:t>2016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составляет 2</w:t>
      </w:r>
      <w:r>
        <w:rPr>
          <w:rFonts w:ascii="Times New Roman" w:hAnsi="Times New Roman"/>
          <w:sz w:val="28"/>
          <w:szCs w:val="28"/>
          <w:lang w:eastAsia="ru-RU"/>
        </w:rPr>
        <w:t> 639,0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 млн. рублей. </w:t>
      </w:r>
    </w:p>
    <w:p w:rsidR="00CD6D3A" w:rsidRPr="008E4228" w:rsidRDefault="00CD6D3A" w:rsidP="00CD6D3A">
      <w:pPr>
        <w:spacing w:after="0" w:line="269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8E4228">
        <w:rPr>
          <w:rFonts w:ascii="Times New Roman" w:eastAsia="Calibri" w:hAnsi="Times New Roman"/>
          <w:sz w:val="28"/>
          <w:szCs w:val="28"/>
        </w:rPr>
        <w:t xml:space="preserve">Данные о количестве ветеранов ВОВ ежемесячно корректируются, в том числе в связи с многочисленными обращениями граждан в суды и в межведомственные комиссии для признания жилых домов непригодными для проживания, а также в связи с их постановкой на учет нуждающихся по истечению </w:t>
      </w:r>
      <w:r>
        <w:rPr>
          <w:rFonts w:ascii="Times New Roman" w:eastAsia="Calibri" w:hAnsi="Times New Roman"/>
          <w:sz w:val="28"/>
          <w:szCs w:val="28"/>
        </w:rPr>
        <w:t>пяти</w:t>
      </w:r>
      <w:r w:rsidRPr="008E4228">
        <w:rPr>
          <w:rFonts w:ascii="Times New Roman" w:eastAsia="Calibri" w:hAnsi="Times New Roman"/>
          <w:sz w:val="28"/>
          <w:szCs w:val="28"/>
        </w:rPr>
        <w:t>летнего срока ухудшения жилищных условий, когда граждане изменили свое место жительства с целью получения меры государственной поддержки в рамках</w:t>
      </w:r>
      <w:proofErr w:type="gramEnd"/>
      <w:r w:rsidRPr="008E4228">
        <w:rPr>
          <w:rFonts w:ascii="Times New Roman" w:eastAsia="Calibri" w:hAnsi="Times New Roman"/>
          <w:sz w:val="28"/>
          <w:szCs w:val="28"/>
        </w:rPr>
        <w:t xml:space="preserve"> Указа Президента Российской Федерации </w:t>
      </w:r>
      <w:r w:rsidRPr="008E4228">
        <w:rPr>
          <w:rFonts w:ascii="Times New Roman" w:hAnsi="Times New Roman"/>
          <w:sz w:val="28"/>
          <w:szCs w:val="28"/>
          <w:lang w:eastAsia="ru-RU"/>
        </w:rPr>
        <w:t xml:space="preserve">от 7 мая 2008 г. </w:t>
      </w:r>
      <w:r w:rsidRPr="008E4228">
        <w:rPr>
          <w:rFonts w:ascii="Times New Roman" w:eastAsia="Calibri" w:hAnsi="Times New Roman"/>
          <w:sz w:val="28"/>
          <w:szCs w:val="28"/>
        </w:rPr>
        <w:t>№ 714. В основном это категория граждан - члены семей погибших (умерших) ветеранов (вдовы), имеющих право на обеспечение жильем.</w:t>
      </w:r>
    </w:p>
    <w:p w:rsidR="00CD6D3A" w:rsidRPr="008E4228" w:rsidRDefault="00CD6D3A" w:rsidP="00CD6D3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69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E4228">
        <w:rPr>
          <w:rFonts w:ascii="Times New Roman" w:hAnsi="Times New Roman"/>
          <w:sz w:val="28"/>
          <w:szCs w:val="28"/>
          <w:lang w:eastAsia="ru-RU"/>
        </w:rPr>
        <w:t>В соответствии с установленн</w:t>
      </w:r>
      <w:r w:rsidR="00E86D55">
        <w:rPr>
          <w:rFonts w:ascii="Times New Roman" w:hAnsi="Times New Roman"/>
          <w:sz w:val="28"/>
          <w:szCs w:val="28"/>
          <w:lang w:eastAsia="ru-RU"/>
        </w:rPr>
        <w:t>ы</w:t>
      </w:r>
      <w:r w:rsidRPr="008E4228">
        <w:rPr>
          <w:rFonts w:ascii="Times New Roman" w:hAnsi="Times New Roman"/>
          <w:sz w:val="28"/>
          <w:szCs w:val="28"/>
          <w:lang w:eastAsia="ru-RU"/>
        </w:rPr>
        <w:t>м порядком заявки о потребности субъектов Российской Федерации в средствах федерального бюджета на обеспечение</w:t>
      </w:r>
      <w:proofErr w:type="gramEnd"/>
      <w:r w:rsidRPr="008E4228">
        <w:rPr>
          <w:rFonts w:ascii="Times New Roman" w:hAnsi="Times New Roman"/>
          <w:sz w:val="28"/>
          <w:szCs w:val="28"/>
          <w:lang w:eastAsia="ru-RU"/>
        </w:rPr>
        <w:t xml:space="preserve"> жильем ветеранов ВОВ рассматриваются Минстроем России два раза в год. Учитывая, что постановка на учет нуждающихся в улучшении жилищных условий ветеранов ВОВ продолжается непрерывно в течение года, возникает недостаточность предусматриваемых в федеральном законе о федеральном бюджете ассигнований на реализацию указанных мероприятий. </w:t>
      </w:r>
    </w:p>
    <w:p w:rsidR="00CD6D3A" w:rsidRDefault="00CD6D3A" w:rsidP="00CD6D3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69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8E4228">
        <w:rPr>
          <w:rFonts w:ascii="Times New Roman" w:hAnsi="Times New Roman"/>
          <w:sz w:val="28"/>
          <w:szCs w:val="28"/>
          <w:lang w:eastAsia="ru-RU"/>
        </w:rPr>
        <w:t xml:space="preserve">Отмечаем, что отдельными субъектами Российской Федерации приняты нормативные правовые акты, предусматривающие направление на обеспечение жильем ветеранов ВОВ помимо субвенции из федерального </w:t>
      </w:r>
      <w:r w:rsidRPr="008E4228">
        <w:rPr>
          <w:rFonts w:ascii="Times New Roman" w:hAnsi="Times New Roman"/>
          <w:sz w:val="28"/>
          <w:szCs w:val="28"/>
          <w:lang w:eastAsia="ru-RU"/>
        </w:rPr>
        <w:lastRenderedPageBreak/>
        <w:t>бюджета собственных средств бюджетов субъектов Российской Федерации (Республик</w:t>
      </w:r>
      <w:r>
        <w:rPr>
          <w:rFonts w:ascii="Times New Roman" w:hAnsi="Times New Roman"/>
          <w:sz w:val="28"/>
          <w:szCs w:val="28"/>
          <w:lang w:eastAsia="ru-RU"/>
        </w:rPr>
        <w:t xml:space="preserve">а Татарстан, </w:t>
      </w:r>
      <w:r w:rsidRPr="008E4228">
        <w:rPr>
          <w:rFonts w:ascii="Times New Roman" w:hAnsi="Times New Roman"/>
          <w:sz w:val="28"/>
          <w:szCs w:val="28"/>
          <w:lang w:eastAsia="ru-RU"/>
        </w:rPr>
        <w:t>Республик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8E4228">
        <w:rPr>
          <w:rFonts w:ascii="Times New Roman" w:hAnsi="Times New Roman"/>
          <w:sz w:val="28"/>
          <w:szCs w:val="28"/>
          <w:lang w:eastAsia="ru-RU"/>
        </w:rPr>
        <w:t>Хакасия, Республик</w:t>
      </w:r>
      <w:r>
        <w:rPr>
          <w:rFonts w:ascii="Times New Roman" w:hAnsi="Times New Roman"/>
          <w:sz w:val="28"/>
          <w:szCs w:val="28"/>
          <w:lang w:eastAsia="ru-RU"/>
        </w:rPr>
        <w:t xml:space="preserve">а Саха (Якутия), </w:t>
      </w:r>
      <w:r w:rsidRPr="008E4228">
        <w:rPr>
          <w:rFonts w:ascii="Times New Roman" w:hAnsi="Times New Roman"/>
          <w:sz w:val="28"/>
          <w:szCs w:val="28"/>
          <w:lang w:eastAsia="ru-RU"/>
        </w:rPr>
        <w:t>Хабаровский край, Ленинградская, Новосибирская, Сахалинская области, Ханты</w:t>
      </w:r>
      <w:r>
        <w:rPr>
          <w:rFonts w:ascii="Times New Roman" w:hAnsi="Times New Roman"/>
          <w:sz w:val="28"/>
          <w:szCs w:val="28"/>
          <w:lang w:eastAsia="ru-RU"/>
        </w:rPr>
        <w:t>-Мансийский автономный округ).</w:t>
      </w:r>
    </w:p>
    <w:p w:rsidR="00021D2F" w:rsidRDefault="00021D2F" w:rsidP="00CD6D3A">
      <w:pPr>
        <w:spacing w:after="0" w:line="269" w:lineRule="auto"/>
        <w:ind w:firstLine="6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833D6A">
        <w:rPr>
          <w:rFonts w:ascii="Times New Roman" w:hAnsi="Times New Roman"/>
          <w:b/>
          <w:bCs/>
          <w:sz w:val="28"/>
          <w:szCs w:val="28"/>
        </w:rPr>
        <w:t>. </w:t>
      </w:r>
      <w:proofErr w:type="gramStart"/>
      <w:r w:rsidRPr="00F56A1F">
        <w:rPr>
          <w:rFonts w:ascii="Times New Roman" w:hAnsi="Times New Roman"/>
          <w:sz w:val="28"/>
          <w:szCs w:val="28"/>
        </w:rPr>
        <w:t>Расходы</w:t>
      </w:r>
      <w:r w:rsidRPr="00F56A1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56A1F">
        <w:rPr>
          <w:rFonts w:ascii="Times New Roman" w:hAnsi="Times New Roman"/>
          <w:sz w:val="28"/>
          <w:szCs w:val="28"/>
        </w:rPr>
        <w:t>консолидированных бюджетов регионов по состоянию на 1 </w:t>
      </w:r>
      <w:r>
        <w:rPr>
          <w:rFonts w:ascii="Times New Roman" w:hAnsi="Times New Roman"/>
          <w:sz w:val="28"/>
          <w:szCs w:val="28"/>
        </w:rPr>
        <w:t>марта</w:t>
      </w:r>
      <w:r w:rsidRPr="00F56A1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F56A1F">
        <w:rPr>
          <w:rFonts w:ascii="Times New Roman" w:hAnsi="Times New Roman"/>
          <w:sz w:val="28"/>
          <w:szCs w:val="28"/>
        </w:rPr>
        <w:t xml:space="preserve"> года составили </w:t>
      </w:r>
      <w:r>
        <w:rPr>
          <w:rFonts w:ascii="Times New Roman" w:hAnsi="Times New Roman"/>
          <w:sz w:val="28"/>
          <w:szCs w:val="28"/>
        </w:rPr>
        <w:t>1 081,8 млрд. рублей</w:t>
      </w:r>
      <w:r w:rsidRPr="006A7F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A7FA7">
        <w:rPr>
          <w:rFonts w:ascii="Times New Roman" w:hAnsi="Times New Roman"/>
          <w:sz w:val="28"/>
          <w:szCs w:val="28"/>
        </w:rPr>
        <w:t xml:space="preserve">выросли по сравнению с </w:t>
      </w:r>
      <w:r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Pr="006A7F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6A7FA7">
        <w:rPr>
          <w:rFonts w:ascii="Times New Roman" w:hAnsi="Times New Roman"/>
          <w:sz w:val="28"/>
          <w:szCs w:val="28"/>
        </w:rPr>
        <w:t> год</w:t>
      </w:r>
      <w:r>
        <w:rPr>
          <w:rFonts w:ascii="Times New Roman" w:hAnsi="Times New Roman"/>
          <w:sz w:val="28"/>
          <w:szCs w:val="28"/>
        </w:rPr>
        <w:t>а</w:t>
      </w:r>
      <w:r w:rsidRPr="006A7FA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78,1</w:t>
      </w:r>
      <w:r w:rsidRPr="006A7FA7">
        <w:rPr>
          <w:rFonts w:ascii="Times New Roman" w:hAnsi="Times New Roman"/>
          <w:sz w:val="28"/>
          <w:szCs w:val="28"/>
        </w:rPr>
        <w:t xml:space="preserve"> млрд. рублей, или на </w:t>
      </w:r>
      <w:r>
        <w:rPr>
          <w:rFonts w:ascii="Times New Roman" w:hAnsi="Times New Roman"/>
          <w:sz w:val="28"/>
          <w:szCs w:val="28"/>
        </w:rPr>
        <w:t>7,8 </w:t>
      </w:r>
      <w:r w:rsidRPr="006A7FA7">
        <w:rPr>
          <w:rFonts w:ascii="Times New Roman" w:hAnsi="Times New Roman"/>
          <w:sz w:val="28"/>
          <w:szCs w:val="28"/>
        </w:rPr>
        <w:t>% (в соответствующем периоде 201</w:t>
      </w:r>
      <w:r>
        <w:rPr>
          <w:rFonts w:ascii="Times New Roman" w:hAnsi="Times New Roman"/>
          <w:sz w:val="28"/>
          <w:szCs w:val="28"/>
        </w:rPr>
        <w:t>5</w:t>
      </w:r>
      <w:r w:rsidRPr="006A7FA7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отмечалось снижение расходов</w:t>
      </w:r>
      <w:r w:rsidRPr="006A7F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0,7</w:t>
      </w:r>
      <w:r w:rsidRPr="006A7FA7">
        <w:rPr>
          <w:rFonts w:ascii="Times New Roman" w:hAnsi="Times New Roman"/>
          <w:sz w:val="28"/>
          <w:szCs w:val="28"/>
        </w:rPr>
        <w:t xml:space="preserve"> %), при этом в </w:t>
      </w:r>
      <w:r>
        <w:rPr>
          <w:rFonts w:ascii="Times New Roman" w:hAnsi="Times New Roman"/>
          <w:sz w:val="28"/>
          <w:szCs w:val="28"/>
        </w:rPr>
        <w:t>23 </w:t>
      </w:r>
      <w:r w:rsidRPr="006A7FA7">
        <w:rPr>
          <w:rFonts w:ascii="Times New Roman" w:hAnsi="Times New Roman"/>
          <w:sz w:val="28"/>
          <w:szCs w:val="28"/>
        </w:rPr>
        <w:t>субъектах Российской Федерации расходы выросли на 10</w:t>
      </w:r>
      <w:r>
        <w:rPr>
          <w:rFonts w:ascii="Times New Roman" w:hAnsi="Times New Roman"/>
          <w:sz w:val="28"/>
          <w:szCs w:val="28"/>
        </w:rPr>
        <w:t> </w:t>
      </w:r>
      <w:r w:rsidRPr="006A7FA7">
        <w:rPr>
          <w:rFonts w:ascii="Times New Roman" w:hAnsi="Times New Roman"/>
          <w:sz w:val="28"/>
          <w:szCs w:val="28"/>
        </w:rPr>
        <w:t>% и более, из них наибольшие показатели роста</w:t>
      </w:r>
      <w:proofErr w:type="gramEnd"/>
      <w:r w:rsidRPr="006A7FA7">
        <w:rPr>
          <w:rFonts w:ascii="Times New Roman" w:hAnsi="Times New Roman"/>
          <w:sz w:val="28"/>
          <w:szCs w:val="28"/>
        </w:rPr>
        <w:t xml:space="preserve"> сложились в </w:t>
      </w:r>
      <w:r>
        <w:rPr>
          <w:rFonts w:ascii="Times New Roman" w:hAnsi="Times New Roman"/>
          <w:sz w:val="28"/>
          <w:szCs w:val="28"/>
        </w:rPr>
        <w:t>Республике Калмыкия (30,1 %), Чеченской Республике</w:t>
      </w:r>
      <w:r w:rsidRPr="006A7FA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37,7 </w:t>
      </w:r>
      <w:r w:rsidRPr="006A7FA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, Удмуртской Республике (20,1 %), Магаданской области (52,2 %), Новгородской области (25,5 %) и городе Санкт-Петербурге (20,9 %)</w:t>
      </w:r>
      <w:r w:rsidRPr="006A7FA7">
        <w:rPr>
          <w:rFonts w:ascii="Times New Roman" w:hAnsi="Times New Roman"/>
          <w:sz w:val="28"/>
          <w:szCs w:val="28"/>
        </w:rPr>
        <w:t xml:space="preserve">. Снижение расходов отмечено в </w:t>
      </w:r>
      <w:r>
        <w:rPr>
          <w:rFonts w:ascii="Times New Roman" w:hAnsi="Times New Roman"/>
          <w:sz w:val="28"/>
          <w:szCs w:val="28"/>
        </w:rPr>
        <w:t>25</w:t>
      </w:r>
      <w:r w:rsidRPr="006A7FA7">
        <w:rPr>
          <w:rFonts w:ascii="Times New Roman" w:hAnsi="Times New Roman"/>
          <w:sz w:val="27"/>
          <w:szCs w:val="27"/>
        </w:rPr>
        <w:t> </w:t>
      </w:r>
      <w:r w:rsidRPr="006A7FA7">
        <w:rPr>
          <w:rFonts w:ascii="Times New Roman" w:hAnsi="Times New Roman"/>
          <w:sz w:val="28"/>
          <w:szCs w:val="28"/>
        </w:rPr>
        <w:t>регионах. Исполнение прогнозируемого объема по расхо</w:t>
      </w:r>
      <w:r>
        <w:rPr>
          <w:rFonts w:ascii="Times New Roman" w:hAnsi="Times New Roman"/>
          <w:sz w:val="28"/>
          <w:szCs w:val="28"/>
        </w:rPr>
        <w:t>дам оценивается на уровне 11,4 %.</w:t>
      </w:r>
    </w:p>
    <w:p w:rsidR="00021D2F" w:rsidRPr="00005722" w:rsidRDefault="00021D2F" w:rsidP="00CD6D3A">
      <w:pPr>
        <w:spacing w:after="0" w:line="269" w:lineRule="auto"/>
        <w:ind w:firstLine="69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005722">
        <w:rPr>
          <w:rFonts w:ascii="Times New Roman" w:hAnsi="Times New Roman"/>
          <w:i/>
          <w:sz w:val="28"/>
          <w:szCs w:val="28"/>
        </w:rPr>
        <w:t>Справочно:</w:t>
      </w:r>
      <w:r>
        <w:rPr>
          <w:rFonts w:ascii="Times New Roman" w:hAnsi="Times New Roman"/>
          <w:i/>
          <w:sz w:val="28"/>
          <w:szCs w:val="28"/>
        </w:rPr>
        <w:t xml:space="preserve"> по оперативным данным Федерал</w:t>
      </w:r>
      <w:r w:rsidR="008617CE">
        <w:rPr>
          <w:rFonts w:ascii="Times New Roman" w:hAnsi="Times New Roman"/>
          <w:i/>
          <w:sz w:val="28"/>
          <w:szCs w:val="28"/>
        </w:rPr>
        <w:t>ьного казначейства об исполнении</w:t>
      </w:r>
      <w:r>
        <w:rPr>
          <w:rFonts w:ascii="Times New Roman" w:hAnsi="Times New Roman"/>
          <w:i/>
          <w:sz w:val="28"/>
          <w:szCs w:val="28"/>
        </w:rPr>
        <w:t xml:space="preserve"> консолидированных бюджетов субъектов Российской Федерации</w:t>
      </w:r>
      <w:r w:rsidR="008617CE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по состоянию на 1 апреля 2016 года расходы составили 1 848,0 млрд. рублей и выросли по сравнению с </w:t>
      </w:r>
      <w:r w:rsidR="008617CE">
        <w:rPr>
          <w:rFonts w:ascii="Times New Roman" w:hAnsi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/>
          <w:i/>
          <w:sz w:val="28"/>
          <w:szCs w:val="28"/>
        </w:rPr>
        <w:t xml:space="preserve"> кварталом 2015 года на 4,8 %. Рост расходов отмечен в 63 регионах, из них в 18 субъектах Российской Федерации расходы выросли на 10 % и более.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Наибольшие показател</w:t>
      </w:r>
      <w:r w:rsidR="008617CE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 xml:space="preserve"> роста отмечены в Чеченской Республике (40 %), Магаданской области (33,8 %), Сахалинской области (19,4 %</w:t>
      </w:r>
      <w:r w:rsidR="008617CE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, Орловской области (17,8 %) и Ямало-Ненецком автономном округе (26,5 %).</w:t>
      </w:r>
    </w:p>
    <w:p w:rsidR="00021D2F" w:rsidRDefault="00021D2F" w:rsidP="00CD6D3A">
      <w:pPr>
        <w:spacing w:after="0" w:line="26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7FA7">
        <w:rPr>
          <w:rFonts w:ascii="Times New Roman" w:hAnsi="Times New Roman"/>
          <w:sz w:val="28"/>
          <w:szCs w:val="28"/>
        </w:rPr>
        <w:t xml:space="preserve">В структуре общего объема расходов наибольшая доля приходится на расходы по разделам </w:t>
      </w:r>
      <w:r>
        <w:rPr>
          <w:rFonts w:ascii="Times New Roman" w:hAnsi="Times New Roman"/>
          <w:sz w:val="28"/>
          <w:szCs w:val="28"/>
        </w:rPr>
        <w:t>07 </w:t>
      </w:r>
      <w:r w:rsidRPr="006A7FA7">
        <w:rPr>
          <w:rFonts w:ascii="Times New Roman" w:hAnsi="Times New Roman"/>
          <w:sz w:val="28"/>
          <w:szCs w:val="28"/>
        </w:rPr>
        <w:t>«Образование» (</w:t>
      </w:r>
      <w:r>
        <w:rPr>
          <w:rFonts w:ascii="Times New Roman" w:hAnsi="Times New Roman"/>
          <w:sz w:val="28"/>
          <w:szCs w:val="28"/>
        </w:rPr>
        <w:t>30,2 </w:t>
      </w:r>
      <w:r w:rsidRPr="006A7FA7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,</w:t>
      </w:r>
      <w:r w:rsidRPr="006A7F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10 </w:t>
      </w:r>
      <w:r w:rsidRPr="006A7FA7">
        <w:rPr>
          <w:rFonts w:ascii="Times New Roman" w:hAnsi="Times New Roman"/>
          <w:sz w:val="28"/>
          <w:szCs w:val="28"/>
        </w:rPr>
        <w:t>«Социальная политика» (</w:t>
      </w:r>
      <w:r>
        <w:rPr>
          <w:rFonts w:ascii="Times New Roman" w:hAnsi="Times New Roman"/>
          <w:sz w:val="28"/>
          <w:szCs w:val="28"/>
        </w:rPr>
        <w:t>19,7</w:t>
      </w:r>
      <w:r w:rsidRPr="006A7FA7">
        <w:rPr>
          <w:rFonts w:ascii="Times New Roman" w:hAnsi="Times New Roman"/>
          <w:sz w:val="28"/>
          <w:szCs w:val="28"/>
        </w:rPr>
        <w:t xml:space="preserve"> %), </w:t>
      </w:r>
      <w:r>
        <w:rPr>
          <w:rFonts w:ascii="Times New Roman" w:hAnsi="Times New Roman"/>
          <w:sz w:val="28"/>
          <w:szCs w:val="28"/>
        </w:rPr>
        <w:t>09 </w:t>
      </w:r>
      <w:r w:rsidRPr="006A7FA7">
        <w:rPr>
          <w:rFonts w:ascii="Times New Roman" w:hAnsi="Times New Roman"/>
          <w:sz w:val="28"/>
          <w:szCs w:val="28"/>
        </w:rPr>
        <w:t>«Здравоохранение» (</w:t>
      </w:r>
      <w:r>
        <w:rPr>
          <w:rFonts w:ascii="Times New Roman" w:hAnsi="Times New Roman"/>
          <w:sz w:val="28"/>
          <w:szCs w:val="28"/>
        </w:rPr>
        <w:t>17,1</w:t>
      </w:r>
      <w:r w:rsidRPr="006A7FA7">
        <w:rPr>
          <w:rFonts w:ascii="Times New Roman" w:hAnsi="Times New Roman"/>
          <w:sz w:val="28"/>
          <w:szCs w:val="28"/>
        </w:rPr>
        <w:t xml:space="preserve"> %), и </w:t>
      </w:r>
      <w:r>
        <w:rPr>
          <w:rFonts w:ascii="Times New Roman" w:hAnsi="Times New Roman"/>
          <w:sz w:val="28"/>
          <w:szCs w:val="28"/>
        </w:rPr>
        <w:t>04 </w:t>
      </w:r>
      <w:r w:rsidRPr="006A7FA7">
        <w:rPr>
          <w:rFonts w:ascii="Times New Roman" w:hAnsi="Times New Roman"/>
          <w:sz w:val="28"/>
          <w:szCs w:val="28"/>
        </w:rPr>
        <w:t>«Национальная экономика» (</w:t>
      </w:r>
      <w:r>
        <w:rPr>
          <w:rFonts w:ascii="Times New Roman" w:hAnsi="Times New Roman"/>
          <w:sz w:val="28"/>
          <w:szCs w:val="28"/>
        </w:rPr>
        <w:t>10,2</w:t>
      </w:r>
      <w:r w:rsidRPr="006A7FA7">
        <w:rPr>
          <w:rFonts w:ascii="Times New Roman" w:hAnsi="Times New Roman"/>
          <w:sz w:val="28"/>
          <w:szCs w:val="28"/>
        </w:rPr>
        <w:t> %)</w:t>
      </w:r>
      <w:r w:rsidR="008617CE">
        <w:rPr>
          <w:rFonts w:ascii="Times New Roman" w:hAnsi="Times New Roman"/>
          <w:sz w:val="28"/>
          <w:szCs w:val="28"/>
        </w:rPr>
        <w:t xml:space="preserve">, что отражено в таблице </w:t>
      </w:r>
      <w:r w:rsidR="00080440">
        <w:rPr>
          <w:rFonts w:ascii="Times New Roman" w:hAnsi="Times New Roman"/>
          <w:sz w:val="28"/>
          <w:szCs w:val="28"/>
        </w:rPr>
        <w:t>5</w:t>
      </w:r>
      <w:r w:rsidRPr="006A7FA7">
        <w:rPr>
          <w:rFonts w:ascii="Times New Roman" w:hAnsi="Times New Roman"/>
          <w:sz w:val="28"/>
          <w:szCs w:val="28"/>
        </w:rPr>
        <w:t>.</w:t>
      </w:r>
    </w:p>
    <w:p w:rsidR="009A46CC" w:rsidRDefault="008617CE" w:rsidP="008617C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8617CE">
        <w:rPr>
          <w:rFonts w:ascii="Times New Roman" w:hAnsi="Times New Roman"/>
          <w:sz w:val="24"/>
          <w:szCs w:val="24"/>
        </w:rPr>
        <w:t xml:space="preserve">Таблица </w:t>
      </w:r>
      <w:r w:rsidR="00080440">
        <w:rPr>
          <w:rFonts w:ascii="Times New Roman" w:hAnsi="Times New Roman"/>
          <w:sz w:val="24"/>
          <w:szCs w:val="24"/>
        </w:rPr>
        <w:t>5</w:t>
      </w:r>
    </w:p>
    <w:p w:rsidR="008617CE" w:rsidRPr="008617CE" w:rsidRDefault="008617CE" w:rsidP="008617CE">
      <w:pPr>
        <w:spacing w:after="0" w:line="240" w:lineRule="auto"/>
        <w:ind w:firstLine="709"/>
        <w:jc w:val="center"/>
        <w:rPr>
          <w:rFonts w:ascii="Times New Roman" w:hAnsi="Times New Roman"/>
          <w:sz w:val="10"/>
          <w:szCs w:val="1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701"/>
        <w:gridCol w:w="1134"/>
        <w:gridCol w:w="1276"/>
        <w:gridCol w:w="1559"/>
      </w:tblGrid>
      <w:tr w:rsidR="00021D2F" w:rsidRPr="00574835" w:rsidTr="00833D6A">
        <w:trPr>
          <w:trHeight w:val="303"/>
          <w:tblHeader/>
        </w:trPr>
        <w:tc>
          <w:tcPr>
            <w:tcW w:w="2694" w:type="dxa"/>
            <w:vMerge w:val="restart"/>
          </w:tcPr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33D6A">
              <w:rPr>
                <w:rFonts w:ascii="Times New Roman" w:hAnsi="Times New Roman"/>
                <w:b/>
                <w:sz w:val="18"/>
                <w:szCs w:val="18"/>
              </w:rPr>
              <w:t>Разделы классификации расходов бюджетов</w:t>
            </w:r>
          </w:p>
        </w:tc>
        <w:tc>
          <w:tcPr>
            <w:tcW w:w="992" w:type="dxa"/>
            <w:vMerge w:val="restart"/>
          </w:tcPr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3D6A">
              <w:rPr>
                <w:rFonts w:ascii="Times New Roman" w:hAnsi="Times New Roman"/>
                <w:b/>
                <w:sz w:val="18"/>
                <w:szCs w:val="18"/>
              </w:rPr>
              <w:t>Расходы</w:t>
            </w:r>
            <w:r w:rsidRPr="00833D6A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33D6A">
              <w:rPr>
                <w:rFonts w:ascii="Times New Roman" w:hAnsi="Times New Roman"/>
                <w:b/>
                <w:sz w:val="18"/>
                <w:szCs w:val="18"/>
              </w:rPr>
              <w:t>млрд. рублей</w:t>
            </w:r>
          </w:p>
        </w:tc>
        <w:tc>
          <w:tcPr>
            <w:tcW w:w="4111" w:type="dxa"/>
            <w:gridSpan w:val="3"/>
          </w:tcPr>
          <w:p w:rsidR="00021D2F" w:rsidRPr="00833D6A" w:rsidRDefault="008617CE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 %</w:t>
            </w:r>
            <w:r w:rsidR="00021D2F" w:rsidRPr="00833D6A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  <w:tc>
          <w:tcPr>
            <w:tcW w:w="1559" w:type="dxa"/>
            <w:vMerge w:val="restart"/>
          </w:tcPr>
          <w:p w:rsidR="00021D2F" w:rsidRPr="00833D6A" w:rsidRDefault="008617CE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</w:t>
            </w:r>
            <w:r w:rsidR="00833D6A" w:rsidRPr="00833D6A">
              <w:rPr>
                <w:rFonts w:ascii="Times New Roman" w:hAnsi="Times New Roman"/>
                <w:b/>
                <w:sz w:val="16"/>
                <w:szCs w:val="16"/>
              </w:rPr>
              <w:t>нварь - февраль</w:t>
            </w:r>
          </w:p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33D6A">
              <w:rPr>
                <w:rFonts w:ascii="Times New Roman" w:hAnsi="Times New Roman"/>
                <w:b/>
                <w:sz w:val="16"/>
                <w:szCs w:val="16"/>
              </w:rPr>
              <w:t xml:space="preserve"> 2015 года</w:t>
            </w:r>
          </w:p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33D6A">
              <w:rPr>
                <w:rFonts w:ascii="Times New Roman" w:hAnsi="Times New Roman"/>
                <w:b/>
                <w:sz w:val="16"/>
                <w:szCs w:val="16"/>
              </w:rPr>
              <w:t xml:space="preserve"> к </w:t>
            </w:r>
            <w:r w:rsidR="00833D6A" w:rsidRPr="00833D6A">
              <w:rPr>
                <w:rFonts w:ascii="Times New Roman" w:hAnsi="Times New Roman"/>
                <w:b/>
                <w:sz w:val="16"/>
                <w:szCs w:val="16"/>
              </w:rPr>
              <w:t>январю - февралю</w:t>
            </w:r>
            <w:r w:rsidRPr="00833D6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3D6A">
              <w:rPr>
                <w:rFonts w:ascii="Times New Roman" w:hAnsi="Times New Roman"/>
                <w:b/>
                <w:sz w:val="16"/>
                <w:szCs w:val="16"/>
              </w:rPr>
              <w:t xml:space="preserve">2014 года, </w:t>
            </w:r>
            <w:proofErr w:type="gramStart"/>
            <w:r w:rsidRPr="00833D6A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proofErr w:type="gramEnd"/>
            <w:r w:rsidRPr="00833D6A">
              <w:rPr>
                <w:rFonts w:ascii="Times New Roman" w:hAnsi="Times New Roman"/>
                <w:b/>
                <w:sz w:val="16"/>
                <w:szCs w:val="16"/>
              </w:rPr>
              <w:t> %</w:t>
            </w:r>
          </w:p>
        </w:tc>
      </w:tr>
      <w:tr w:rsidR="00021D2F" w:rsidRPr="00574835" w:rsidTr="00833D6A">
        <w:trPr>
          <w:trHeight w:val="401"/>
          <w:tblHeader/>
        </w:trPr>
        <w:tc>
          <w:tcPr>
            <w:tcW w:w="2694" w:type="dxa"/>
            <w:vMerge/>
          </w:tcPr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21D2F" w:rsidRPr="00833D6A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021D2F" w:rsidRPr="00833D6A" w:rsidRDefault="008617CE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 </w:t>
            </w:r>
            <w:r w:rsidR="00021D2F" w:rsidRPr="00833D6A">
              <w:rPr>
                <w:rFonts w:ascii="Times New Roman" w:hAnsi="Times New Roman"/>
                <w:b/>
                <w:sz w:val="18"/>
                <w:szCs w:val="18"/>
              </w:rPr>
              <w:t>утвержденным бюджетным назначениям</w:t>
            </w:r>
          </w:p>
        </w:tc>
        <w:tc>
          <w:tcPr>
            <w:tcW w:w="1134" w:type="dxa"/>
          </w:tcPr>
          <w:p w:rsidR="00021D2F" w:rsidRPr="00833D6A" w:rsidRDefault="008617CE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 </w:t>
            </w:r>
            <w:r w:rsidR="00021D2F" w:rsidRPr="00833D6A">
              <w:rPr>
                <w:rFonts w:ascii="Times New Roman" w:hAnsi="Times New Roman"/>
                <w:b/>
                <w:sz w:val="18"/>
                <w:szCs w:val="18"/>
              </w:rPr>
              <w:t>общему объему расходов</w:t>
            </w:r>
          </w:p>
        </w:tc>
        <w:tc>
          <w:tcPr>
            <w:tcW w:w="1276" w:type="dxa"/>
          </w:tcPr>
          <w:p w:rsidR="00021D2F" w:rsidRPr="00833D6A" w:rsidRDefault="008617CE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к </w:t>
            </w:r>
            <w:r w:rsidR="00021D2F" w:rsidRPr="00833D6A">
              <w:rPr>
                <w:rFonts w:ascii="Times New Roman" w:hAnsi="Times New Roman"/>
                <w:b/>
                <w:sz w:val="18"/>
                <w:szCs w:val="18"/>
              </w:rPr>
              <w:t>расходам на 1 марта 2015 года</w:t>
            </w:r>
          </w:p>
        </w:tc>
        <w:tc>
          <w:tcPr>
            <w:tcW w:w="1559" w:type="dxa"/>
            <w:vMerge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1D2F" w:rsidRPr="00574835" w:rsidTr="00833D6A">
        <w:trPr>
          <w:trHeight w:val="521"/>
        </w:trPr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0100</w:t>
            </w:r>
            <w:r w:rsidR="00833D6A">
              <w:rPr>
                <w:rFonts w:ascii="Times New Roman" w:hAnsi="Times New Roman"/>
                <w:sz w:val="20"/>
                <w:szCs w:val="20"/>
              </w:rPr>
              <w:t> 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69,4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835">
              <w:rPr>
                <w:rFonts w:ascii="Times New Roman" w:hAnsi="Times New Roman"/>
              </w:rPr>
              <w:t>6,4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102,0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104,1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0200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Национальная оборона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0,03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159,5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0300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10,3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104,4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0400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Национальная экономика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110,2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100,2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89,1</w:t>
            </w:r>
          </w:p>
        </w:tc>
      </w:tr>
      <w:tr w:rsidR="00021D2F" w:rsidRPr="00574835" w:rsidTr="00833D6A">
        <w:trPr>
          <w:trHeight w:val="497"/>
        </w:trPr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0500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73,9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111,2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89,6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0600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Охрана окружающей среды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14,1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195,7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83,5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0700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Образование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327,3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30,2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107,8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97,1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0800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Культура и кинематография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12,4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4835">
              <w:rPr>
                <w:rFonts w:ascii="Times New Roman" w:hAnsi="Times New Roman"/>
              </w:rPr>
              <w:t>3,5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102,2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101,0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0900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Здравоохранение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185,3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108,2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104,8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1000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Социальная политика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212,6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111,7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1100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1200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Средства массовой информации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119,8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1300 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12,6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136,5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1400</w:t>
            </w:r>
            <w:r w:rsidRPr="00574835">
              <w:rPr>
                <w:rFonts w:ascii="Times New Roman" w:hAnsi="Times New Roman"/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0,005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167,0</w:t>
            </w:r>
          </w:p>
        </w:tc>
      </w:tr>
      <w:tr w:rsidR="00021D2F" w:rsidRPr="00574835" w:rsidTr="00833D6A">
        <w:tc>
          <w:tcPr>
            <w:tcW w:w="2694" w:type="dxa"/>
          </w:tcPr>
          <w:p w:rsidR="00021D2F" w:rsidRPr="00574835" w:rsidRDefault="00021D2F" w:rsidP="00021D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483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1 081,8</w:t>
            </w:r>
          </w:p>
        </w:tc>
        <w:tc>
          <w:tcPr>
            <w:tcW w:w="1701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11,4</w:t>
            </w:r>
          </w:p>
        </w:tc>
        <w:tc>
          <w:tcPr>
            <w:tcW w:w="1134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4835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76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107,8</w:t>
            </w:r>
          </w:p>
        </w:tc>
        <w:tc>
          <w:tcPr>
            <w:tcW w:w="1559" w:type="dxa"/>
            <w:vAlign w:val="center"/>
          </w:tcPr>
          <w:p w:rsidR="00021D2F" w:rsidRPr="00574835" w:rsidRDefault="00021D2F" w:rsidP="00021D2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99,3</w:t>
            </w:r>
          </w:p>
        </w:tc>
      </w:tr>
    </w:tbl>
    <w:p w:rsidR="00021D2F" w:rsidRPr="00CD6D3A" w:rsidRDefault="00021D2F" w:rsidP="009A46CC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A7FA7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 xml:space="preserve">показателями аналогичного периода </w:t>
      </w:r>
      <w:r w:rsidRPr="006A7FA7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6A7FA7">
        <w:rPr>
          <w:rFonts w:ascii="Times New Roman" w:hAnsi="Times New Roman"/>
          <w:sz w:val="28"/>
          <w:szCs w:val="28"/>
        </w:rPr>
        <w:t xml:space="preserve"> года </w:t>
      </w:r>
      <w:r>
        <w:rPr>
          <w:rFonts w:ascii="Times New Roman" w:hAnsi="Times New Roman"/>
          <w:sz w:val="28"/>
          <w:szCs w:val="28"/>
        </w:rPr>
        <w:t xml:space="preserve">рост расходов </w:t>
      </w:r>
      <w:r w:rsidRPr="006A7FA7">
        <w:rPr>
          <w:rFonts w:ascii="Times New Roman" w:hAnsi="Times New Roman"/>
          <w:sz w:val="28"/>
          <w:szCs w:val="28"/>
        </w:rPr>
        <w:t>произош</w:t>
      </w:r>
      <w:r>
        <w:rPr>
          <w:rFonts w:ascii="Times New Roman" w:hAnsi="Times New Roman"/>
          <w:sz w:val="28"/>
          <w:szCs w:val="28"/>
        </w:rPr>
        <w:t>ел</w:t>
      </w:r>
      <w:r w:rsidRPr="006A7FA7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всем разделам бюджетной классификации за исключением раздела 11 «Физическая культура», снижение расходов по которому составило 2 %. 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Рост</w:t>
      </w:r>
      <w:r w:rsidRPr="006A7FA7">
        <w:rPr>
          <w:rFonts w:ascii="Times New Roman" w:hAnsi="Times New Roman"/>
          <w:sz w:val="28"/>
          <w:szCs w:val="28"/>
        </w:rPr>
        <w:t xml:space="preserve"> расходов по раздел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6A7FA7">
        <w:rPr>
          <w:rFonts w:ascii="Times New Roman" w:hAnsi="Times New Roman"/>
          <w:sz w:val="28"/>
          <w:szCs w:val="28"/>
        </w:rPr>
        <w:t xml:space="preserve"> 01 «О</w:t>
      </w:r>
      <w:r>
        <w:rPr>
          <w:rFonts w:ascii="Times New Roman" w:hAnsi="Times New Roman"/>
          <w:sz w:val="28"/>
          <w:szCs w:val="28"/>
        </w:rPr>
        <w:t>бщегосударственные вопросы» составил 2 %</w:t>
      </w:r>
      <w:r w:rsidRPr="006A7FA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 разделу 02 «Национальная оборона» - 12,9 %, по разделу 03 «Национальная безопасность и правоохранительная деятельность» - 4,4 %, по разделу </w:t>
      </w:r>
      <w:r w:rsidRPr="006A7FA7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 </w:t>
      </w:r>
      <w:r w:rsidRPr="006A7FA7">
        <w:rPr>
          <w:rFonts w:ascii="Times New Roman" w:hAnsi="Times New Roman"/>
          <w:sz w:val="28"/>
          <w:szCs w:val="28"/>
        </w:rPr>
        <w:t>«Жилищно-коммунальное хозяйство»</w:t>
      </w:r>
      <w:r w:rsidR="00833D6A">
        <w:rPr>
          <w:rFonts w:ascii="Times New Roman" w:hAnsi="Times New Roman"/>
          <w:sz w:val="28"/>
          <w:szCs w:val="28"/>
        </w:rPr>
        <w:t xml:space="preserve"> - 11,2 %, по разделу 06 </w:t>
      </w:r>
      <w:r>
        <w:rPr>
          <w:rFonts w:ascii="Times New Roman" w:hAnsi="Times New Roman"/>
          <w:sz w:val="28"/>
          <w:szCs w:val="28"/>
        </w:rPr>
        <w:t xml:space="preserve">«Охрана окружающей среды» - 95,7 %, по разделу «Образование» - 7,8 %, по разделу 08 «Культура и кинематография» - 2,2 %, по разделу </w:t>
      </w:r>
      <w:r w:rsidRPr="00135231">
        <w:rPr>
          <w:rFonts w:ascii="Times New Roman" w:hAnsi="Times New Roman"/>
          <w:sz w:val="28"/>
          <w:szCs w:val="28"/>
        </w:rPr>
        <w:t>09 «Здравоохранение»</w:t>
      </w:r>
      <w:r>
        <w:rPr>
          <w:rFonts w:ascii="Times New Roman" w:hAnsi="Times New Roman"/>
          <w:sz w:val="28"/>
          <w:szCs w:val="28"/>
        </w:rPr>
        <w:t xml:space="preserve"> - 8,2 %, по разделу 10 «Социальная политика» - 11,6 % и</w:t>
      </w:r>
      <w:proofErr w:type="gramEnd"/>
      <w:r>
        <w:rPr>
          <w:rFonts w:ascii="Times New Roman" w:hAnsi="Times New Roman"/>
          <w:sz w:val="28"/>
          <w:szCs w:val="28"/>
        </w:rPr>
        <w:t xml:space="preserve"> по разделу 12 «Средства массовой инфо</w:t>
      </w:r>
      <w:r w:rsidR="00833D6A">
        <w:rPr>
          <w:rFonts w:ascii="Times New Roman" w:hAnsi="Times New Roman"/>
          <w:sz w:val="28"/>
          <w:szCs w:val="28"/>
        </w:rPr>
        <w:t>рмации» - 19,8 %. По разделу 04 </w:t>
      </w:r>
      <w:r>
        <w:rPr>
          <w:rFonts w:ascii="Times New Roman" w:hAnsi="Times New Roman"/>
          <w:sz w:val="28"/>
          <w:szCs w:val="28"/>
        </w:rPr>
        <w:t>«Национальная экономика» расходы остались на уровне 2015 года.</w:t>
      </w:r>
      <w:r w:rsidRPr="009E50E6">
        <w:rPr>
          <w:rFonts w:ascii="Times New Roman" w:hAnsi="Times New Roman"/>
          <w:sz w:val="28"/>
          <w:szCs w:val="28"/>
        </w:rPr>
        <w:t xml:space="preserve"> </w:t>
      </w:r>
    </w:p>
    <w:p w:rsidR="00930C43" w:rsidRDefault="00930C43" w:rsidP="007E2E47">
      <w:pPr>
        <w:pStyle w:val="af6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разделу 01 «Общегосударственные вопросы» увеличение произошло в  45 субъектах Российской Федерации, при этом в 15 регионах рост расходов составил более 10 %, из них наиболее знач</w:t>
      </w:r>
      <w:r w:rsidR="007E2E47">
        <w:rPr>
          <w:rFonts w:ascii="Times New Roman" w:hAnsi="Times New Roman" w:cs="Times New Roman"/>
          <w:sz w:val="28"/>
          <w:szCs w:val="28"/>
        </w:rPr>
        <w:t>ительный в Республике Ингушетия </w:t>
      </w:r>
      <w:r>
        <w:rPr>
          <w:rFonts w:ascii="Times New Roman" w:hAnsi="Times New Roman" w:cs="Times New Roman"/>
          <w:sz w:val="28"/>
          <w:szCs w:val="28"/>
        </w:rPr>
        <w:t>– 49,4 %, Удмуртской Республике – 29,8 %, Московской области – 27,1 % и Кировской области – 22,0 %. Рост расходов на общегосударственные вопросы обусловлен планированием в начале года на этом разделе резервов на уплату налогов, на увеличение фонда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 и выплату страховых взносов в рамках реализации «дорожных карт» в части повышения оплаты труда отдельных категорий работников бюджетной сферы, а также резервированием средств, которые в течение финансового года направляются на непредвиденные расходы и на решение неотложных вопросов.</w:t>
      </w:r>
    </w:p>
    <w:p w:rsidR="00930C43" w:rsidRDefault="00930C43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разделу 04 «Национальная экономика» расходы выросли в 40 субъектах Российской Федерации, из них в 23 регионах рост расходов составил более 30 %. Наибольший рост расходов на национальную экономику сложился в Приморском крае – в 2,4 раза, в Челябинской области – в 2,3 раза, в Орловской, Курской областях и городе Санкт-Петербурге – в 2 раза, в </w:t>
      </w:r>
      <w:r>
        <w:rPr>
          <w:rFonts w:ascii="Times New Roman" w:hAnsi="Times New Roman"/>
          <w:sz w:val="28"/>
          <w:szCs w:val="28"/>
        </w:rPr>
        <w:lastRenderedPageBreak/>
        <w:t>Республике Калмыкия, Республике Коми и Ставропольском крае – в</w:t>
      </w:r>
      <w:proofErr w:type="gramEnd"/>
      <w:r>
        <w:rPr>
          <w:rFonts w:ascii="Times New Roman" w:hAnsi="Times New Roman"/>
          <w:sz w:val="28"/>
          <w:szCs w:val="28"/>
        </w:rPr>
        <w:t xml:space="preserve"> 1,8 раз, в Кировской области – в 1,7 раз. Причиной роста является в основном рост расходов региональных и муниципальных дорожных фондов.</w:t>
      </w:r>
    </w:p>
    <w:p w:rsidR="00930C43" w:rsidRDefault="00930C43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снижение расходов по указанному направлению расходов отмечено в Липецкой области (40 %), Смоленской области (40,4 %), Ростовской области (47,8 %), Пензенск</w:t>
      </w:r>
      <w:r w:rsidR="00E86D5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област</w:t>
      </w:r>
      <w:r w:rsidR="00E86D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(48,7 %), Саратовск</w:t>
      </w:r>
      <w:r w:rsidR="00E86D5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област</w:t>
      </w:r>
      <w:r w:rsidR="00E86D55">
        <w:rPr>
          <w:rFonts w:ascii="Times New Roman" w:hAnsi="Times New Roman"/>
          <w:sz w:val="28"/>
          <w:szCs w:val="28"/>
        </w:rPr>
        <w:t>и</w:t>
      </w:r>
      <w:r w:rsidR="008617CE">
        <w:rPr>
          <w:rFonts w:ascii="Times New Roman" w:hAnsi="Times New Roman"/>
          <w:sz w:val="28"/>
          <w:szCs w:val="28"/>
        </w:rPr>
        <w:t xml:space="preserve"> (55,6 %), Алтайск</w:t>
      </w:r>
      <w:r w:rsidR="00E86D55">
        <w:rPr>
          <w:rFonts w:ascii="Times New Roman" w:hAnsi="Times New Roman"/>
          <w:sz w:val="28"/>
          <w:szCs w:val="28"/>
        </w:rPr>
        <w:t>ом крае</w:t>
      </w:r>
      <w:r w:rsidR="008617CE">
        <w:rPr>
          <w:rFonts w:ascii="Times New Roman" w:hAnsi="Times New Roman"/>
          <w:sz w:val="28"/>
          <w:szCs w:val="28"/>
        </w:rPr>
        <w:t xml:space="preserve"> (55 </w:t>
      </w:r>
      <w:r>
        <w:rPr>
          <w:rFonts w:ascii="Times New Roman" w:hAnsi="Times New Roman"/>
          <w:sz w:val="28"/>
          <w:szCs w:val="28"/>
        </w:rPr>
        <w:t>%), Амурск</w:t>
      </w:r>
      <w:r w:rsidR="00E86D5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област</w:t>
      </w:r>
      <w:r w:rsidR="00E86D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(44,5 %) и Еврейск</w:t>
      </w:r>
      <w:r w:rsidR="00E86D5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автономн</w:t>
      </w:r>
      <w:r w:rsidR="00E86D55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област</w:t>
      </w:r>
      <w:r w:rsidR="00E86D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(47,6 %). </w:t>
      </w:r>
    </w:p>
    <w:p w:rsidR="00021D2F" w:rsidRPr="00246D4A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Кроме того, по разделу 04 «Национальная экономика» отмечен низкий уровень исполнения </w:t>
      </w:r>
      <w:r w:rsidRPr="006A7FA7">
        <w:rPr>
          <w:rFonts w:ascii="Times New Roman" w:hAnsi="Times New Roman"/>
          <w:sz w:val="28"/>
          <w:szCs w:val="28"/>
        </w:rPr>
        <w:t>прогнозируемого объема</w:t>
      </w:r>
      <w:r>
        <w:rPr>
          <w:rFonts w:ascii="Times New Roman" w:hAnsi="Times New Roman"/>
          <w:sz w:val="28"/>
          <w:szCs w:val="28"/>
        </w:rPr>
        <w:t>, который на 1 марта 2016 года составил 6,8%.</w:t>
      </w:r>
      <w:r w:rsidRPr="006A7F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информации ряда субъектов Российской Федерации</w:t>
      </w:r>
      <w:r w:rsidR="008617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низкое исполнение </w:t>
      </w:r>
      <w:r w:rsidRPr="00DB292F">
        <w:rPr>
          <w:rFonts w:ascii="Times New Roman" w:hAnsi="Times New Roman"/>
          <w:sz w:val="28"/>
          <w:szCs w:val="28"/>
        </w:rPr>
        <w:t xml:space="preserve">расходов по данному направлению </w:t>
      </w:r>
      <w:r>
        <w:rPr>
          <w:rFonts w:ascii="Times New Roman" w:hAnsi="Times New Roman"/>
          <w:sz w:val="28"/>
          <w:szCs w:val="28"/>
        </w:rPr>
        <w:t xml:space="preserve">обусловлено </w:t>
      </w:r>
      <w:r w:rsidRPr="00DB292F">
        <w:rPr>
          <w:rFonts w:ascii="Times New Roman" w:hAnsi="Times New Roman"/>
          <w:sz w:val="28"/>
          <w:szCs w:val="28"/>
        </w:rPr>
        <w:t xml:space="preserve">в основном за </w:t>
      </w:r>
      <w:r w:rsidRPr="00246D4A">
        <w:rPr>
          <w:rFonts w:ascii="Times New Roman" w:hAnsi="Times New Roman"/>
          <w:sz w:val="28"/>
          <w:szCs w:val="28"/>
        </w:rPr>
        <w:t>счет низкого уровня доведения предельных объемов финансирования по федеральным средствам в отрасли сельского хозяйства</w:t>
      </w:r>
      <w:r>
        <w:rPr>
          <w:rFonts w:ascii="Times New Roman" w:hAnsi="Times New Roman"/>
          <w:sz w:val="28"/>
          <w:szCs w:val="28"/>
        </w:rPr>
        <w:t xml:space="preserve"> (Брянская область</w:t>
      </w:r>
      <w:r w:rsidR="00504664">
        <w:rPr>
          <w:rStyle w:val="af1"/>
          <w:rFonts w:ascii="Times New Roman" w:hAnsi="Times New Roman"/>
          <w:sz w:val="28"/>
          <w:szCs w:val="28"/>
        </w:rPr>
        <w:footnoteReference w:id="9"/>
      </w:r>
      <w:r>
        <w:rPr>
          <w:rFonts w:ascii="Times New Roman" w:hAnsi="Times New Roman"/>
          <w:sz w:val="28"/>
          <w:szCs w:val="28"/>
        </w:rPr>
        <w:t>, Пензенская область</w:t>
      </w:r>
      <w:r w:rsidR="00504664">
        <w:rPr>
          <w:rStyle w:val="af1"/>
          <w:rFonts w:ascii="Times New Roman" w:hAnsi="Times New Roman"/>
          <w:sz w:val="28"/>
          <w:szCs w:val="28"/>
        </w:rPr>
        <w:footnoteReference w:id="10"/>
      </w:r>
      <w:r>
        <w:rPr>
          <w:rFonts w:ascii="Times New Roman" w:hAnsi="Times New Roman"/>
          <w:sz w:val="28"/>
          <w:szCs w:val="28"/>
        </w:rPr>
        <w:t>, Псковская область</w:t>
      </w:r>
      <w:r w:rsidR="00504664">
        <w:rPr>
          <w:rStyle w:val="af1"/>
          <w:rFonts w:ascii="Times New Roman" w:hAnsi="Times New Roman"/>
          <w:sz w:val="28"/>
          <w:szCs w:val="28"/>
        </w:rPr>
        <w:footnoteReference w:id="11"/>
      </w:r>
      <w:r w:rsidR="00930C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930C43">
        <w:rPr>
          <w:rFonts w:ascii="Times New Roman" w:hAnsi="Times New Roman"/>
          <w:sz w:val="28"/>
          <w:szCs w:val="28"/>
        </w:rPr>
        <w:t>Республика Татарстан</w:t>
      </w:r>
      <w:r w:rsidR="008617CE">
        <w:rPr>
          <w:rStyle w:val="af1"/>
          <w:rFonts w:ascii="Times New Roman" w:hAnsi="Times New Roman"/>
          <w:sz w:val="28"/>
          <w:szCs w:val="28"/>
        </w:rPr>
        <w:footnoteReference w:id="12"/>
      </w:r>
      <w:r w:rsidR="00930C43">
        <w:rPr>
          <w:rFonts w:ascii="Times New Roman" w:hAnsi="Times New Roman"/>
          <w:sz w:val="28"/>
          <w:szCs w:val="28"/>
        </w:rPr>
        <w:t>, Удмуртская</w:t>
      </w:r>
      <w:proofErr w:type="gramEnd"/>
      <w:r w:rsidR="00930C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0C43">
        <w:rPr>
          <w:rFonts w:ascii="Times New Roman" w:hAnsi="Times New Roman"/>
          <w:sz w:val="28"/>
          <w:szCs w:val="28"/>
        </w:rPr>
        <w:t>Республика</w:t>
      </w:r>
      <w:r w:rsidR="008617CE">
        <w:rPr>
          <w:rStyle w:val="af1"/>
          <w:rFonts w:ascii="Times New Roman" w:hAnsi="Times New Roman"/>
          <w:sz w:val="28"/>
          <w:szCs w:val="28"/>
        </w:rPr>
        <w:footnoteReference w:id="13"/>
      </w:r>
      <w:r w:rsidR="00930C43">
        <w:rPr>
          <w:rFonts w:ascii="Times New Roman" w:hAnsi="Times New Roman"/>
          <w:sz w:val="28"/>
          <w:szCs w:val="28"/>
        </w:rPr>
        <w:t>, Республика Алтай</w:t>
      </w:r>
      <w:r w:rsidR="008617CE">
        <w:rPr>
          <w:rStyle w:val="af1"/>
          <w:rFonts w:ascii="Times New Roman" w:hAnsi="Times New Roman"/>
          <w:sz w:val="28"/>
          <w:szCs w:val="28"/>
        </w:rPr>
        <w:footnoteReference w:id="14"/>
      </w:r>
      <w:r w:rsidR="00930C43">
        <w:rPr>
          <w:rFonts w:ascii="Times New Roman" w:hAnsi="Times New Roman"/>
          <w:sz w:val="28"/>
          <w:szCs w:val="28"/>
        </w:rPr>
        <w:t xml:space="preserve"> и другие регионы</w:t>
      </w:r>
      <w:r>
        <w:rPr>
          <w:rFonts w:ascii="Times New Roman" w:hAnsi="Times New Roman"/>
          <w:sz w:val="28"/>
          <w:szCs w:val="28"/>
        </w:rPr>
        <w:t>)</w:t>
      </w:r>
      <w:r w:rsidRPr="00246D4A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расходов по разделу 07 «Образование» отмечен в 62 регионах, при этом в 24 субъектах Российской Федерации рост составил более 10 %, из них наибольший рост сложился в Республике Дагестан (31,1 %), Республике Ингушетия (25,6 %), Чеченской Республике (33,7 %), Республике Тыва (31,4 %), Ростовской области (</w:t>
      </w:r>
      <w:r w:rsidR="00EF7F41">
        <w:rPr>
          <w:rFonts w:ascii="Times New Roman" w:hAnsi="Times New Roman"/>
          <w:sz w:val="28"/>
          <w:szCs w:val="28"/>
        </w:rPr>
        <w:t>30,1 %), Тюменской области (28</w:t>
      </w:r>
      <w:r>
        <w:rPr>
          <w:rFonts w:ascii="Times New Roman" w:hAnsi="Times New Roman"/>
          <w:sz w:val="28"/>
          <w:szCs w:val="28"/>
        </w:rPr>
        <w:t xml:space="preserve"> %), Магаданской области (36,9 %). 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расходов по разделу 09 «Здравоохранение» отмечено в 58 регионах, при этом в 25 субъектах Российской Федерации расходы </w:t>
      </w:r>
      <w:r w:rsidRPr="00355B89">
        <w:rPr>
          <w:rFonts w:ascii="Times New Roman" w:hAnsi="Times New Roman"/>
          <w:sz w:val="28"/>
          <w:szCs w:val="28"/>
        </w:rPr>
        <w:t>выросли на 10 % и более. Наибольшие показатели роста сложилис</w:t>
      </w:r>
      <w:r w:rsidR="00EF7F41">
        <w:rPr>
          <w:rFonts w:ascii="Times New Roman" w:hAnsi="Times New Roman"/>
          <w:sz w:val="28"/>
          <w:szCs w:val="28"/>
        </w:rPr>
        <w:t>ь в Республике Алтай (37</w:t>
      </w:r>
      <w:r>
        <w:rPr>
          <w:rFonts w:ascii="Times New Roman" w:hAnsi="Times New Roman"/>
          <w:sz w:val="28"/>
          <w:szCs w:val="28"/>
        </w:rPr>
        <w:t> %),</w:t>
      </w:r>
      <w:r w:rsidRPr="00355B89">
        <w:rPr>
          <w:rFonts w:ascii="Times New Roman" w:hAnsi="Times New Roman"/>
          <w:sz w:val="28"/>
          <w:szCs w:val="28"/>
        </w:rPr>
        <w:t xml:space="preserve"> Республике Хакасия (</w:t>
      </w:r>
      <w:r>
        <w:rPr>
          <w:rFonts w:ascii="Times New Roman" w:hAnsi="Times New Roman"/>
          <w:sz w:val="28"/>
          <w:szCs w:val="28"/>
        </w:rPr>
        <w:t xml:space="preserve">45,6 %), Республике Калмыкия (87,6 %), Республике Марий Эл (20,7 %), </w:t>
      </w:r>
      <w:r w:rsidRPr="00355B89">
        <w:rPr>
          <w:rFonts w:ascii="Times New Roman" w:hAnsi="Times New Roman"/>
          <w:sz w:val="28"/>
          <w:szCs w:val="28"/>
        </w:rPr>
        <w:t>Забайк</w:t>
      </w:r>
      <w:r>
        <w:rPr>
          <w:rFonts w:ascii="Times New Roman" w:hAnsi="Times New Roman"/>
          <w:sz w:val="28"/>
          <w:szCs w:val="28"/>
        </w:rPr>
        <w:t xml:space="preserve">альском крае (60,8%), Вологодской области </w:t>
      </w:r>
      <w:r w:rsidRPr="00355B8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20,7</w:t>
      </w:r>
      <w:r w:rsidRPr="00355B89">
        <w:rPr>
          <w:rFonts w:ascii="Times New Roman" w:hAnsi="Times New Roman"/>
          <w:sz w:val="28"/>
          <w:szCs w:val="28"/>
        </w:rPr>
        <w:t> %)</w:t>
      </w:r>
      <w:r>
        <w:rPr>
          <w:rFonts w:ascii="Times New Roman" w:hAnsi="Times New Roman"/>
          <w:sz w:val="28"/>
          <w:szCs w:val="28"/>
        </w:rPr>
        <w:t xml:space="preserve">, Ленинградской области </w:t>
      </w:r>
      <w:r w:rsidRPr="00355B8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22,6</w:t>
      </w:r>
      <w:r w:rsidRPr="00355B89">
        <w:rPr>
          <w:rFonts w:ascii="Times New Roman" w:hAnsi="Times New Roman"/>
          <w:sz w:val="28"/>
          <w:szCs w:val="28"/>
        </w:rPr>
        <w:t> %)</w:t>
      </w:r>
      <w:r>
        <w:rPr>
          <w:rFonts w:ascii="Times New Roman" w:hAnsi="Times New Roman"/>
          <w:sz w:val="28"/>
          <w:szCs w:val="28"/>
        </w:rPr>
        <w:t>, Магаданской области (32,2 %), Сахалинской области (23,1 %) и городе Москве (39,7 %)</w:t>
      </w:r>
      <w:r w:rsidRPr="00355B89">
        <w:rPr>
          <w:rFonts w:ascii="Times New Roman" w:hAnsi="Times New Roman"/>
          <w:sz w:val="28"/>
          <w:szCs w:val="28"/>
        </w:rPr>
        <w:t xml:space="preserve">. 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отметить, что основная доля расходов по данному разделу приходится на расходы субъектов Российской Федерации по </w:t>
      </w:r>
      <w:r w:rsidRPr="00351D55">
        <w:rPr>
          <w:rFonts w:ascii="Times New Roman" w:hAnsi="Times New Roman"/>
          <w:sz w:val="28"/>
          <w:szCs w:val="28"/>
        </w:rPr>
        <w:t>выплате страховых взносов на обязательное медицинское страхование неработающего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D55">
        <w:rPr>
          <w:rFonts w:ascii="Times New Roman" w:hAnsi="Times New Roman"/>
          <w:sz w:val="28"/>
          <w:szCs w:val="28"/>
        </w:rPr>
        <w:t>бюджету Федерального фонда обязательного медицинского страхования</w:t>
      </w:r>
      <w:r w:rsidR="00EF7F41">
        <w:rPr>
          <w:rFonts w:ascii="Times New Roman" w:hAnsi="Times New Roman"/>
          <w:sz w:val="28"/>
          <w:szCs w:val="28"/>
        </w:rPr>
        <w:t xml:space="preserve"> (далее – ФФОМС)</w:t>
      </w:r>
      <w:r>
        <w:rPr>
          <w:rFonts w:ascii="Times New Roman" w:hAnsi="Times New Roman"/>
          <w:sz w:val="28"/>
          <w:szCs w:val="28"/>
        </w:rPr>
        <w:t>.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информации, представленной ФФОМС, страховые взносы на обязательное медицинское страхование неработающего населения, зачисляемые в </w:t>
      </w:r>
      <w:r w:rsidR="00EF7F41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 xml:space="preserve">бюджет, на 2016 год составляют 617 709,2 млн. рублей. 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1 апреля 2016 года территориальными фондами обязательного медицинского страхования перечислены в бюджет ФФОМС страховые взносы на обязательное медицинское страхование неработающего населения в размере 153 287,2 млн. рублей</w:t>
      </w:r>
      <w:r w:rsidR="00EF7F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или 24,8 %. </w:t>
      </w:r>
    </w:p>
    <w:p w:rsidR="00021D2F" w:rsidRPr="006A0509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задолженности по перечислению в бюджет ФФОМС страховых взносов на обязательное медицинское страхование неработающего населения  составила 1 502,5 млн. рублей, в том числе по Республике Ингушетия – 391,7 млн. рублей, по Саратовской области – 814,4 млн. рублей, по Республике Хакасия – 296,4 млн. рублей.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B89">
        <w:rPr>
          <w:rFonts w:ascii="Times New Roman" w:hAnsi="Times New Roman"/>
          <w:sz w:val="28"/>
          <w:szCs w:val="28"/>
        </w:rPr>
        <w:t xml:space="preserve">Расходы по разделу </w:t>
      </w:r>
      <w:r>
        <w:rPr>
          <w:rFonts w:ascii="Times New Roman" w:hAnsi="Times New Roman"/>
          <w:sz w:val="28"/>
          <w:szCs w:val="28"/>
        </w:rPr>
        <w:t>10 </w:t>
      </w:r>
      <w:r w:rsidRPr="00355B89">
        <w:rPr>
          <w:rFonts w:ascii="Times New Roman" w:hAnsi="Times New Roman"/>
          <w:sz w:val="28"/>
          <w:szCs w:val="28"/>
        </w:rPr>
        <w:t>«Социал</w:t>
      </w:r>
      <w:r>
        <w:rPr>
          <w:rFonts w:ascii="Times New Roman" w:hAnsi="Times New Roman"/>
          <w:sz w:val="28"/>
          <w:szCs w:val="28"/>
        </w:rPr>
        <w:t>ьная политика» увеличились в 69 </w:t>
      </w:r>
      <w:r w:rsidRPr="00355B89">
        <w:rPr>
          <w:rFonts w:ascii="Times New Roman" w:hAnsi="Times New Roman"/>
          <w:sz w:val="28"/>
          <w:szCs w:val="28"/>
        </w:rPr>
        <w:t xml:space="preserve">регионах, в том числе наибольшее увеличение отмечено в Республике Калмыкия – </w:t>
      </w:r>
      <w:r>
        <w:rPr>
          <w:rFonts w:ascii="Times New Roman" w:hAnsi="Times New Roman"/>
          <w:sz w:val="28"/>
          <w:szCs w:val="28"/>
        </w:rPr>
        <w:t>на 35,8</w:t>
      </w:r>
      <w:r w:rsidRPr="00355B89">
        <w:rPr>
          <w:rFonts w:ascii="Times New Roman" w:hAnsi="Times New Roman"/>
          <w:sz w:val="28"/>
          <w:szCs w:val="28"/>
        </w:rPr>
        <w:t xml:space="preserve"> %, </w:t>
      </w:r>
      <w:r>
        <w:rPr>
          <w:rFonts w:ascii="Times New Roman" w:hAnsi="Times New Roman"/>
          <w:sz w:val="28"/>
          <w:szCs w:val="28"/>
        </w:rPr>
        <w:t>Республике Ингушетия – на 42,7 %,</w:t>
      </w:r>
      <w:r w:rsidRPr="00355B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Карачаево-Черкесской Республике – на 42,6 %, Ивановской</w:t>
      </w:r>
      <w:r w:rsidRPr="00355B89">
        <w:rPr>
          <w:rFonts w:ascii="Times New Roman" w:hAnsi="Times New Roman"/>
          <w:sz w:val="28"/>
          <w:szCs w:val="28"/>
        </w:rPr>
        <w:t xml:space="preserve"> области – </w:t>
      </w:r>
      <w:r>
        <w:rPr>
          <w:rFonts w:ascii="Times New Roman" w:hAnsi="Times New Roman"/>
          <w:sz w:val="28"/>
          <w:szCs w:val="28"/>
        </w:rPr>
        <w:t xml:space="preserve">на 32,8 %, Мурманской области – на 33,4 % и </w:t>
      </w:r>
      <w:r w:rsidRPr="00355B89">
        <w:rPr>
          <w:rFonts w:ascii="Times New Roman" w:hAnsi="Times New Roman"/>
          <w:sz w:val="28"/>
          <w:szCs w:val="28"/>
        </w:rPr>
        <w:t xml:space="preserve">Сахалинской области –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30,2</w:t>
      </w:r>
      <w:r w:rsidRPr="00355B89">
        <w:rPr>
          <w:rFonts w:ascii="Times New Roman" w:hAnsi="Times New Roman"/>
          <w:sz w:val="28"/>
          <w:szCs w:val="28"/>
        </w:rPr>
        <w:t xml:space="preserve"> %. </w:t>
      </w:r>
    </w:p>
    <w:p w:rsidR="00021D2F" w:rsidRPr="00351D55" w:rsidRDefault="00021D2F" w:rsidP="007E2E47">
      <w:pPr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1D55">
        <w:rPr>
          <w:rFonts w:ascii="Times New Roman" w:hAnsi="Times New Roman"/>
          <w:sz w:val="28"/>
          <w:szCs w:val="28"/>
        </w:rPr>
        <w:t>Динамика социально-значимых расходов консолидированн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351D55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ов</w:t>
      </w:r>
      <w:r w:rsidRPr="00351D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субъектов Российской Федерации</w:t>
      </w:r>
      <w:r w:rsidRPr="00351D55">
        <w:rPr>
          <w:rFonts w:ascii="Times New Roman" w:hAnsi="Times New Roman"/>
          <w:sz w:val="28"/>
          <w:szCs w:val="28"/>
        </w:rPr>
        <w:t xml:space="preserve"> имеет устойчивую тенденцию ежегодного роста. </w:t>
      </w:r>
      <w:proofErr w:type="gramStart"/>
      <w:r w:rsidRPr="00351D55">
        <w:rPr>
          <w:rFonts w:ascii="Times New Roman" w:hAnsi="Times New Roman"/>
          <w:sz w:val="28"/>
          <w:szCs w:val="28"/>
        </w:rPr>
        <w:t>Это обусловлено повышением заработной платы работников бюджетной сферы в рамках реализации Указа Президента от 7 мая 2012 года №</w:t>
      </w:r>
      <w:r>
        <w:rPr>
          <w:rFonts w:ascii="Times New Roman" w:hAnsi="Times New Roman"/>
          <w:sz w:val="28"/>
          <w:szCs w:val="28"/>
        </w:rPr>
        <w:t> </w:t>
      </w:r>
      <w:r w:rsidRPr="00351D55">
        <w:rPr>
          <w:rFonts w:ascii="Times New Roman" w:hAnsi="Times New Roman"/>
          <w:sz w:val="28"/>
          <w:szCs w:val="28"/>
        </w:rPr>
        <w:t xml:space="preserve">597, </w:t>
      </w:r>
      <w:r w:rsidRPr="00A36FDD">
        <w:rPr>
          <w:rFonts w:ascii="Times New Roman" w:hAnsi="Times New Roman"/>
          <w:sz w:val="28"/>
          <w:szCs w:val="28"/>
        </w:rPr>
        <w:t>исполнением обязательств, подтвержденных договорами (соглашениями) 2015 года</w:t>
      </w:r>
      <w:r>
        <w:rPr>
          <w:rFonts w:ascii="Times New Roman" w:hAnsi="Times New Roman"/>
          <w:sz w:val="28"/>
          <w:szCs w:val="28"/>
        </w:rPr>
        <w:t xml:space="preserve"> (погашение кредиторской задолженности 2015 года), </w:t>
      </w:r>
      <w:r w:rsidRPr="00351D55">
        <w:rPr>
          <w:rFonts w:ascii="Times New Roman" w:hAnsi="Times New Roman"/>
          <w:sz w:val="28"/>
          <w:szCs w:val="28"/>
        </w:rPr>
        <w:t>увеличением расходов на социальное обеспечение и социальные выплаты в связи с индексацией размера пособий, ежегодным увеличением размера страховых взносов на обязательное медицинское страхование неработающего населения, увеличением числа получателей услуг</w:t>
      </w:r>
      <w:proofErr w:type="gramEnd"/>
      <w:r w:rsidRPr="00351D55">
        <w:rPr>
          <w:rFonts w:ascii="Times New Roman" w:hAnsi="Times New Roman"/>
          <w:sz w:val="28"/>
          <w:szCs w:val="28"/>
        </w:rPr>
        <w:t>, роста тарифов на коммунальные услуги и лекарственные препараты.</w:t>
      </w:r>
    </w:p>
    <w:p w:rsidR="00021D2F" w:rsidRDefault="00021D2F" w:rsidP="007E2E47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B89">
        <w:rPr>
          <w:rFonts w:ascii="Times New Roman" w:hAnsi="Times New Roman"/>
          <w:sz w:val="28"/>
          <w:szCs w:val="28"/>
        </w:rPr>
        <w:t>Значительный рост расходов отмечен по разделу 13 «Обслуживание государственного и муниципального долга» (</w:t>
      </w:r>
      <w:r>
        <w:rPr>
          <w:rFonts w:ascii="Times New Roman" w:hAnsi="Times New Roman"/>
          <w:sz w:val="28"/>
          <w:szCs w:val="28"/>
        </w:rPr>
        <w:t>28,0</w:t>
      </w:r>
      <w:r w:rsidRPr="00355B89">
        <w:rPr>
          <w:rFonts w:ascii="Times New Roman" w:hAnsi="Times New Roman"/>
          <w:sz w:val="28"/>
          <w:szCs w:val="28"/>
        </w:rPr>
        <w:t xml:space="preserve"> %), при этом в </w:t>
      </w:r>
      <w:r>
        <w:rPr>
          <w:rFonts w:ascii="Times New Roman" w:hAnsi="Times New Roman"/>
          <w:sz w:val="28"/>
          <w:szCs w:val="28"/>
        </w:rPr>
        <w:t>8</w:t>
      </w:r>
      <w:r w:rsidRPr="00355B89">
        <w:rPr>
          <w:rFonts w:ascii="Times New Roman" w:hAnsi="Times New Roman"/>
          <w:sz w:val="28"/>
          <w:szCs w:val="28"/>
        </w:rPr>
        <w:t xml:space="preserve"> регионах указанные расходы выросли более чем в 2 раза. По состоянию на 1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Pr="00355B89">
        <w:rPr>
          <w:rFonts w:ascii="Times New Roman" w:hAnsi="Times New Roman"/>
          <w:sz w:val="28"/>
          <w:szCs w:val="28"/>
        </w:rPr>
        <w:t>2016 года расходы на обслуживание государственного и муни</w:t>
      </w:r>
      <w:r>
        <w:rPr>
          <w:rFonts w:ascii="Times New Roman" w:hAnsi="Times New Roman"/>
          <w:sz w:val="28"/>
          <w:szCs w:val="28"/>
        </w:rPr>
        <w:t>ципального долга составили 25,9 </w:t>
      </w:r>
      <w:r w:rsidRPr="00355B89">
        <w:rPr>
          <w:rFonts w:ascii="Times New Roman" w:hAnsi="Times New Roman"/>
          <w:sz w:val="28"/>
          <w:szCs w:val="28"/>
        </w:rPr>
        <w:t>млрд.</w:t>
      </w:r>
      <w:r>
        <w:rPr>
          <w:rFonts w:ascii="Times New Roman" w:hAnsi="Times New Roman"/>
          <w:sz w:val="28"/>
          <w:szCs w:val="28"/>
        </w:rPr>
        <w:t> </w:t>
      </w:r>
      <w:r w:rsidRPr="00355B89">
        <w:rPr>
          <w:rFonts w:ascii="Times New Roman" w:hAnsi="Times New Roman"/>
          <w:sz w:val="28"/>
          <w:szCs w:val="28"/>
        </w:rPr>
        <w:t xml:space="preserve">рублей, или </w:t>
      </w:r>
      <w:r>
        <w:rPr>
          <w:rFonts w:ascii="Times New Roman" w:hAnsi="Times New Roman"/>
          <w:sz w:val="28"/>
          <w:szCs w:val="28"/>
        </w:rPr>
        <w:t>3,4</w:t>
      </w:r>
      <w:r w:rsidRPr="00355B89">
        <w:rPr>
          <w:rFonts w:ascii="Times New Roman" w:hAnsi="Times New Roman"/>
          <w:sz w:val="28"/>
          <w:szCs w:val="28"/>
        </w:rPr>
        <w:t> % объема налоговых и неналоговых доходов</w:t>
      </w:r>
      <w:r w:rsidRPr="00A255F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Указанное соотношение сложилось п</w:t>
      </w:r>
      <w:r w:rsidRPr="00A255F1">
        <w:rPr>
          <w:rFonts w:ascii="Times New Roman" w:hAnsi="Times New Roman"/>
          <w:sz w:val="28"/>
          <w:szCs w:val="28"/>
        </w:rPr>
        <w:t xml:space="preserve">ри </w:t>
      </w:r>
      <w:r>
        <w:rPr>
          <w:rFonts w:ascii="Times New Roman" w:hAnsi="Times New Roman"/>
          <w:sz w:val="28"/>
          <w:szCs w:val="28"/>
        </w:rPr>
        <w:t>равных уровнях</w:t>
      </w:r>
      <w:r w:rsidRPr="00A255F1">
        <w:rPr>
          <w:rFonts w:ascii="Times New Roman" w:hAnsi="Times New Roman"/>
          <w:sz w:val="28"/>
          <w:szCs w:val="28"/>
        </w:rPr>
        <w:t xml:space="preserve"> исполнения прогнозируемых объемов на 2016 год </w:t>
      </w:r>
      <w:r>
        <w:rPr>
          <w:rFonts w:ascii="Times New Roman" w:hAnsi="Times New Roman"/>
          <w:sz w:val="28"/>
          <w:szCs w:val="28"/>
        </w:rPr>
        <w:t>(</w:t>
      </w:r>
      <w:r w:rsidRPr="00A255F1">
        <w:rPr>
          <w:rFonts w:ascii="Times New Roman" w:hAnsi="Times New Roman"/>
          <w:sz w:val="28"/>
          <w:szCs w:val="28"/>
        </w:rPr>
        <w:t>по налоговым и неналоговым доходам</w:t>
      </w:r>
      <w:r>
        <w:rPr>
          <w:rFonts w:ascii="Times New Roman" w:hAnsi="Times New Roman"/>
          <w:sz w:val="28"/>
          <w:szCs w:val="28"/>
        </w:rPr>
        <w:t xml:space="preserve"> -</w:t>
      </w:r>
      <w:r w:rsidRPr="00A255F1">
        <w:rPr>
          <w:rFonts w:ascii="Times New Roman" w:hAnsi="Times New Roman"/>
          <w:sz w:val="28"/>
          <w:szCs w:val="28"/>
        </w:rPr>
        <w:t xml:space="preserve"> 12,8 %, а по расходам на обслуживание госдолга – 12,6 %</w:t>
      </w:r>
      <w:r>
        <w:rPr>
          <w:rFonts w:ascii="Times New Roman" w:hAnsi="Times New Roman"/>
          <w:sz w:val="28"/>
          <w:szCs w:val="28"/>
        </w:rPr>
        <w:t>)</w:t>
      </w:r>
      <w:r w:rsidRPr="00A255F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B8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27</w:t>
      </w:r>
      <w:r w:rsidRPr="00355B89">
        <w:rPr>
          <w:rFonts w:ascii="Times New Roman" w:hAnsi="Times New Roman"/>
          <w:sz w:val="28"/>
          <w:szCs w:val="28"/>
        </w:rPr>
        <w:t xml:space="preserve"> субъект</w:t>
      </w:r>
      <w:r>
        <w:rPr>
          <w:rFonts w:ascii="Times New Roman" w:hAnsi="Times New Roman"/>
          <w:sz w:val="28"/>
          <w:szCs w:val="28"/>
        </w:rPr>
        <w:t>ах</w:t>
      </w:r>
      <w:r w:rsidRPr="00355B89">
        <w:rPr>
          <w:rFonts w:ascii="Times New Roman" w:hAnsi="Times New Roman"/>
          <w:sz w:val="28"/>
          <w:szCs w:val="28"/>
        </w:rPr>
        <w:t xml:space="preserve"> Российской Федерации отношение указанных расходов к объему налоговых и неналоговых доходов превышает </w:t>
      </w:r>
      <w:r>
        <w:rPr>
          <w:rFonts w:ascii="Times New Roman" w:hAnsi="Times New Roman"/>
          <w:sz w:val="28"/>
          <w:szCs w:val="28"/>
        </w:rPr>
        <w:t>7</w:t>
      </w:r>
      <w:r w:rsidRPr="00355B89">
        <w:rPr>
          <w:rFonts w:ascii="Times New Roman" w:hAnsi="Times New Roman"/>
          <w:sz w:val="28"/>
          <w:szCs w:val="28"/>
        </w:rPr>
        <w:t> %</w:t>
      </w:r>
      <w:r>
        <w:rPr>
          <w:rFonts w:ascii="Times New Roman" w:hAnsi="Times New Roman"/>
          <w:sz w:val="28"/>
          <w:szCs w:val="28"/>
        </w:rPr>
        <w:t>, из них</w:t>
      </w:r>
      <w:r w:rsidR="00785F3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4663F">
        <w:rPr>
          <w:rFonts w:ascii="Times New Roman" w:hAnsi="Times New Roman"/>
          <w:sz w:val="28"/>
          <w:szCs w:val="28"/>
        </w:rPr>
        <w:t xml:space="preserve">Республика Хакасия, </w:t>
      </w:r>
      <w:r w:rsidRPr="00207039">
        <w:rPr>
          <w:rFonts w:ascii="Times New Roman" w:hAnsi="Times New Roman"/>
          <w:sz w:val="28"/>
          <w:szCs w:val="28"/>
        </w:rPr>
        <w:t>Республика Карелия,</w:t>
      </w:r>
      <w:r>
        <w:rPr>
          <w:rFonts w:ascii="Times New Roman" w:hAnsi="Times New Roman"/>
          <w:sz w:val="28"/>
          <w:szCs w:val="28"/>
        </w:rPr>
        <w:t xml:space="preserve"> Республика Коми</w:t>
      </w:r>
      <w:r w:rsidRPr="00B4663F">
        <w:rPr>
          <w:rFonts w:ascii="Times New Roman" w:hAnsi="Times New Roman"/>
          <w:sz w:val="28"/>
          <w:szCs w:val="28"/>
        </w:rPr>
        <w:t xml:space="preserve">, Удмуртская Республика, Республика Мордовия, Республика Марий Эл, Республика Ингушетия, </w:t>
      </w:r>
      <w:r>
        <w:rPr>
          <w:rFonts w:ascii="Times New Roman" w:hAnsi="Times New Roman"/>
          <w:sz w:val="28"/>
          <w:szCs w:val="28"/>
        </w:rPr>
        <w:t xml:space="preserve">Краснодарский край, </w:t>
      </w:r>
      <w:r w:rsidRPr="00207039">
        <w:rPr>
          <w:rFonts w:ascii="Times New Roman" w:hAnsi="Times New Roman"/>
          <w:sz w:val="28"/>
          <w:szCs w:val="28"/>
        </w:rPr>
        <w:t>Забайкальский край</w:t>
      </w:r>
      <w:r>
        <w:rPr>
          <w:rFonts w:ascii="Times New Roman" w:hAnsi="Times New Roman"/>
          <w:sz w:val="28"/>
          <w:szCs w:val="28"/>
        </w:rPr>
        <w:t>,</w:t>
      </w:r>
      <w:r w:rsidRPr="00B4663F">
        <w:rPr>
          <w:rFonts w:ascii="Times New Roman" w:hAnsi="Times New Roman"/>
          <w:sz w:val="28"/>
          <w:szCs w:val="28"/>
        </w:rPr>
        <w:t xml:space="preserve"> </w:t>
      </w:r>
      <w:r w:rsidRPr="00207039">
        <w:rPr>
          <w:rFonts w:ascii="Times New Roman" w:hAnsi="Times New Roman"/>
          <w:sz w:val="28"/>
          <w:szCs w:val="28"/>
        </w:rPr>
        <w:t>Астраханская, Амурская, Воронежская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07039">
        <w:rPr>
          <w:rFonts w:ascii="Times New Roman" w:hAnsi="Times New Roman"/>
          <w:sz w:val="28"/>
          <w:szCs w:val="28"/>
        </w:rPr>
        <w:t xml:space="preserve">Волгоградская, </w:t>
      </w:r>
      <w:r>
        <w:rPr>
          <w:rFonts w:ascii="Times New Roman" w:hAnsi="Times New Roman"/>
          <w:sz w:val="28"/>
          <w:szCs w:val="28"/>
        </w:rPr>
        <w:t xml:space="preserve">Курганская, </w:t>
      </w:r>
      <w:r w:rsidRPr="00B4663F">
        <w:rPr>
          <w:rFonts w:ascii="Times New Roman" w:hAnsi="Times New Roman"/>
          <w:sz w:val="28"/>
          <w:szCs w:val="28"/>
        </w:rPr>
        <w:t xml:space="preserve">Саратовская, </w:t>
      </w:r>
      <w:r w:rsidRPr="00207039">
        <w:rPr>
          <w:rFonts w:ascii="Times New Roman" w:hAnsi="Times New Roman"/>
          <w:sz w:val="28"/>
          <w:szCs w:val="28"/>
        </w:rPr>
        <w:t xml:space="preserve">Смоленская, Костромская, </w:t>
      </w:r>
      <w:r w:rsidRPr="00207039">
        <w:rPr>
          <w:rFonts w:ascii="Times New Roman" w:hAnsi="Times New Roman"/>
          <w:sz w:val="28"/>
          <w:szCs w:val="28"/>
        </w:rPr>
        <w:lastRenderedPageBreak/>
        <w:t xml:space="preserve">Ивановская, Новгородская, </w:t>
      </w:r>
      <w:r>
        <w:rPr>
          <w:rFonts w:ascii="Times New Roman" w:hAnsi="Times New Roman"/>
          <w:sz w:val="28"/>
          <w:szCs w:val="28"/>
        </w:rPr>
        <w:t xml:space="preserve">Новосибирская, </w:t>
      </w:r>
      <w:r w:rsidRPr="00B4663F">
        <w:rPr>
          <w:rFonts w:ascii="Times New Roman" w:hAnsi="Times New Roman"/>
          <w:sz w:val="28"/>
          <w:szCs w:val="28"/>
        </w:rPr>
        <w:t xml:space="preserve">Нижегородская, Ульяновская, </w:t>
      </w:r>
      <w:r w:rsidRPr="00207039">
        <w:rPr>
          <w:rFonts w:ascii="Times New Roman" w:hAnsi="Times New Roman"/>
          <w:sz w:val="28"/>
          <w:szCs w:val="28"/>
        </w:rPr>
        <w:t xml:space="preserve">Орловская, </w:t>
      </w:r>
      <w:r w:rsidRPr="00B4663F">
        <w:rPr>
          <w:rFonts w:ascii="Times New Roman" w:hAnsi="Times New Roman"/>
          <w:sz w:val="28"/>
          <w:szCs w:val="28"/>
        </w:rPr>
        <w:t xml:space="preserve">Омская, </w:t>
      </w:r>
      <w:r w:rsidRPr="00207039">
        <w:rPr>
          <w:rFonts w:ascii="Times New Roman" w:hAnsi="Times New Roman"/>
          <w:sz w:val="28"/>
          <w:szCs w:val="28"/>
        </w:rPr>
        <w:t>Псковская, Тамбовская, Ярославск</w:t>
      </w:r>
      <w:r w:rsidRPr="00B4663F">
        <w:rPr>
          <w:rFonts w:ascii="Times New Roman" w:hAnsi="Times New Roman"/>
          <w:sz w:val="28"/>
          <w:szCs w:val="28"/>
        </w:rPr>
        <w:t xml:space="preserve">ая области, </w:t>
      </w:r>
      <w:r>
        <w:rPr>
          <w:rFonts w:ascii="Times New Roman" w:hAnsi="Times New Roman"/>
          <w:sz w:val="28"/>
          <w:szCs w:val="28"/>
        </w:rPr>
        <w:t>Еврейская автономная область</w:t>
      </w:r>
      <w:r w:rsidRPr="00355B8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04664" w:rsidRPr="00504664" w:rsidRDefault="00504664" w:rsidP="007E2E47">
      <w:pPr>
        <w:spacing w:after="0" w:line="264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Справочно: п</w:t>
      </w:r>
      <w:r w:rsidRPr="00504664">
        <w:rPr>
          <w:rFonts w:ascii="Times New Roman" w:hAnsi="Times New Roman"/>
          <w:i/>
          <w:sz w:val="28"/>
          <w:szCs w:val="28"/>
        </w:rPr>
        <w:t>о состоянию на 1 апреля 2016 года расходы на обслуживание государственного и муниципального долга субъектов Российской Федерации выросли по сравне</w:t>
      </w:r>
      <w:r>
        <w:rPr>
          <w:rFonts w:ascii="Times New Roman" w:hAnsi="Times New Roman"/>
          <w:i/>
          <w:sz w:val="28"/>
          <w:szCs w:val="28"/>
        </w:rPr>
        <w:t>нию с аналогичным периодом 2015 </w:t>
      </w:r>
      <w:r w:rsidRPr="00504664">
        <w:rPr>
          <w:rFonts w:ascii="Times New Roman" w:hAnsi="Times New Roman"/>
          <w:i/>
          <w:sz w:val="28"/>
          <w:szCs w:val="28"/>
        </w:rPr>
        <w:t>года на 23,5 % и составили 39,7 млрд. рублей, что свидетельствует о нарастании рисков дальнейшего удорожания затрат на обслуживание долга.</w:t>
      </w:r>
    </w:p>
    <w:p w:rsidR="00021D2F" w:rsidRPr="00355B89" w:rsidRDefault="00021D2F" w:rsidP="007E2E47">
      <w:pPr>
        <w:spacing w:after="0" w:line="264" w:lineRule="auto"/>
        <w:ind w:firstLine="692"/>
        <w:jc w:val="both"/>
        <w:rPr>
          <w:rFonts w:ascii="Times New Roman" w:hAnsi="Times New Roman"/>
          <w:sz w:val="28"/>
          <w:szCs w:val="28"/>
        </w:rPr>
      </w:pPr>
      <w:r w:rsidRPr="00355B89">
        <w:rPr>
          <w:rFonts w:ascii="Times New Roman" w:hAnsi="Times New Roman"/>
          <w:sz w:val="28"/>
          <w:szCs w:val="28"/>
        </w:rPr>
        <w:t>Составление и утверждение проектов бюджетов субъектов Российской Федерации и местных бюджетов на 201</w:t>
      </w:r>
      <w:r>
        <w:rPr>
          <w:rFonts w:ascii="Times New Roman" w:hAnsi="Times New Roman"/>
          <w:sz w:val="28"/>
          <w:szCs w:val="28"/>
        </w:rPr>
        <w:t>6</w:t>
      </w:r>
      <w:r w:rsidRPr="00355B89">
        <w:rPr>
          <w:rFonts w:ascii="Times New Roman" w:hAnsi="Times New Roman"/>
          <w:sz w:val="28"/>
          <w:szCs w:val="28"/>
        </w:rPr>
        <w:t xml:space="preserve"> год происходило в условиях негативных тенденций и макроэкономической нестабильности, проявляющейся в экономике Российской Федерации с конца 2014 года. </w:t>
      </w:r>
      <w:r w:rsidRPr="00355B89">
        <w:rPr>
          <w:rFonts w:ascii="Times New Roman" w:hAnsi="Times New Roman"/>
          <w:sz w:val="28"/>
          <w:szCs w:val="28"/>
        </w:rPr>
        <w:br/>
        <w:t>В результате согласно утвержденным бюджетным назначениям (данные Федерального казначейства об исполнении консолидированных бюджетов субъектов Российской Федерации по состоянию на 1 февраля 201</w:t>
      </w:r>
      <w:r>
        <w:rPr>
          <w:rFonts w:ascii="Times New Roman" w:hAnsi="Times New Roman"/>
          <w:sz w:val="28"/>
          <w:szCs w:val="28"/>
        </w:rPr>
        <w:t>6</w:t>
      </w:r>
      <w:r w:rsidRPr="00355B89">
        <w:rPr>
          <w:rFonts w:ascii="Times New Roman" w:hAnsi="Times New Roman"/>
          <w:sz w:val="28"/>
          <w:szCs w:val="28"/>
        </w:rPr>
        <w:t xml:space="preserve"> года) прогнозируемый размер дефицита (расчетно – доходы за минусом расходов) составил </w:t>
      </w:r>
      <w:r>
        <w:rPr>
          <w:rFonts w:ascii="Times New Roman" w:hAnsi="Times New Roman"/>
          <w:sz w:val="28"/>
          <w:szCs w:val="28"/>
        </w:rPr>
        <w:t>568,8</w:t>
      </w:r>
      <w:r w:rsidRPr="00355B89">
        <w:rPr>
          <w:rFonts w:ascii="Times New Roman" w:hAnsi="Times New Roman"/>
          <w:sz w:val="28"/>
          <w:szCs w:val="28"/>
        </w:rPr>
        <w:t xml:space="preserve"> млрд. рублей. </w:t>
      </w:r>
    </w:p>
    <w:p w:rsidR="002E7097" w:rsidRPr="00021D2F" w:rsidRDefault="00021D2F" w:rsidP="007E2E47">
      <w:pPr>
        <w:spacing w:after="0" w:line="264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355B89">
        <w:rPr>
          <w:rFonts w:ascii="Times New Roman" w:hAnsi="Times New Roman"/>
          <w:sz w:val="28"/>
          <w:szCs w:val="28"/>
        </w:rPr>
        <w:t xml:space="preserve">Впоследствии в результате внесения </w:t>
      </w:r>
      <w:r w:rsidRPr="00021D2F">
        <w:rPr>
          <w:rFonts w:ascii="Times New Roman" w:hAnsi="Times New Roman"/>
          <w:sz w:val="28"/>
          <w:szCs w:val="28"/>
        </w:rPr>
        <w:t xml:space="preserve">изменений в утвержденные бюджетные назначения дефицит (расчетно) на 1 марта 2016 года увеличился  на 58,8 млрд. рублей и составил 627,6 млрд. рублей. </w:t>
      </w:r>
    </w:p>
    <w:p w:rsidR="006A2464" w:rsidRPr="00E86134" w:rsidRDefault="00EB539B" w:rsidP="007E2E47">
      <w:pPr>
        <w:spacing w:after="0" w:line="264" w:lineRule="auto"/>
        <w:ind w:firstLine="691"/>
        <w:jc w:val="both"/>
        <w:rPr>
          <w:rFonts w:ascii="Times New Roman" w:hAnsi="Times New Roman"/>
          <w:iCs/>
          <w:sz w:val="28"/>
          <w:szCs w:val="28"/>
        </w:rPr>
      </w:pPr>
      <w:r w:rsidRPr="00021D2F">
        <w:rPr>
          <w:rFonts w:ascii="Times New Roman" w:hAnsi="Times New Roman"/>
          <w:b/>
          <w:iCs/>
          <w:sz w:val="28"/>
          <w:szCs w:val="28"/>
        </w:rPr>
        <w:t>4</w:t>
      </w:r>
      <w:r w:rsidR="009754FF" w:rsidRPr="00021D2F">
        <w:rPr>
          <w:rFonts w:ascii="Times New Roman" w:hAnsi="Times New Roman"/>
          <w:b/>
          <w:iCs/>
          <w:sz w:val="28"/>
          <w:szCs w:val="28"/>
        </w:rPr>
        <w:t>.</w:t>
      </w:r>
      <w:r w:rsidR="00F10C09" w:rsidRPr="00021D2F">
        <w:rPr>
          <w:rFonts w:ascii="Times New Roman" w:hAnsi="Times New Roman"/>
          <w:iCs/>
          <w:sz w:val="28"/>
          <w:szCs w:val="28"/>
        </w:rPr>
        <w:t> </w:t>
      </w:r>
      <w:r w:rsidR="008E2EB1" w:rsidRPr="00021D2F">
        <w:rPr>
          <w:rFonts w:ascii="Times New Roman" w:hAnsi="Times New Roman"/>
          <w:iCs/>
          <w:sz w:val="28"/>
          <w:szCs w:val="28"/>
        </w:rPr>
        <w:t xml:space="preserve">Государственный долг субъектов Российской Федерации </w:t>
      </w:r>
      <w:r w:rsidR="006A0575" w:rsidRPr="00021D2F">
        <w:rPr>
          <w:rFonts w:ascii="Times New Roman" w:hAnsi="Times New Roman"/>
          <w:iCs/>
          <w:sz w:val="28"/>
          <w:szCs w:val="28"/>
        </w:rPr>
        <w:t xml:space="preserve">по состоянию </w:t>
      </w:r>
      <w:r w:rsidR="001C55E5" w:rsidRPr="00021D2F">
        <w:rPr>
          <w:rFonts w:ascii="Times New Roman" w:hAnsi="Times New Roman"/>
          <w:sz w:val="28"/>
          <w:szCs w:val="28"/>
        </w:rPr>
        <w:t xml:space="preserve">на 1 </w:t>
      </w:r>
      <w:r w:rsidR="00E86134" w:rsidRPr="00021D2F">
        <w:rPr>
          <w:rFonts w:ascii="Times New Roman" w:hAnsi="Times New Roman"/>
          <w:sz w:val="28"/>
          <w:szCs w:val="28"/>
        </w:rPr>
        <w:t>марта</w:t>
      </w:r>
      <w:r w:rsidR="001C55E5" w:rsidRPr="00021D2F">
        <w:rPr>
          <w:rFonts w:ascii="Times New Roman" w:hAnsi="Times New Roman"/>
          <w:sz w:val="28"/>
          <w:szCs w:val="28"/>
        </w:rPr>
        <w:t xml:space="preserve"> 201</w:t>
      </w:r>
      <w:r w:rsidR="00650D43" w:rsidRPr="00021D2F">
        <w:rPr>
          <w:rFonts w:ascii="Times New Roman" w:hAnsi="Times New Roman"/>
          <w:sz w:val="28"/>
          <w:szCs w:val="28"/>
        </w:rPr>
        <w:t>6</w:t>
      </w:r>
      <w:r w:rsidR="001C55E5" w:rsidRPr="00021D2F">
        <w:rPr>
          <w:rFonts w:ascii="Times New Roman" w:hAnsi="Times New Roman"/>
          <w:sz w:val="28"/>
          <w:szCs w:val="28"/>
        </w:rPr>
        <w:t xml:space="preserve"> года </w:t>
      </w:r>
      <w:r w:rsidR="00E86134" w:rsidRPr="00021D2F">
        <w:rPr>
          <w:rFonts w:ascii="Times New Roman" w:hAnsi="Times New Roman"/>
          <w:iCs/>
          <w:sz w:val="28"/>
          <w:szCs w:val="28"/>
        </w:rPr>
        <w:t xml:space="preserve">увеличился по сравнению </w:t>
      </w:r>
      <w:r w:rsidR="00E86134" w:rsidRPr="00E86134">
        <w:rPr>
          <w:rFonts w:ascii="Times New Roman" w:hAnsi="Times New Roman"/>
          <w:iCs/>
          <w:sz w:val="28"/>
          <w:szCs w:val="28"/>
        </w:rPr>
        <w:t>с началом года на 88,8 млрд. рублей, или на 3,8 %</w:t>
      </w:r>
      <w:r w:rsidR="00EF7F41">
        <w:rPr>
          <w:rFonts w:ascii="Times New Roman" w:hAnsi="Times New Roman"/>
          <w:iCs/>
          <w:sz w:val="28"/>
          <w:szCs w:val="28"/>
        </w:rPr>
        <w:t>,</w:t>
      </w:r>
      <w:r w:rsidR="00E86134" w:rsidRPr="00E86134">
        <w:rPr>
          <w:rFonts w:ascii="Times New Roman" w:hAnsi="Times New Roman"/>
          <w:iCs/>
          <w:sz w:val="28"/>
          <w:szCs w:val="28"/>
        </w:rPr>
        <w:t xml:space="preserve"> и </w:t>
      </w:r>
      <w:r w:rsidR="008E2EB1" w:rsidRPr="00E86134">
        <w:rPr>
          <w:rFonts w:ascii="Times New Roman" w:hAnsi="Times New Roman"/>
          <w:iCs/>
          <w:sz w:val="28"/>
          <w:szCs w:val="28"/>
        </w:rPr>
        <w:t xml:space="preserve">составил </w:t>
      </w:r>
      <w:r w:rsidR="00CA06D0" w:rsidRPr="00E86134">
        <w:rPr>
          <w:rFonts w:ascii="Times New Roman" w:hAnsi="Times New Roman"/>
          <w:iCs/>
          <w:sz w:val="28"/>
          <w:szCs w:val="28"/>
        </w:rPr>
        <w:t>2</w:t>
      </w:r>
      <w:r w:rsidR="00E86134" w:rsidRPr="00E86134">
        <w:rPr>
          <w:rFonts w:ascii="Times New Roman" w:hAnsi="Times New Roman"/>
          <w:iCs/>
          <w:sz w:val="28"/>
          <w:szCs w:val="28"/>
        </w:rPr>
        <w:t> 407,4</w:t>
      </w:r>
      <w:r w:rsidR="001C55E5" w:rsidRPr="00E86134">
        <w:rPr>
          <w:rFonts w:ascii="Times New Roman" w:hAnsi="Times New Roman"/>
          <w:iCs/>
          <w:sz w:val="28"/>
          <w:szCs w:val="28"/>
        </w:rPr>
        <w:t xml:space="preserve"> </w:t>
      </w:r>
      <w:r w:rsidR="008E2EB1" w:rsidRPr="00E86134">
        <w:rPr>
          <w:rFonts w:ascii="Times New Roman" w:hAnsi="Times New Roman"/>
          <w:iCs/>
          <w:sz w:val="28"/>
          <w:szCs w:val="28"/>
        </w:rPr>
        <w:t>млрд. рублей.</w:t>
      </w:r>
      <w:r w:rsidR="00153960" w:rsidRPr="00E86134">
        <w:rPr>
          <w:rFonts w:ascii="Times New Roman" w:hAnsi="Times New Roman"/>
          <w:sz w:val="28"/>
          <w:szCs w:val="28"/>
        </w:rPr>
        <w:t xml:space="preserve"> </w:t>
      </w:r>
    </w:p>
    <w:p w:rsidR="00CF5C4B" w:rsidRPr="004A5541" w:rsidRDefault="00CF5C4B" w:rsidP="007E2E47">
      <w:pPr>
        <w:spacing w:after="0" w:line="264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A5541">
        <w:rPr>
          <w:rFonts w:ascii="Times New Roman" w:hAnsi="Times New Roman"/>
          <w:sz w:val="28"/>
          <w:szCs w:val="28"/>
        </w:rPr>
        <w:t xml:space="preserve">Объем долга муниципальных образований, входящих в состав субъекта Российской Федерации, увеличился по сравнению с началом года на 9 % и </w:t>
      </w:r>
      <w:r w:rsidRPr="004A5541">
        <w:rPr>
          <w:rFonts w:ascii="Times New Roman" w:hAnsi="Times New Roman"/>
          <w:iCs/>
          <w:sz w:val="28"/>
          <w:szCs w:val="28"/>
        </w:rPr>
        <w:t xml:space="preserve">на 1 </w:t>
      </w:r>
      <w:r w:rsidR="004A5541" w:rsidRPr="004A5541">
        <w:rPr>
          <w:rFonts w:ascii="Times New Roman" w:hAnsi="Times New Roman"/>
          <w:iCs/>
          <w:sz w:val="28"/>
          <w:szCs w:val="28"/>
        </w:rPr>
        <w:t>марта</w:t>
      </w:r>
      <w:r w:rsidRPr="004A5541">
        <w:rPr>
          <w:rFonts w:ascii="Times New Roman" w:hAnsi="Times New Roman"/>
          <w:iCs/>
          <w:sz w:val="28"/>
          <w:szCs w:val="28"/>
        </w:rPr>
        <w:t xml:space="preserve"> 2016 года составил </w:t>
      </w:r>
      <w:r w:rsidR="004A5541" w:rsidRPr="004A5541">
        <w:rPr>
          <w:rFonts w:ascii="Times New Roman" w:hAnsi="Times New Roman"/>
          <w:sz w:val="28"/>
          <w:szCs w:val="28"/>
        </w:rPr>
        <w:t>331,7</w:t>
      </w:r>
      <w:r w:rsidRPr="004A5541">
        <w:rPr>
          <w:rFonts w:ascii="Times New Roman" w:hAnsi="Times New Roman"/>
          <w:sz w:val="28"/>
          <w:szCs w:val="28"/>
        </w:rPr>
        <w:t xml:space="preserve"> млрд. рублей (</w:t>
      </w:r>
      <w:r w:rsidR="004A5541" w:rsidRPr="004A5541">
        <w:rPr>
          <w:rFonts w:ascii="Times New Roman" w:hAnsi="Times New Roman"/>
          <w:iCs/>
          <w:sz w:val="28"/>
          <w:szCs w:val="28"/>
        </w:rPr>
        <w:t xml:space="preserve">снизился по сравнению с началом года </w:t>
      </w:r>
      <w:r w:rsidR="00E86D55">
        <w:rPr>
          <w:rFonts w:ascii="Times New Roman" w:hAnsi="Times New Roman"/>
          <w:iCs/>
          <w:sz w:val="28"/>
          <w:szCs w:val="28"/>
        </w:rPr>
        <w:t xml:space="preserve">на </w:t>
      </w:r>
      <w:r w:rsidR="004A5541" w:rsidRPr="004A5541">
        <w:rPr>
          <w:rFonts w:ascii="Times New Roman" w:hAnsi="Times New Roman"/>
          <w:iCs/>
          <w:sz w:val="28"/>
          <w:szCs w:val="28"/>
        </w:rPr>
        <w:t>9,6</w:t>
      </w:r>
      <w:r w:rsidRPr="004A5541">
        <w:rPr>
          <w:rFonts w:ascii="Times New Roman" w:hAnsi="Times New Roman"/>
          <w:iCs/>
          <w:sz w:val="28"/>
          <w:szCs w:val="28"/>
        </w:rPr>
        <w:t xml:space="preserve"> млрд. рублей</w:t>
      </w:r>
      <w:r w:rsidR="004A5541" w:rsidRPr="004A5541">
        <w:rPr>
          <w:rFonts w:ascii="Times New Roman" w:hAnsi="Times New Roman"/>
          <w:iCs/>
          <w:sz w:val="28"/>
          <w:szCs w:val="28"/>
        </w:rPr>
        <w:t>, или на 2,8 %</w:t>
      </w:r>
      <w:r w:rsidRPr="004A5541">
        <w:rPr>
          <w:rFonts w:ascii="Times New Roman" w:hAnsi="Times New Roman"/>
          <w:sz w:val="28"/>
          <w:szCs w:val="28"/>
        </w:rPr>
        <w:t>).</w:t>
      </w:r>
    </w:p>
    <w:p w:rsidR="006066C0" w:rsidRPr="006066C0" w:rsidRDefault="006066C0" w:rsidP="007E2E47">
      <w:pPr>
        <w:pStyle w:val="aa"/>
        <w:spacing w:before="0" w:beforeAutospacing="0" w:after="0" w:afterAutospacing="0" w:line="264" w:lineRule="auto"/>
        <w:ind w:firstLine="709"/>
        <w:jc w:val="both"/>
        <w:rPr>
          <w:i/>
          <w:iCs/>
          <w:sz w:val="28"/>
          <w:szCs w:val="28"/>
        </w:rPr>
      </w:pPr>
      <w:r w:rsidRPr="006066C0">
        <w:rPr>
          <w:i/>
          <w:iCs/>
          <w:sz w:val="28"/>
          <w:szCs w:val="28"/>
        </w:rPr>
        <w:t>Справочно:</w:t>
      </w:r>
      <w:r>
        <w:rPr>
          <w:i/>
          <w:iCs/>
          <w:sz w:val="28"/>
          <w:szCs w:val="28"/>
        </w:rPr>
        <w:t xml:space="preserve"> на 1 апреля 2016 года объем государственного долга субъектов Российской Федерации составил 2 </w:t>
      </w:r>
      <w:r w:rsidRPr="006066C0">
        <w:rPr>
          <w:i/>
          <w:iCs/>
          <w:sz w:val="28"/>
          <w:szCs w:val="28"/>
        </w:rPr>
        <w:t>352</w:t>
      </w:r>
      <w:r>
        <w:rPr>
          <w:i/>
          <w:iCs/>
          <w:sz w:val="28"/>
          <w:szCs w:val="28"/>
        </w:rPr>
        <w:t>,</w:t>
      </w:r>
      <w:r w:rsidRPr="006066C0">
        <w:rPr>
          <w:i/>
          <w:iCs/>
          <w:sz w:val="28"/>
          <w:szCs w:val="28"/>
        </w:rPr>
        <w:t>9</w:t>
      </w:r>
      <w:r>
        <w:rPr>
          <w:i/>
          <w:iCs/>
          <w:sz w:val="28"/>
          <w:szCs w:val="28"/>
        </w:rPr>
        <w:t xml:space="preserve"> млрд. рублей (увеличился </w:t>
      </w:r>
      <w:r w:rsidR="00C96C76">
        <w:rPr>
          <w:i/>
          <w:iCs/>
          <w:sz w:val="28"/>
          <w:szCs w:val="28"/>
        </w:rPr>
        <w:t xml:space="preserve">по сравнению с началом года на 1,5 % и </w:t>
      </w:r>
      <w:r w:rsidR="00C96C76" w:rsidRPr="00767657">
        <w:rPr>
          <w:i/>
          <w:iCs/>
          <w:sz w:val="27"/>
          <w:szCs w:val="27"/>
        </w:rPr>
        <w:t xml:space="preserve">сократился </w:t>
      </w:r>
      <w:r w:rsidR="00C96C76">
        <w:rPr>
          <w:i/>
          <w:iCs/>
          <w:sz w:val="28"/>
          <w:szCs w:val="28"/>
        </w:rPr>
        <w:t xml:space="preserve">по сравнению </w:t>
      </w:r>
      <w:r w:rsidR="00C96C76" w:rsidRPr="00767657">
        <w:rPr>
          <w:i/>
          <w:iCs/>
          <w:sz w:val="27"/>
          <w:szCs w:val="27"/>
        </w:rPr>
        <w:t xml:space="preserve">прошлым месяцем на </w:t>
      </w:r>
      <w:r w:rsidR="00C96C76">
        <w:rPr>
          <w:i/>
          <w:iCs/>
          <w:sz w:val="27"/>
          <w:szCs w:val="27"/>
        </w:rPr>
        <w:t>2,3 </w:t>
      </w:r>
      <w:r w:rsidR="00C96C76" w:rsidRPr="00767657">
        <w:rPr>
          <w:i/>
          <w:iCs/>
          <w:sz w:val="27"/>
          <w:szCs w:val="27"/>
        </w:rPr>
        <w:t>%</w:t>
      </w:r>
      <w:r w:rsidR="00C96C76">
        <w:rPr>
          <w:i/>
          <w:iCs/>
          <w:sz w:val="27"/>
          <w:szCs w:val="27"/>
        </w:rPr>
        <w:t>).</w:t>
      </w:r>
    </w:p>
    <w:p w:rsidR="007C7902" w:rsidRPr="003504E1" w:rsidRDefault="005E0A7D" w:rsidP="007E2E47">
      <w:pPr>
        <w:pStyle w:val="aa"/>
        <w:spacing w:before="0" w:beforeAutospacing="0" w:after="0" w:afterAutospacing="0" w:line="264" w:lineRule="auto"/>
        <w:ind w:firstLine="709"/>
        <w:jc w:val="both"/>
        <w:rPr>
          <w:i/>
          <w:iCs/>
          <w:sz w:val="28"/>
          <w:szCs w:val="28"/>
        </w:rPr>
      </w:pPr>
      <w:proofErr w:type="gramStart"/>
      <w:r w:rsidRPr="006066C0">
        <w:rPr>
          <w:i/>
          <w:iCs/>
          <w:sz w:val="28"/>
          <w:szCs w:val="28"/>
        </w:rPr>
        <w:t xml:space="preserve">По сравнению с состоянием долговых обязательств субъектов Российской Федерации на начало </w:t>
      </w:r>
      <w:r w:rsidRPr="003504E1">
        <w:rPr>
          <w:i/>
          <w:iCs/>
          <w:sz w:val="28"/>
          <w:szCs w:val="28"/>
        </w:rPr>
        <w:t>года</w:t>
      </w:r>
      <w:r w:rsidR="00E86D55">
        <w:rPr>
          <w:i/>
          <w:iCs/>
          <w:sz w:val="28"/>
          <w:szCs w:val="28"/>
        </w:rPr>
        <w:t>,</w:t>
      </w:r>
      <w:r w:rsidRPr="003504E1">
        <w:rPr>
          <w:i/>
          <w:iCs/>
          <w:sz w:val="28"/>
          <w:szCs w:val="28"/>
        </w:rPr>
        <w:t xml:space="preserve"> </w:t>
      </w:r>
      <w:r w:rsidR="004A5541" w:rsidRPr="003504E1">
        <w:rPr>
          <w:i/>
          <w:iCs/>
          <w:sz w:val="28"/>
          <w:szCs w:val="28"/>
        </w:rPr>
        <w:t xml:space="preserve">на 1 </w:t>
      </w:r>
      <w:r w:rsidR="00C96C76" w:rsidRPr="003504E1">
        <w:rPr>
          <w:i/>
          <w:iCs/>
          <w:sz w:val="28"/>
          <w:szCs w:val="28"/>
        </w:rPr>
        <w:t>апреля</w:t>
      </w:r>
      <w:r w:rsidR="00AC7C8B" w:rsidRPr="003504E1">
        <w:rPr>
          <w:i/>
          <w:iCs/>
          <w:sz w:val="28"/>
          <w:szCs w:val="28"/>
        </w:rPr>
        <w:t xml:space="preserve"> </w:t>
      </w:r>
      <w:r w:rsidRPr="003504E1">
        <w:rPr>
          <w:i/>
          <w:iCs/>
          <w:sz w:val="28"/>
          <w:szCs w:val="28"/>
        </w:rPr>
        <w:t>201</w:t>
      </w:r>
      <w:r w:rsidR="004A5541" w:rsidRPr="003504E1">
        <w:rPr>
          <w:i/>
          <w:iCs/>
          <w:sz w:val="28"/>
          <w:szCs w:val="28"/>
        </w:rPr>
        <w:t>6</w:t>
      </w:r>
      <w:r w:rsidRPr="003504E1">
        <w:rPr>
          <w:i/>
          <w:iCs/>
          <w:sz w:val="28"/>
          <w:szCs w:val="28"/>
        </w:rPr>
        <w:t xml:space="preserve"> года рост объема долговых обязательств произошел в </w:t>
      </w:r>
      <w:r w:rsidR="00C96C76" w:rsidRPr="003504E1">
        <w:rPr>
          <w:i/>
          <w:sz w:val="28"/>
          <w:szCs w:val="28"/>
        </w:rPr>
        <w:t>4</w:t>
      </w:r>
      <w:r w:rsidR="00BD3F3E">
        <w:rPr>
          <w:i/>
          <w:sz w:val="28"/>
          <w:szCs w:val="28"/>
        </w:rPr>
        <w:t>0</w:t>
      </w:r>
      <w:r w:rsidRPr="003504E1">
        <w:rPr>
          <w:i/>
          <w:sz w:val="28"/>
          <w:szCs w:val="28"/>
        </w:rPr>
        <w:t xml:space="preserve"> регионах</w:t>
      </w:r>
      <w:r w:rsidRPr="003504E1">
        <w:rPr>
          <w:i/>
          <w:iCs/>
          <w:sz w:val="28"/>
          <w:szCs w:val="28"/>
        </w:rPr>
        <w:t xml:space="preserve">, </w:t>
      </w:r>
      <w:r w:rsidR="00AC7C8B" w:rsidRPr="003504E1">
        <w:rPr>
          <w:i/>
          <w:iCs/>
          <w:sz w:val="28"/>
          <w:szCs w:val="28"/>
        </w:rPr>
        <w:t xml:space="preserve">при этом значительный </w:t>
      </w:r>
      <w:r w:rsidR="00B0290F" w:rsidRPr="003504E1">
        <w:rPr>
          <w:i/>
          <w:iCs/>
          <w:sz w:val="28"/>
          <w:szCs w:val="28"/>
        </w:rPr>
        <w:t xml:space="preserve">в </w:t>
      </w:r>
      <w:r w:rsidR="003504E1" w:rsidRPr="003504E1">
        <w:rPr>
          <w:i/>
          <w:iCs/>
          <w:sz w:val="28"/>
          <w:szCs w:val="28"/>
        </w:rPr>
        <w:t xml:space="preserve">Ненецком автономном округе </w:t>
      </w:r>
      <w:r w:rsidR="00763BC1" w:rsidRPr="003504E1">
        <w:rPr>
          <w:i/>
          <w:iCs/>
          <w:sz w:val="28"/>
          <w:szCs w:val="28"/>
        </w:rPr>
        <w:t>(</w:t>
      </w:r>
      <w:r w:rsidR="007C7902" w:rsidRPr="003504E1">
        <w:rPr>
          <w:i/>
          <w:iCs/>
          <w:sz w:val="28"/>
          <w:szCs w:val="28"/>
        </w:rPr>
        <w:t xml:space="preserve">в </w:t>
      </w:r>
      <w:r w:rsidR="003504E1" w:rsidRPr="003504E1">
        <w:rPr>
          <w:i/>
          <w:iCs/>
          <w:sz w:val="28"/>
          <w:szCs w:val="28"/>
        </w:rPr>
        <w:t>1,9</w:t>
      </w:r>
      <w:r w:rsidR="00B0290F" w:rsidRPr="003504E1">
        <w:rPr>
          <w:i/>
          <w:iCs/>
          <w:sz w:val="28"/>
          <w:szCs w:val="28"/>
        </w:rPr>
        <w:t> раза</w:t>
      </w:r>
      <w:r w:rsidR="00763BC1" w:rsidRPr="003504E1">
        <w:rPr>
          <w:i/>
          <w:iCs/>
          <w:sz w:val="28"/>
          <w:szCs w:val="28"/>
        </w:rPr>
        <w:t>)</w:t>
      </w:r>
      <w:r w:rsidR="00B0290F" w:rsidRPr="003504E1">
        <w:rPr>
          <w:i/>
          <w:iCs/>
          <w:sz w:val="28"/>
          <w:szCs w:val="28"/>
        </w:rPr>
        <w:t xml:space="preserve">, </w:t>
      </w:r>
      <w:r w:rsidR="003504E1" w:rsidRPr="003504E1">
        <w:rPr>
          <w:i/>
          <w:iCs/>
          <w:sz w:val="28"/>
          <w:szCs w:val="28"/>
        </w:rPr>
        <w:t>Карачаево-Черкесской Республике (в 1,4 раза), Республике Северная Осетия – Алания (на 23,8 %), Тамбовской</w:t>
      </w:r>
      <w:r w:rsidR="007C7902" w:rsidRPr="003504E1">
        <w:rPr>
          <w:i/>
          <w:iCs/>
          <w:sz w:val="28"/>
          <w:szCs w:val="28"/>
        </w:rPr>
        <w:t xml:space="preserve"> области (</w:t>
      </w:r>
      <w:r w:rsidR="003504E1" w:rsidRPr="003504E1">
        <w:rPr>
          <w:i/>
          <w:iCs/>
          <w:sz w:val="28"/>
          <w:szCs w:val="28"/>
        </w:rPr>
        <w:t>на 16,2 %</w:t>
      </w:r>
      <w:r w:rsidR="007C7902" w:rsidRPr="003504E1">
        <w:rPr>
          <w:i/>
          <w:iCs/>
          <w:sz w:val="28"/>
          <w:szCs w:val="28"/>
        </w:rPr>
        <w:t>), П</w:t>
      </w:r>
      <w:r w:rsidR="003504E1" w:rsidRPr="003504E1">
        <w:rPr>
          <w:i/>
          <w:iCs/>
          <w:sz w:val="28"/>
          <w:szCs w:val="28"/>
        </w:rPr>
        <w:t>риморск</w:t>
      </w:r>
      <w:r w:rsidR="007C7902" w:rsidRPr="003504E1">
        <w:rPr>
          <w:i/>
          <w:iCs/>
          <w:sz w:val="28"/>
          <w:szCs w:val="28"/>
        </w:rPr>
        <w:t>ом крае</w:t>
      </w:r>
      <w:r w:rsidR="004F644A" w:rsidRPr="003504E1">
        <w:rPr>
          <w:i/>
          <w:iCs/>
          <w:sz w:val="28"/>
          <w:szCs w:val="28"/>
        </w:rPr>
        <w:t xml:space="preserve"> </w:t>
      </w:r>
      <w:r w:rsidR="00763BC1" w:rsidRPr="003504E1">
        <w:rPr>
          <w:i/>
          <w:iCs/>
          <w:sz w:val="28"/>
          <w:szCs w:val="28"/>
        </w:rPr>
        <w:t>(</w:t>
      </w:r>
      <w:r w:rsidR="003504E1" w:rsidRPr="003504E1">
        <w:rPr>
          <w:i/>
          <w:iCs/>
          <w:sz w:val="28"/>
          <w:szCs w:val="28"/>
        </w:rPr>
        <w:t>на 19,4 %</w:t>
      </w:r>
      <w:r w:rsidR="00763BC1" w:rsidRPr="003504E1">
        <w:rPr>
          <w:i/>
          <w:iCs/>
          <w:sz w:val="28"/>
          <w:szCs w:val="28"/>
        </w:rPr>
        <w:t>)</w:t>
      </w:r>
      <w:r w:rsidR="00A17256">
        <w:rPr>
          <w:i/>
          <w:iCs/>
          <w:sz w:val="28"/>
          <w:szCs w:val="28"/>
        </w:rPr>
        <w:t>, Ульяновской области (на 10,9 %)</w:t>
      </w:r>
      <w:r w:rsidR="007C7902" w:rsidRPr="003504E1">
        <w:rPr>
          <w:i/>
          <w:iCs/>
          <w:sz w:val="28"/>
          <w:szCs w:val="28"/>
        </w:rPr>
        <w:t>.</w:t>
      </w:r>
      <w:proofErr w:type="gramEnd"/>
      <w:r w:rsidR="0035285A" w:rsidRPr="003504E1">
        <w:rPr>
          <w:i/>
          <w:iCs/>
          <w:sz w:val="28"/>
          <w:szCs w:val="28"/>
        </w:rPr>
        <w:t xml:space="preserve"> Государственный долг </w:t>
      </w:r>
      <w:r w:rsidR="003504E1" w:rsidRPr="003504E1">
        <w:rPr>
          <w:i/>
          <w:iCs/>
          <w:sz w:val="28"/>
          <w:szCs w:val="28"/>
        </w:rPr>
        <w:t>Алтайского края, Курганской, Магаданской и Саратов</w:t>
      </w:r>
      <w:r w:rsidR="0035285A" w:rsidRPr="003504E1">
        <w:rPr>
          <w:i/>
          <w:iCs/>
          <w:sz w:val="28"/>
          <w:szCs w:val="28"/>
        </w:rPr>
        <w:t>ской областей</w:t>
      </w:r>
      <w:r w:rsidR="003504E1" w:rsidRPr="003504E1">
        <w:rPr>
          <w:i/>
          <w:iCs/>
          <w:sz w:val="28"/>
          <w:szCs w:val="28"/>
        </w:rPr>
        <w:t>, а также г. Санкт-Петербурга не</w:t>
      </w:r>
      <w:r w:rsidR="0035285A" w:rsidRPr="003504E1">
        <w:rPr>
          <w:i/>
          <w:iCs/>
          <w:sz w:val="28"/>
          <w:szCs w:val="28"/>
        </w:rPr>
        <w:t xml:space="preserve"> изменился и остался на уровне </w:t>
      </w:r>
      <w:r w:rsidR="003504E1" w:rsidRPr="003504E1">
        <w:rPr>
          <w:i/>
          <w:iCs/>
          <w:sz w:val="28"/>
          <w:szCs w:val="28"/>
        </w:rPr>
        <w:t xml:space="preserve">начала </w:t>
      </w:r>
      <w:r w:rsidR="0035285A" w:rsidRPr="003504E1">
        <w:rPr>
          <w:i/>
          <w:iCs/>
          <w:sz w:val="28"/>
          <w:szCs w:val="28"/>
        </w:rPr>
        <w:t>201</w:t>
      </w:r>
      <w:r w:rsidR="003504E1" w:rsidRPr="003504E1">
        <w:rPr>
          <w:i/>
          <w:iCs/>
          <w:sz w:val="28"/>
          <w:szCs w:val="28"/>
        </w:rPr>
        <w:t>6</w:t>
      </w:r>
      <w:r w:rsidR="0035285A" w:rsidRPr="003504E1">
        <w:rPr>
          <w:i/>
          <w:iCs/>
          <w:sz w:val="28"/>
          <w:szCs w:val="28"/>
        </w:rPr>
        <w:t> года.</w:t>
      </w:r>
    </w:p>
    <w:p w:rsidR="009E5CBC" w:rsidRDefault="00A17256" w:rsidP="007E2E47">
      <w:pPr>
        <w:spacing w:after="0" w:line="264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Объем и с</w:t>
      </w:r>
      <w:r w:rsidR="001C55E5" w:rsidRPr="00BD3F3E">
        <w:rPr>
          <w:rFonts w:ascii="Times New Roman" w:hAnsi="Times New Roman"/>
          <w:i/>
          <w:iCs/>
          <w:sz w:val="28"/>
          <w:szCs w:val="28"/>
        </w:rPr>
        <w:t>труктур</w:t>
      </w:r>
      <w:r w:rsidR="00BD3F3E" w:rsidRPr="00BD3F3E">
        <w:rPr>
          <w:rFonts w:ascii="Times New Roman" w:hAnsi="Times New Roman"/>
          <w:i/>
          <w:iCs/>
          <w:sz w:val="28"/>
          <w:szCs w:val="28"/>
        </w:rPr>
        <w:t>а</w:t>
      </w:r>
      <w:r w:rsidR="001C55E5" w:rsidRPr="00BD3F3E">
        <w:rPr>
          <w:rFonts w:ascii="Times New Roman" w:hAnsi="Times New Roman"/>
          <w:i/>
          <w:iCs/>
          <w:sz w:val="28"/>
          <w:szCs w:val="28"/>
        </w:rPr>
        <w:t xml:space="preserve"> долговых обязательств регионов</w:t>
      </w:r>
      <w:r>
        <w:rPr>
          <w:rFonts w:ascii="Times New Roman" w:hAnsi="Times New Roman"/>
          <w:i/>
          <w:iCs/>
          <w:sz w:val="28"/>
          <w:szCs w:val="28"/>
        </w:rPr>
        <w:t xml:space="preserve"> по состоянию </w:t>
      </w:r>
      <w:r>
        <w:rPr>
          <w:rFonts w:ascii="Times New Roman" w:hAnsi="Times New Roman"/>
          <w:i/>
          <w:iCs/>
          <w:sz w:val="28"/>
          <w:szCs w:val="28"/>
        </w:rPr>
        <w:br/>
      </w:r>
      <w:r w:rsidR="00BD3F3E" w:rsidRPr="00BD3F3E">
        <w:rPr>
          <w:rFonts w:ascii="Times New Roman" w:hAnsi="Times New Roman"/>
          <w:i/>
          <w:iCs/>
          <w:sz w:val="28"/>
          <w:szCs w:val="28"/>
        </w:rPr>
        <w:t xml:space="preserve">на 1 апреля 2016 года </w:t>
      </w:r>
      <w:r w:rsidR="00CF1181" w:rsidRPr="00BD3F3E">
        <w:rPr>
          <w:rFonts w:ascii="Times New Roman" w:hAnsi="Times New Roman"/>
          <w:i/>
          <w:iCs/>
          <w:sz w:val="28"/>
          <w:szCs w:val="28"/>
        </w:rPr>
        <w:t>отражен</w:t>
      </w:r>
      <w:r w:rsidR="00BD3F3E" w:rsidRPr="00BD3F3E">
        <w:rPr>
          <w:rFonts w:ascii="Times New Roman" w:hAnsi="Times New Roman"/>
          <w:i/>
          <w:iCs/>
          <w:sz w:val="28"/>
          <w:szCs w:val="28"/>
        </w:rPr>
        <w:t>а</w:t>
      </w:r>
      <w:r w:rsidR="00CF1181" w:rsidRPr="00BD3F3E">
        <w:rPr>
          <w:rFonts w:ascii="Times New Roman" w:hAnsi="Times New Roman"/>
          <w:i/>
          <w:iCs/>
          <w:sz w:val="28"/>
          <w:szCs w:val="28"/>
        </w:rPr>
        <w:t xml:space="preserve"> в таблице </w:t>
      </w:r>
      <w:r w:rsidR="00BD3F3E">
        <w:rPr>
          <w:rFonts w:ascii="Times New Roman" w:hAnsi="Times New Roman"/>
          <w:i/>
          <w:iCs/>
          <w:sz w:val="28"/>
          <w:szCs w:val="28"/>
        </w:rPr>
        <w:t>6</w:t>
      </w:r>
      <w:r w:rsidR="009E5CBC" w:rsidRPr="00BD3F3E">
        <w:rPr>
          <w:rFonts w:ascii="Times New Roman" w:hAnsi="Times New Roman"/>
          <w:i/>
          <w:iCs/>
          <w:sz w:val="28"/>
          <w:szCs w:val="28"/>
        </w:rPr>
        <w:t>.</w:t>
      </w:r>
    </w:p>
    <w:p w:rsidR="008047EB" w:rsidRPr="00631F46" w:rsidRDefault="008547A1" w:rsidP="00C10682">
      <w:pPr>
        <w:spacing w:after="0"/>
        <w:ind w:firstLine="691"/>
        <w:jc w:val="right"/>
        <w:rPr>
          <w:rFonts w:ascii="Times New Roman" w:hAnsi="Times New Roman"/>
          <w:sz w:val="24"/>
          <w:szCs w:val="24"/>
        </w:rPr>
      </w:pPr>
      <w:r w:rsidRPr="00631F46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 w:rsidR="00BD3F3E" w:rsidRPr="00631F46">
        <w:rPr>
          <w:rFonts w:ascii="Times New Roman" w:hAnsi="Times New Roman"/>
          <w:sz w:val="24"/>
          <w:szCs w:val="24"/>
        </w:rPr>
        <w:t>6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546"/>
        <w:gridCol w:w="1116"/>
        <w:gridCol w:w="850"/>
        <w:gridCol w:w="1116"/>
        <w:gridCol w:w="849"/>
        <w:gridCol w:w="1036"/>
      </w:tblGrid>
      <w:tr w:rsidR="00E92E54" w:rsidRPr="006066C0" w:rsidTr="00EF7F41">
        <w:trPr>
          <w:trHeight w:val="300"/>
        </w:trPr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Долговое обязательство</w:t>
            </w:r>
          </w:p>
        </w:tc>
        <w:tc>
          <w:tcPr>
            <w:tcW w:w="39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По состоянию: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Темп роста</w:t>
            </w:r>
            <w:r w:rsidR="00E92E54" w:rsidRPr="00E92E5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(снижения)</w:t>
            </w:r>
          </w:p>
        </w:tc>
      </w:tr>
      <w:tr w:rsidR="00E92E54" w:rsidRPr="006066C0" w:rsidTr="00EF7F41">
        <w:trPr>
          <w:trHeight w:val="300"/>
        </w:trPr>
        <w:tc>
          <w:tcPr>
            <w:tcW w:w="4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EF7F41" w:rsidP="00EF7F41">
            <w:pPr>
              <w:spacing w:after="0" w:line="240" w:lineRule="auto"/>
              <w:ind w:right="-132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6066C0"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января 2016 года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EF7F41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6066C0"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апреля 2016 года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D3F3E" w:rsidRPr="006066C0" w:rsidTr="00EF7F41">
        <w:trPr>
          <w:trHeight w:val="720"/>
        </w:trPr>
        <w:tc>
          <w:tcPr>
            <w:tcW w:w="4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% к общему объему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млн. рублей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% к общему объему</w:t>
            </w: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D3F3E" w:rsidRPr="006066C0" w:rsidTr="00EF7F41">
        <w:trPr>
          <w:trHeight w:val="313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Государственные ценные бумаги субъекта Р</w:t>
            </w:r>
            <w:r w:rsidR="00EF7F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432 762,0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425 004,1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</w:tr>
      <w:tr w:rsidR="00BD3F3E" w:rsidRPr="006066C0" w:rsidTr="00EF7F41">
        <w:trPr>
          <w:trHeight w:val="417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Кредиты, полученные субъектом </w:t>
            </w:r>
            <w:r w:rsidR="00EF7F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Российской Федерации</w:t>
            </w: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от кредитных организаций, иностранных банков и МФО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965 432,7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806 167,4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83,5</w:t>
            </w:r>
          </w:p>
        </w:tc>
      </w:tr>
      <w:tr w:rsidR="00BD3F3E" w:rsidRPr="006066C0" w:rsidTr="00EF7F41">
        <w:trPr>
          <w:trHeight w:val="28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Государственные гарантии субъекта </w:t>
            </w:r>
            <w:r w:rsidR="00BD3F3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="00EF7F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102 959,1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94 000,1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91,3</w:t>
            </w:r>
          </w:p>
        </w:tc>
      </w:tr>
      <w:tr w:rsidR="00BD3F3E" w:rsidRPr="006066C0" w:rsidTr="00EF7F41">
        <w:trPr>
          <w:trHeight w:val="697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BD3F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Бюджетные кредиты, привлеченные в бюджет субъекта Российской Федерации от других бюджетов бюджетной системы </w:t>
            </w:r>
            <w:r w:rsidR="00BD3F3E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808 674,5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1 019 062,3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126,0</w:t>
            </w:r>
          </w:p>
        </w:tc>
      </w:tr>
      <w:tr w:rsidR="00BD3F3E" w:rsidRPr="006066C0" w:rsidTr="00EF7F41">
        <w:trPr>
          <w:trHeight w:val="281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Иные долговые обязательства субъекта </w:t>
            </w:r>
            <w:r w:rsidR="00EF7F4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Российской Федерации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8 761,9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92E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E92E5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8 699,1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99,3</w:t>
            </w:r>
          </w:p>
        </w:tc>
      </w:tr>
      <w:tr w:rsidR="00BD3F3E" w:rsidRPr="006066C0" w:rsidTr="00EF7F41">
        <w:trPr>
          <w:trHeight w:val="30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2 318 590,2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2 352 932,9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EF7F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6C0" w:rsidRPr="006066C0" w:rsidRDefault="006066C0" w:rsidP="00606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066C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101,5</w:t>
            </w:r>
          </w:p>
        </w:tc>
      </w:tr>
    </w:tbl>
    <w:p w:rsidR="00D35A1E" w:rsidRPr="00E92E54" w:rsidRDefault="00D35A1E" w:rsidP="009A46CC">
      <w:pPr>
        <w:spacing w:after="0"/>
        <w:ind w:firstLine="708"/>
        <w:jc w:val="both"/>
        <w:rPr>
          <w:rFonts w:ascii="Times New Roman" w:hAnsi="Times New Roman"/>
          <w:iCs/>
          <w:sz w:val="16"/>
          <w:szCs w:val="16"/>
        </w:rPr>
      </w:pPr>
    </w:p>
    <w:p w:rsidR="00E92E54" w:rsidRPr="00CE6D38" w:rsidRDefault="00E92E54" w:rsidP="00185818">
      <w:pPr>
        <w:spacing w:after="0" w:line="252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E6D38">
        <w:rPr>
          <w:rFonts w:ascii="Times New Roman" w:hAnsi="Times New Roman"/>
          <w:i/>
          <w:iCs/>
          <w:sz w:val="28"/>
          <w:szCs w:val="28"/>
        </w:rPr>
        <w:t xml:space="preserve">В структуре долговых обязательств субъектов Российской Федерации продолжает увеличиваться доля </w:t>
      </w:r>
      <w:r w:rsidR="009E5CBC" w:rsidRPr="00CE6D38">
        <w:rPr>
          <w:rFonts w:ascii="Times New Roman" w:hAnsi="Times New Roman"/>
          <w:i/>
          <w:sz w:val="28"/>
          <w:szCs w:val="28"/>
        </w:rPr>
        <w:t>бюджетных кредитов, привлеченных в бюджет субъекта Российской Федерации от других бюджетов бюджетной системы Российской Федерации</w:t>
      </w:r>
      <w:r w:rsidRPr="00CE6D38">
        <w:rPr>
          <w:rFonts w:ascii="Times New Roman" w:hAnsi="Times New Roman"/>
          <w:i/>
          <w:sz w:val="28"/>
          <w:szCs w:val="28"/>
        </w:rPr>
        <w:t xml:space="preserve"> с 34,9 % на начало года до 43,3 % на 1 апреля 2016 года. </w:t>
      </w:r>
      <w:r w:rsidR="00A17256" w:rsidRPr="00CE6D38">
        <w:rPr>
          <w:rFonts w:ascii="Times New Roman" w:hAnsi="Times New Roman"/>
          <w:i/>
          <w:sz w:val="28"/>
          <w:szCs w:val="28"/>
        </w:rPr>
        <w:t>Вместе с тем</w:t>
      </w:r>
      <w:r w:rsidRPr="00CE6D38">
        <w:rPr>
          <w:rFonts w:ascii="Times New Roman" w:hAnsi="Times New Roman"/>
          <w:i/>
          <w:sz w:val="28"/>
          <w:szCs w:val="28"/>
        </w:rPr>
        <w:t xml:space="preserve"> происходит снижение удельного веса задолженности по кредитам, полученным субъектами Российской Федерации от кредитных организаций, иностранных банков и международных финансовых организаций с 41,6 % до 34,3 %.</w:t>
      </w:r>
    </w:p>
    <w:p w:rsidR="00B5449F" w:rsidRPr="00CE6D38" w:rsidRDefault="00A17256" w:rsidP="00185818">
      <w:pPr>
        <w:spacing w:after="0" w:line="252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CE6D38">
        <w:rPr>
          <w:rFonts w:ascii="Times New Roman" w:hAnsi="Times New Roman"/>
          <w:i/>
          <w:iCs/>
          <w:sz w:val="28"/>
          <w:szCs w:val="28"/>
        </w:rPr>
        <w:t xml:space="preserve">По состоянию на 1 апреля 2016 года значительно вырос объем </w:t>
      </w:r>
      <w:r w:rsidR="00E47B3F" w:rsidRPr="00CE6D38">
        <w:rPr>
          <w:rFonts w:ascii="Times New Roman" w:hAnsi="Times New Roman"/>
          <w:i/>
          <w:iCs/>
          <w:sz w:val="28"/>
          <w:szCs w:val="28"/>
        </w:rPr>
        <w:t xml:space="preserve">задолженности по </w:t>
      </w:r>
      <w:r w:rsidRPr="00CE6D38">
        <w:rPr>
          <w:rFonts w:ascii="Times New Roman" w:hAnsi="Times New Roman"/>
          <w:i/>
          <w:iCs/>
          <w:sz w:val="28"/>
          <w:szCs w:val="28"/>
        </w:rPr>
        <w:t>б</w:t>
      </w:r>
      <w:r w:rsidRPr="006066C0">
        <w:rPr>
          <w:rFonts w:ascii="Times New Roman" w:hAnsi="Times New Roman"/>
          <w:i/>
          <w:iCs/>
          <w:sz w:val="28"/>
          <w:szCs w:val="28"/>
        </w:rPr>
        <w:t>юджетны</w:t>
      </w:r>
      <w:r w:rsidR="00E47B3F" w:rsidRPr="00CE6D38">
        <w:rPr>
          <w:rFonts w:ascii="Times New Roman" w:hAnsi="Times New Roman"/>
          <w:i/>
          <w:iCs/>
          <w:sz w:val="28"/>
          <w:szCs w:val="28"/>
        </w:rPr>
        <w:t>м</w:t>
      </w:r>
      <w:r w:rsidRPr="00CE6D38">
        <w:rPr>
          <w:rFonts w:ascii="Times New Roman" w:hAnsi="Times New Roman"/>
          <w:i/>
          <w:iCs/>
          <w:sz w:val="28"/>
          <w:szCs w:val="28"/>
        </w:rPr>
        <w:t xml:space="preserve"> кредит</w:t>
      </w:r>
      <w:r w:rsidR="00E47B3F" w:rsidRPr="00CE6D38">
        <w:rPr>
          <w:rFonts w:ascii="Times New Roman" w:hAnsi="Times New Roman"/>
          <w:i/>
          <w:iCs/>
          <w:sz w:val="28"/>
          <w:szCs w:val="28"/>
        </w:rPr>
        <w:t>ам</w:t>
      </w:r>
      <w:r w:rsidRPr="006066C0">
        <w:rPr>
          <w:rFonts w:ascii="Times New Roman" w:hAnsi="Times New Roman"/>
          <w:i/>
          <w:iCs/>
          <w:sz w:val="28"/>
          <w:szCs w:val="28"/>
        </w:rPr>
        <w:t>, привлеченны</w:t>
      </w:r>
      <w:r w:rsidR="00E47B3F" w:rsidRPr="00CE6D38">
        <w:rPr>
          <w:rFonts w:ascii="Times New Roman" w:hAnsi="Times New Roman"/>
          <w:i/>
          <w:iCs/>
          <w:sz w:val="28"/>
          <w:szCs w:val="28"/>
        </w:rPr>
        <w:t>м</w:t>
      </w:r>
      <w:r w:rsidRPr="006066C0">
        <w:rPr>
          <w:rFonts w:ascii="Times New Roman" w:hAnsi="Times New Roman"/>
          <w:i/>
          <w:iCs/>
          <w:sz w:val="28"/>
          <w:szCs w:val="28"/>
        </w:rPr>
        <w:t xml:space="preserve"> в бюджет субъекта Российской Федерации от других бюджетов бюджетной системы </w:t>
      </w:r>
      <w:r w:rsidRPr="00CE6D38">
        <w:rPr>
          <w:rFonts w:ascii="Times New Roman" w:hAnsi="Times New Roman"/>
          <w:i/>
          <w:iCs/>
          <w:sz w:val="28"/>
          <w:szCs w:val="28"/>
        </w:rPr>
        <w:t>Российской Федерации (на 210,4 млрд. рублей, или на 26 %).</w:t>
      </w:r>
      <w:r w:rsidR="00E47B3F" w:rsidRPr="00CE6D38">
        <w:rPr>
          <w:rFonts w:ascii="Times New Roman" w:hAnsi="Times New Roman"/>
          <w:i/>
          <w:iCs/>
          <w:sz w:val="28"/>
          <w:szCs w:val="28"/>
        </w:rPr>
        <w:t xml:space="preserve"> Рост задолженности произошел в 54 субъектах Российской Федерации, из них значительный в </w:t>
      </w:r>
      <w:r w:rsidR="00B5449F" w:rsidRPr="00CE6D38">
        <w:rPr>
          <w:rFonts w:ascii="Times New Roman" w:hAnsi="Times New Roman"/>
          <w:i/>
          <w:iCs/>
          <w:sz w:val="28"/>
          <w:szCs w:val="28"/>
        </w:rPr>
        <w:t>Омской области (в 3,1 ра</w:t>
      </w:r>
      <w:r w:rsidR="00E86D55">
        <w:rPr>
          <w:rFonts w:ascii="Times New Roman" w:hAnsi="Times New Roman"/>
          <w:i/>
          <w:iCs/>
          <w:sz w:val="28"/>
          <w:szCs w:val="28"/>
        </w:rPr>
        <w:t>за), Челябинской области (в 2,9 </w:t>
      </w:r>
      <w:r w:rsidR="00B5449F" w:rsidRPr="00CE6D38">
        <w:rPr>
          <w:rFonts w:ascii="Times New Roman" w:hAnsi="Times New Roman"/>
          <w:i/>
          <w:iCs/>
          <w:sz w:val="28"/>
          <w:szCs w:val="28"/>
        </w:rPr>
        <w:t>раза), Томской области (в 2,8 раза), Свердловской области (в 2,3 раза).</w:t>
      </w:r>
    </w:p>
    <w:p w:rsidR="00A13588" w:rsidRPr="00CE6D38" w:rsidRDefault="00A13588" w:rsidP="00185818">
      <w:pPr>
        <w:spacing w:after="0" w:line="252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E6D38">
        <w:rPr>
          <w:rFonts w:ascii="Times New Roman" w:hAnsi="Times New Roman"/>
          <w:i/>
          <w:sz w:val="28"/>
          <w:szCs w:val="28"/>
        </w:rPr>
        <w:t>З</w:t>
      </w:r>
      <w:r w:rsidR="00D70D29" w:rsidRPr="00CE6D38">
        <w:rPr>
          <w:rFonts w:ascii="Times New Roman" w:hAnsi="Times New Roman"/>
          <w:i/>
          <w:sz w:val="28"/>
          <w:szCs w:val="28"/>
        </w:rPr>
        <w:t>адолженност</w:t>
      </w:r>
      <w:r w:rsidRPr="00CE6D38">
        <w:rPr>
          <w:rFonts w:ascii="Times New Roman" w:hAnsi="Times New Roman"/>
          <w:i/>
          <w:sz w:val="28"/>
          <w:szCs w:val="28"/>
        </w:rPr>
        <w:t>ь</w:t>
      </w:r>
      <w:r w:rsidR="00D70D29" w:rsidRPr="00CE6D38">
        <w:rPr>
          <w:rFonts w:ascii="Times New Roman" w:hAnsi="Times New Roman"/>
          <w:i/>
          <w:sz w:val="28"/>
          <w:szCs w:val="28"/>
        </w:rPr>
        <w:t xml:space="preserve"> по кредитам, полученным субъектами Российской Федерации от кредитных организаций, иностранных банков и международных финансовых организаций</w:t>
      </w:r>
      <w:r w:rsidR="00EF7F41">
        <w:rPr>
          <w:rFonts w:ascii="Times New Roman" w:hAnsi="Times New Roman"/>
          <w:i/>
          <w:sz w:val="28"/>
          <w:szCs w:val="28"/>
        </w:rPr>
        <w:t>,</w:t>
      </w:r>
      <w:r w:rsidRPr="00CE6D38">
        <w:rPr>
          <w:rFonts w:ascii="Times New Roman" w:hAnsi="Times New Roman"/>
          <w:i/>
          <w:sz w:val="28"/>
          <w:szCs w:val="28"/>
        </w:rPr>
        <w:t xml:space="preserve"> снизилась на 159,3 млрд. рублей, или на 16,5 %. </w:t>
      </w:r>
    </w:p>
    <w:p w:rsidR="00A13588" w:rsidRPr="00CE6D38" w:rsidRDefault="00A13588" w:rsidP="00185818">
      <w:pPr>
        <w:spacing w:after="0" w:line="252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CE6D38">
        <w:rPr>
          <w:rFonts w:ascii="Times New Roman" w:hAnsi="Times New Roman"/>
          <w:i/>
          <w:sz w:val="28"/>
          <w:szCs w:val="28"/>
        </w:rPr>
        <w:t xml:space="preserve">Однако в структуре долговых обязательств некоторых регионов доля указанных кредитов значительно выше. </w:t>
      </w:r>
      <w:proofErr w:type="gramStart"/>
      <w:r w:rsidRPr="00CE6D38">
        <w:rPr>
          <w:rFonts w:ascii="Times New Roman" w:hAnsi="Times New Roman"/>
          <w:i/>
          <w:sz w:val="28"/>
          <w:szCs w:val="28"/>
        </w:rPr>
        <w:t>Так</w:t>
      </w:r>
      <w:r w:rsidR="00E86D55">
        <w:rPr>
          <w:rFonts w:ascii="Times New Roman" w:hAnsi="Times New Roman"/>
          <w:i/>
          <w:sz w:val="28"/>
          <w:szCs w:val="28"/>
        </w:rPr>
        <w:t>, по состоянию на 1 апреля 2016 </w:t>
      </w:r>
      <w:r w:rsidRPr="00CE6D38">
        <w:rPr>
          <w:rFonts w:ascii="Times New Roman" w:hAnsi="Times New Roman"/>
          <w:i/>
          <w:sz w:val="28"/>
          <w:szCs w:val="28"/>
        </w:rPr>
        <w:t xml:space="preserve">года кредиты, полученные от кредитных организаций, в структуре государственного долга Ивановской области составляют </w:t>
      </w:r>
      <w:r w:rsidR="00CE6D38" w:rsidRPr="00CE6D38">
        <w:rPr>
          <w:rFonts w:ascii="Times New Roman" w:hAnsi="Times New Roman"/>
          <w:i/>
          <w:sz w:val="28"/>
          <w:szCs w:val="28"/>
        </w:rPr>
        <w:t>89,8</w:t>
      </w:r>
      <w:r w:rsidRPr="00CE6D38">
        <w:rPr>
          <w:rFonts w:ascii="Times New Roman" w:hAnsi="Times New Roman"/>
          <w:i/>
          <w:sz w:val="28"/>
          <w:szCs w:val="28"/>
        </w:rPr>
        <w:t xml:space="preserve"> %, а доля бюджетных кредитов </w:t>
      </w:r>
      <w:r w:rsidR="00CE6D38" w:rsidRPr="00CE6D38">
        <w:rPr>
          <w:rFonts w:ascii="Times New Roman" w:hAnsi="Times New Roman"/>
          <w:i/>
          <w:sz w:val="28"/>
          <w:szCs w:val="28"/>
        </w:rPr>
        <w:t>9,5</w:t>
      </w:r>
      <w:r w:rsidRPr="00CE6D38">
        <w:rPr>
          <w:rFonts w:ascii="Times New Roman" w:hAnsi="Times New Roman"/>
          <w:i/>
          <w:sz w:val="28"/>
          <w:szCs w:val="28"/>
        </w:rPr>
        <w:t xml:space="preserve"> %, Курганской области – </w:t>
      </w:r>
      <w:r w:rsidR="00CE6D38" w:rsidRPr="00CE6D38">
        <w:rPr>
          <w:rFonts w:ascii="Times New Roman" w:hAnsi="Times New Roman"/>
          <w:i/>
          <w:sz w:val="28"/>
          <w:szCs w:val="28"/>
        </w:rPr>
        <w:t>73,9</w:t>
      </w:r>
      <w:r w:rsidRPr="00CE6D38">
        <w:rPr>
          <w:rFonts w:ascii="Times New Roman" w:hAnsi="Times New Roman"/>
          <w:i/>
          <w:sz w:val="28"/>
          <w:szCs w:val="28"/>
        </w:rPr>
        <w:t xml:space="preserve"> % и </w:t>
      </w:r>
      <w:r w:rsidR="00CE6D38" w:rsidRPr="00CE6D38">
        <w:rPr>
          <w:rFonts w:ascii="Times New Roman" w:hAnsi="Times New Roman"/>
          <w:i/>
          <w:sz w:val="28"/>
          <w:szCs w:val="28"/>
        </w:rPr>
        <w:t>26,1</w:t>
      </w:r>
      <w:r w:rsidRPr="00CE6D38">
        <w:rPr>
          <w:rFonts w:ascii="Times New Roman" w:hAnsi="Times New Roman"/>
          <w:i/>
          <w:sz w:val="28"/>
          <w:szCs w:val="28"/>
        </w:rPr>
        <w:t> %</w:t>
      </w:r>
      <w:r w:rsidR="00EF7F41">
        <w:rPr>
          <w:rFonts w:ascii="Times New Roman" w:hAnsi="Times New Roman"/>
          <w:i/>
          <w:sz w:val="28"/>
          <w:szCs w:val="28"/>
        </w:rPr>
        <w:t>,</w:t>
      </w:r>
      <w:r w:rsidRPr="00CE6D38">
        <w:rPr>
          <w:rFonts w:ascii="Times New Roman" w:hAnsi="Times New Roman"/>
          <w:i/>
          <w:sz w:val="28"/>
          <w:szCs w:val="28"/>
        </w:rPr>
        <w:t xml:space="preserve"> Магаданской области – </w:t>
      </w:r>
      <w:r w:rsidR="00CE6D38" w:rsidRPr="00CE6D38">
        <w:rPr>
          <w:rFonts w:ascii="Times New Roman" w:hAnsi="Times New Roman"/>
          <w:i/>
          <w:sz w:val="28"/>
          <w:szCs w:val="28"/>
        </w:rPr>
        <w:t>82</w:t>
      </w:r>
      <w:r w:rsidRPr="00CE6D38">
        <w:rPr>
          <w:rFonts w:ascii="Times New Roman" w:hAnsi="Times New Roman"/>
          <w:i/>
          <w:sz w:val="28"/>
          <w:szCs w:val="28"/>
        </w:rPr>
        <w:t xml:space="preserve"> % и </w:t>
      </w:r>
      <w:r w:rsidR="00CE6D38" w:rsidRPr="00CE6D38">
        <w:rPr>
          <w:rFonts w:ascii="Times New Roman" w:hAnsi="Times New Roman"/>
          <w:i/>
          <w:sz w:val="28"/>
          <w:szCs w:val="28"/>
        </w:rPr>
        <w:t>9,8</w:t>
      </w:r>
      <w:r w:rsidRPr="00CE6D38">
        <w:rPr>
          <w:rFonts w:ascii="Times New Roman" w:hAnsi="Times New Roman"/>
          <w:i/>
          <w:sz w:val="28"/>
          <w:szCs w:val="28"/>
        </w:rPr>
        <w:t xml:space="preserve"> % соответственно, Ростовской области – </w:t>
      </w:r>
      <w:r w:rsidR="00CE6D38" w:rsidRPr="00CE6D38">
        <w:rPr>
          <w:rFonts w:ascii="Times New Roman" w:hAnsi="Times New Roman"/>
          <w:i/>
          <w:sz w:val="28"/>
          <w:szCs w:val="28"/>
        </w:rPr>
        <w:t>74,3</w:t>
      </w:r>
      <w:r w:rsidRPr="00CE6D38">
        <w:rPr>
          <w:rFonts w:ascii="Times New Roman" w:hAnsi="Times New Roman"/>
          <w:i/>
          <w:sz w:val="28"/>
          <w:szCs w:val="28"/>
        </w:rPr>
        <w:t xml:space="preserve"> и </w:t>
      </w:r>
      <w:r w:rsidR="00CE6D38" w:rsidRPr="00CE6D38">
        <w:rPr>
          <w:rFonts w:ascii="Times New Roman" w:hAnsi="Times New Roman"/>
          <w:i/>
          <w:sz w:val="28"/>
          <w:szCs w:val="28"/>
        </w:rPr>
        <w:t>24,4</w:t>
      </w:r>
      <w:r w:rsidRPr="00CE6D38">
        <w:rPr>
          <w:rFonts w:ascii="Times New Roman" w:hAnsi="Times New Roman"/>
          <w:i/>
          <w:sz w:val="28"/>
          <w:szCs w:val="28"/>
        </w:rPr>
        <w:t> %</w:t>
      </w:r>
      <w:r w:rsidR="000F05A7" w:rsidRPr="00CE6D38">
        <w:rPr>
          <w:rFonts w:ascii="Times New Roman" w:hAnsi="Times New Roman"/>
          <w:i/>
          <w:sz w:val="28"/>
          <w:szCs w:val="28"/>
        </w:rPr>
        <w:t>,</w:t>
      </w:r>
      <w:r w:rsidRPr="00CE6D38">
        <w:rPr>
          <w:rFonts w:ascii="Times New Roman" w:hAnsi="Times New Roman"/>
          <w:i/>
          <w:sz w:val="28"/>
          <w:szCs w:val="28"/>
        </w:rPr>
        <w:t xml:space="preserve"> </w:t>
      </w:r>
      <w:r w:rsidR="000F05A7" w:rsidRPr="00CE6D38">
        <w:rPr>
          <w:rFonts w:ascii="Times New Roman" w:hAnsi="Times New Roman"/>
          <w:i/>
          <w:sz w:val="28"/>
          <w:szCs w:val="28"/>
        </w:rPr>
        <w:t>Ульяновской</w:t>
      </w:r>
      <w:r w:rsidRPr="00CE6D38">
        <w:rPr>
          <w:rFonts w:ascii="Times New Roman" w:hAnsi="Times New Roman"/>
          <w:i/>
          <w:sz w:val="28"/>
          <w:szCs w:val="28"/>
        </w:rPr>
        <w:t xml:space="preserve"> области – </w:t>
      </w:r>
      <w:r w:rsidR="00CE6D38" w:rsidRPr="00CE6D38">
        <w:rPr>
          <w:rFonts w:ascii="Times New Roman" w:hAnsi="Times New Roman"/>
          <w:i/>
          <w:sz w:val="28"/>
          <w:szCs w:val="28"/>
        </w:rPr>
        <w:t>70</w:t>
      </w:r>
      <w:r w:rsidR="000F05A7" w:rsidRPr="00CE6D38">
        <w:rPr>
          <w:rFonts w:ascii="Times New Roman" w:hAnsi="Times New Roman"/>
          <w:i/>
          <w:sz w:val="28"/>
          <w:szCs w:val="28"/>
        </w:rPr>
        <w:t xml:space="preserve"> % и </w:t>
      </w:r>
      <w:r w:rsidR="00CE6D38" w:rsidRPr="00CE6D38">
        <w:rPr>
          <w:rFonts w:ascii="Times New Roman" w:hAnsi="Times New Roman"/>
          <w:i/>
          <w:sz w:val="28"/>
          <w:szCs w:val="28"/>
        </w:rPr>
        <w:t>28,8</w:t>
      </w:r>
      <w:r w:rsidRPr="00CE6D38">
        <w:rPr>
          <w:rFonts w:ascii="Times New Roman" w:hAnsi="Times New Roman"/>
          <w:i/>
          <w:sz w:val="28"/>
          <w:szCs w:val="28"/>
        </w:rPr>
        <w:t xml:space="preserve"> %, Ямало-Ненецкого автономного округа – </w:t>
      </w:r>
      <w:r w:rsidR="00CE6D38" w:rsidRPr="00CE6D38">
        <w:rPr>
          <w:rFonts w:ascii="Times New Roman" w:hAnsi="Times New Roman"/>
          <w:i/>
          <w:sz w:val="28"/>
          <w:szCs w:val="28"/>
        </w:rPr>
        <w:t>79,9</w:t>
      </w:r>
      <w:r w:rsidR="000F05A7" w:rsidRPr="00CE6D38">
        <w:rPr>
          <w:rFonts w:ascii="Times New Roman" w:hAnsi="Times New Roman"/>
          <w:i/>
          <w:sz w:val="28"/>
          <w:szCs w:val="28"/>
        </w:rPr>
        <w:t xml:space="preserve"> % и </w:t>
      </w:r>
      <w:r w:rsidR="00CE6D38" w:rsidRPr="00CE6D38">
        <w:rPr>
          <w:rFonts w:ascii="Times New Roman" w:hAnsi="Times New Roman"/>
          <w:i/>
          <w:sz w:val="28"/>
          <w:szCs w:val="28"/>
        </w:rPr>
        <w:t>13,4</w:t>
      </w:r>
      <w:r w:rsidRPr="00CE6D38">
        <w:rPr>
          <w:rFonts w:ascii="Times New Roman" w:hAnsi="Times New Roman"/>
          <w:i/>
          <w:sz w:val="28"/>
          <w:szCs w:val="28"/>
        </w:rPr>
        <w:t> %</w:t>
      </w:r>
      <w:r w:rsidR="000F05A7" w:rsidRPr="00CE6D38">
        <w:rPr>
          <w:rFonts w:ascii="Times New Roman" w:hAnsi="Times New Roman"/>
          <w:i/>
          <w:sz w:val="28"/>
          <w:szCs w:val="28"/>
        </w:rPr>
        <w:t xml:space="preserve"> соответственно. </w:t>
      </w:r>
      <w:proofErr w:type="gramEnd"/>
    </w:p>
    <w:p w:rsidR="00A37768" w:rsidRPr="003F2281" w:rsidRDefault="00A37768" w:rsidP="00185818">
      <w:pPr>
        <w:spacing w:after="0" w:line="252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F2281">
        <w:rPr>
          <w:rFonts w:ascii="Times New Roman" w:hAnsi="Times New Roman"/>
          <w:i/>
          <w:sz w:val="28"/>
          <w:szCs w:val="28"/>
        </w:rPr>
        <w:t xml:space="preserve">Наиболее значительные суммы долговых обязательств имеют </w:t>
      </w:r>
      <w:r w:rsidRPr="003F2281">
        <w:rPr>
          <w:rFonts w:ascii="Times New Roman" w:hAnsi="Times New Roman"/>
          <w:i/>
          <w:sz w:val="28"/>
          <w:szCs w:val="28"/>
        </w:rPr>
        <w:br/>
      </w:r>
      <w:r w:rsidR="006754A1" w:rsidRPr="003F2281">
        <w:rPr>
          <w:rFonts w:ascii="Times New Roman" w:hAnsi="Times New Roman"/>
          <w:i/>
          <w:sz w:val="28"/>
          <w:szCs w:val="28"/>
        </w:rPr>
        <w:t>город</w:t>
      </w:r>
      <w:r w:rsidR="00771110" w:rsidRPr="003F2281">
        <w:rPr>
          <w:rFonts w:ascii="Times New Roman" w:hAnsi="Times New Roman"/>
          <w:i/>
          <w:sz w:val="28"/>
          <w:szCs w:val="28"/>
        </w:rPr>
        <w:t> </w:t>
      </w:r>
      <w:r w:rsidR="004F644A" w:rsidRPr="003F2281">
        <w:rPr>
          <w:rFonts w:ascii="Times New Roman" w:hAnsi="Times New Roman"/>
          <w:i/>
          <w:sz w:val="28"/>
          <w:szCs w:val="28"/>
        </w:rPr>
        <w:t>Москва (</w:t>
      </w:r>
      <w:r w:rsidR="00CE6D38" w:rsidRPr="003F2281">
        <w:rPr>
          <w:rFonts w:ascii="Times New Roman" w:hAnsi="Times New Roman"/>
          <w:i/>
          <w:sz w:val="28"/>
          <w:szCs w:val="28"/>
        </w:rPr>
        <w:t>139,2</w:t>
      </w:r>
      <w:r w:rsidR="004F644A" w:rsidRPr="003F2281">
        <w:rPr>
          <w:rFonts w:ascii="Times New Roman" w:hAnsi="Times New Roman"/>
          <w:i/>
          <w:sz w:val="28"/>
          <w:szCs w:val="28"/>
        </w:rPr>
        <w:t xml:space="preserve"> млрд. рублей</w:t>
      </w:r>
      <w:r w:rsidR="004B61CF" w:rsidRPr="003F2281">
        <w:rPr>
          <w:rFonts w:ascii="Times New Roman" w:hAnsi="Times New Roman"/>
          <w:i/>
          <w:sz w:val="28"/>
          <w:szCs w:val="28"/>
        </w:rPr>
        <w:t xml:space="preserve">, что составляет </w:t>
      </w:r>
      <w:r w:rsidR="00443283" w:rsidRPr="003F2281">
        <w:rPr>
          <w:rFonts w:ascii="Times New Roman" w:hAnsi="Times New Roman"/>
          <w:i/>
          <w:sz w:val="28"/>
          <w:szCs w:val="28"/>
        </w:rPr>
        <w:t>5,9</w:t>
      </w:r>
      <w:r w:rsidR="002A75C7" w:rsidRPr="003F2281">
        <w:rPr>
          <w:rFonts w:ascii="Times New Roman" w:hAnsi="Times New Roman"/>
          <w:i/>
          <w:sz w:val="28"/>
          <w:szCs w:val="28"/>
        </w:rPr>
        <w:t> </w:t>
      </w:r>
      <w:r w:rsidR="004B61CF" w:rsidRPr="003F2281">
        <w:rPr>
          <w:rFonts w:ascii="Times New Roman" w:hAnsi="Times New Roman"/>
          <w:i/>
          <w:sz w:val="28"/>
          <w:szCs w:val="28"/>
        </w:rPr>
        <w:t xml:space="preserve">% </w:t>
      </w:r>
      <w:r w:rsidR="00443283" w:rsidRPr="003F2281">
        <w:rPr>
          <w:rFonts w:ascii="Times New Roman" w:hAnsi="Times New Roman"/>
          <w:i/>
          <w:sz w:val="28"/>
          <w:szCs w:val="28"/>
        </w:rPr>
        <w:t>общего объема гос</w:t>
      </w:r>
      <w:r w:rsidR="00EF7F41">
        <w:rPr>
          <w:rFonts w:ascii="Times New Roman" w:hAnsi="Times New Roman"/>
          <w:i/>
          <w:sz w:val="28"/>
          <w:szCs w:val="28"/>
        </w:rPr>
        <w:t xml:space="preserve">ударственного </w:t>
      </w:r>
      <w:r w:rsidR="00443283" w:rsidRPr="003F2281">
        <w:rPr>
          <w:rFonts w:ascii="Times New Roman" w:hAnsi="Times New Roman"/>
          <w:i/>
          <w:sz w:val="28"/>
          <w:szCs w:val="28"/>
        </w:rPr>
        <w:t>долга</w:t>
      </w:r>
      <w:r w:rsidR="004F644A" w:rsidRPr="003F2281">
        <w:rPr>
          <w:rFonts w:ascii="Times New Roman" w:hAnsi="Times New Roman"/>
          <w:i/>
          <w:sz w:val="28"/>
          <w:szCs w:val="28"/>
        </w:rPr>
        <w:t xml:space="preserve">), </w:t>
      </w:r>
      <w:r w:rsidRPr="003F2281">
        <w:rPr>
          <w:rFonts w:ascii="Times New Roman" w:hAnsi="Times New Roman"/>
          <w:i/>
          <w:sz w:val="28"/>
          <w:szCs w:val="28"/>
        </w:rPr>
        <w:t>Краснодарский край (</w:t>
      </w:r>
      <w:r w:rsidR="00422376" w:rsidRPr="003F2281">
        <w:rPr>
          <w:rFonts w:ascii="Times New Roman" w:hAnsi="Times New Roman"/>
          <w:i/>
          <w:sz w:val="28"/>
          <w:szCs w:val="28"/>
        </w:rPr>
        <w:t>145,3</w:t>
      </w:r>
      <w:r w:rsidRPr="003F2281">
        <w:rPr>
          <w:rFonts w:ascii="Times New Roman" w:hAnsi="Times New Roman"/>
          <w:i/>
          <w:sz w:val="28"/>
          <w:szCs w:val="28"/>
        </w:rPr>
        <w:t> млрд. рублей</w:t>
      </w:r>
      <w:r w:rsidR="00574792" w:rsidRPr="003F2281">
        <w:rPr>
          <w:rFonts w:ascii="Times New Roman" w:hAnsi="Times New Roman"/>
          <w:i/>
          <w:sz w:val="28"/>
          <w:szCs w:val="28"/>
        </w:rPr>
        <w:t xml:space="preserve"> и</w:t>
      </w:r>
      <w:r w:rsidR="00313E0E" w:rsidRPr="003F2281">
        <w:rPr>
          <w:rFonts w:ascii="Times New Roman" w:hAnsi="Times New Roman"/>
          <w:i/>
          <w:sz w:val="28"/>
          <w:szCs w:val="28"/>
        </w:rPr>
        <w:t xml:space="preserve"> </w:t>
      </w:r>
      <w:r w:rsidR="00443283" w:rsidRPr="003F2281">
        <w:rPr>
          <w:rFonts w:ascii="Times New Roman" w:hAnsi="Times New Roman"/>
          <w:i/>
          <w:sz w:val="28"/>
          <w:szCs w:val="28"/>
        </w:rPr>
        <w:t>6,2 </w:t>
      </w:r>
      <w:r w:rsidR="00313E0E" w:rsidRPr="003F2281">
        <w:rPr>
          <w:rFonts w:ascii="Times New Roman" w:hAnsi="Times New Roman"/>
          <w:i/>
          <w:sz w:val="28"/>
          <w:szCs w:val="28"/>
        </w:rPr>
        <w:t>%</w:t>
      </w:r>
      <w:r w:rsidRPr="003F2281">
        <w:rPr>
          <w:rFonts w:ascii="Times New Roman" w:hAnsi="Times New Roman"/>
          <w:i/>
          <w:sz w:val="28"/>
          <w:szCs w:val="28"/>
        </w:rPr>
        <w:t xml:space="preserve">), </w:t>
      </w:r>
      <w:r w:rsidRPr="003F2281">
        <w:rPr>
          <w:rFonts w:ascii="Times New Roman" w:hAnsi="Times New Roman"/>
          <w:i/>
          <w:sz w:val="28"/>
          <w:szCs w:val="28"/>
        </w:rPr>
        <w:lastRenderedPageBreak/>
        <w:t>Московская область (</w:t>
      </w:r>
      <w:r w:rsidR="00422376" w:rsidRPr="003F2281">
        <w:rPr>
          <w:rFonts w:ascii="Times New Roman" w:hAnsi="Times New Roman"/>
          <w:i/>
          <w:sz w:val="28"/>
          <w:szCs w:val="28"/>
        </w:rPr>
        <w:t>98,7 </w:t>
      </w:r>
      <w:r w:rsidRPr="003F2281">
        <w:rPr>
          <w:rFonts w:ascii="Times New Roman" w:hAnsi="Times New Roman"/>
          <w:i/>
          <w:sz w:val="28"/>
          <w:szCs w:val="28"/>
        </w:rPr>
        <w:t>млрд. рублей</w:t>
      </w:r>
      <w:r w:rsidR="00313E0E" w:rsidRPr="003F2281">
        <w:rPr>
          <w:rFonts w:ascii="Times New Roman" w:hAnsi="Times New Roman"/>
          <w:i/>
          <w:sz w:val="28"/>
          <w:szCs w:val="28"/>
        </w:rPr>
        <w:t xml:space="preserve"> </w:t>
      </w:r>
      <w:r w:rsidR="00574792" w:rsidRPr="003F2281">
        <w:rPr>
          <w:rFonts w:ascii="Times New Roman" w:hAnsi="Times New Roman"/>
          <w:i/>
          <w:sz w:val="28"/>
          <w:szCs w:val="28"/>
        </w:rPr>
        <w:t>и</w:t>
      </w:r>
      <w:r w:rsidR="00313E0E" w:rsidRPr="003F2281">
        <w:rPr>
          <w:rFonts w:ascii="Times New Roman" w:hAnsi="Times New Roman"/>
          <w:i/>
          <w:sz w:val="28"/>
          <w:szCs w:val="28"/>
        </w:rPr>
        <w:t xml:space="preserve"> </w:t>
      </w:r>
      <w:r w:rsidR="00443283" w:rsidRPr="003F2281">
        <w:rPr>
          <w:rFonts w:ascii="Times New Roman" w:hAnsi="Times New Roman"/>
          <w:i/>
          <w:sz w:val="28"/>
          <w:szCs w:val="28"/>
        </w:rPr>
        <w:t>4,2</w:t>
      </w:r>
      <w:r w:rsidR="00574792" w:rsidRPr="003F2281">
        <w:rPr>
          <w:rFonts w:ascii="Times New Roman" w:hAnsi="Times New Roman"/>
          <w:i/>
          <w:sz w:val="28"/>
          <w:szCs w:val="28"/>
        </w:rPr>
        <w:t> </w:t>
      </w:r>
      <w:r w:rsidR="00313E0E" w:rsidRPr="003F2281">
        <w:rPr>
          <w:rFonts w:ascii="Times New Roman" w:hAnsi="Times New Roman"/>
          <w:i/>
          <w:sz w:val="28"/>
          <w:szCs w:val="28"/>
        </w:rPr>
        <w:t>%</w:t>
      </w:r>
      <w:r w:rsidRPr="003F2281">
        <w:rPr>
          <w:rFonts w:ascii="Times New Roman" w:hAnsi="Times New Roman"/>
          <w:i/>
          <w:sz w:val="28"/>
          <w:szCs w:val="28"/>
        </w:rPr>
        <w:t>)</w:t>
      </w:r>
      <w:r w:rsidR="007A45C6" w:rsidRPr="003F2281">
        <w:rPr>
          <w:rFonts w:ascii="Times New Roman" w:hAnsi="Times New Roman"/>
          <w:i/>
          <w:sz w:val="28"/>
          <w:szCs w:val="28"/>
        </w:rPr>
        <w:t>, Республика Татарстан (</w:t>
      </w:r>
      <w:r w:rsidR="00422376" w:rsidRPr="003F2281">
        <w:rPr>
          <w:rFonts w:ascii="Times New Roman" w:hAnsi="Times New Roman"/>
          <w:i/>
          <w:sz w:val="28"/>
          <w:szCs w:val="28"/>
        </w:rPr>
        <w:t>91,3</w:t>
      </w:r>
      <w:r w:rsidR="00E86D55">
        <w:rPr>
          <w:rFonts w:ascii="Times New Roman" w:hAnsi="Times New Roman"/>
          <w:i/>
          <w:sz w:val="28"/>
          <w:szCs w:val="28"/>
        </w:rPr>
        <w:t> </w:t>
      </w:r>
      <w:r w:rsidR="007A45C6" w:rsidRPr="003F2281">
        <w:rPr>
          <w:rFonts w:ascii="Times New Roman" w:hAnsi="Times New Roman"/>
          <w:i/>
          <w:sz w:val="28"/>
          <w:szCs w:val="28"/>
        </w:rPr>
        <w:t>млрд. рублей</w:t>
      </w:r>
      <w:r w:rsidR="00574792" w:rsidRPr="003F2281">
        <w:rPr>
          <w:rFonts w:ascii="Times New Roman" w:hAnsi="Times New Roman"/>
          <w:i/>
          <w:sz w:val="28"/>
          <w:szCs w:val="28"/>
        </w:rPr>
        <w:t xml:space="preserve"> и</w:t>
      </w:r>
      <w:r w:rsidR="004B61CF" w:rsidRPr="003F2281">
        <w:rPr>
          <w:rFonts w:ascii="Times New Roman" w:hAnsi="Times New Roman"/>
          <w:i/>
          <w:sz w:val="28"/>
          <w:szCs w:val="28"/>
        </w:rPr>
        <w:t xml:space="preserve"> </w:t>
      </w:r>
      <w:r w:rsidR="00443283" w:rsidRPr="003F2281">
        <w:rPr>
          <w:rFonts w:ascii="Times New Roman" w:hAnsi="Times New Roman"/>
          <w:i/>
          <w:sz w:val="28"/>
          <w:szCs w:val="28"/>
        </w:rPr>
        <w:t>3,9</w:t>
      </w:r>
      <w:r w:rsidR="00422376" w:rsidRPr="003F2281">
        <w:rPr>
          <w:rFonts w:ascii="Times New Roman" w:hAnsi="Times New Roman"/>
          <w:i/>
          <w:sz w:val="28"/>
          <w:szCs w:val="28"/>
        </w:rPr>
        <w:t> </w:t>
      </w:r>
      <w:r w:rsidR="004B61CF" w:rsidRPr="003F2281">
        <w:rPr>
          <w:rFonts w:ascii="Times New Roman" w:hAnsi="Times New Roman"/>
          <w:i/>
          <w:sz w:val="28"/>
          <w:szCs w:val="28"/>
        </w:rPr>
        <w:t>%</w:t>
      </w:r>
      <w:r w:rsidR="007A45C6" w:rsidRPr="003F2281">
        <w:rPr>
          <w:rFonts w:ascii="Times New Roman" w:hAnsi="Times New Roman"/>
          <w:i/>
          <w:sz w:val="28"/>
          <w:szCs w:val="28"/>
        </w:rPr>
        <w:t>)</w:t>
      </w:r>
      <w:r w:rsidR="00CE6D38" w:rsidRPr="003F2281">
        <w:rPr>
          <w:rFonts w:ascii="Times New Roman" w:hAnsi="Times New Roman"/>
          <w:i/>
          <w:sz w:val="28"/>
          <w:szCs w:val="28"/>
        </w:rPr>
        <w:t xml:space="preserve">, Красноярский край (91,97 млрд. рублей и </w:t>
      </w:r>
      <w:r w:rsidR="00443283" w:rsidRPr="003F2281">
        <w:rPr>
          <w:rFonts w:ascii="Times New Roman" w:hAnsi="Times New Roman"/>
          <w:i/>
          <w:sz w:val="28"/>
          <w:szCs w:val="28"/>
        </w:rPr>
        <w:t>3,9 </w:t>
      </w:r>
      <w:r w:rsidR="00CE6D38" w:rsidRPr="003F2281">
        <w:rPr>
          <w:rFonts w:ascii="Times New Roman" w:hAnsi="Times New Roman"/>
          <w:i/>
          <w:sz w:val="28"/>
          <w:szCs w:val="28"/>
        </w:rPr>
        <w:t>% соответственно)</w:t>
      </w:r>
      <w:r w:rsidRPr="003F2281">
        <w:rPr>
          <w:rFonts w:ascii="Times New Roman" w:hAnsi="Times New Roman"/>
          <w:i/>
          <w:sz w:val="28"/>
          <w:szCs w:val="28"/>
        </w:rPr>
        <w:t xml:space="preserve">. </w:t>
      </w:r>
    </w:p>
    <w:p w:rsidR="005A6D71" w:rsidRPr="005A6D71" w:rsidRDefault="005A6D71" w:rsidP="00185818">
      <w:pPr>
        <w:spacing w:after="0" w:line="252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В целях обеспечения</w:t>
      </w:r>
      <w:r w:rsidRPr="005A6D71">
        <w:rPr>
          <w:rFonts w:ascii="Times New Roman" w:eastAsiaTheme="minorHAnsi" w:hAnsi="Times New Roman"/>
          <w:sz w:val="28"/>
          <w:szCs w:val="28"/>
        </w:rPr>
        <w:t xml:space="preserve"> сбалансированности и сокращени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5A6D71">
        <w:rPr>
          <w:rFonts w:ascii="Times New Roman" w:eastAsiaTheme="minorHAnsi" w:hAnsi="Times New Roman"/>
          <w:sz w:val="28"/>
          <w:szCs w:val="28"/>
        </w:rPr>
        <w:t xml:space="preserve"> уровня долговой нагрузки консолидированных бюджетов субъектов Российской Федерации</w:t>
      </w:r>
      <w:r w:rsidRPr="005A6D71">
        <w:rPr>
          <w:rFonts w:ascii="Times New Roman" w:hAnsi="Times New Roman"/>
          <w:sz w:val="28"/>
          <w:szCs w:val="28"/>
        </w:rPr>
        <w:t xml:space="preserve"> Федеральным законом № 359-ФЗ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5A6D71">
        <w:rPr>
          <w:rFonts w:ascii="Times New Roman" w:hAnsi="Times New Roman"/>
          <w:sz w:val="28"/>
          <w:szCs w:val="28"/>
        </w:rPr>
        <w:t>Планом действий Правительства Российской Федерации, направленных на обеспечение стабильного социально-экономического развития Российской Федерации в 2016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D71">
        <w:rPr>
          <w:rFonts w:ascii="Times New Roman" w:hAnsi="Times New Roman"/>
          <w:sz w:val="28"/>
          <w:szCs w:val="28"/>
        </w:rPr>
        <w:t>(утвержден Правительством Российской Федерации 1</w:t>
      </w:r>
      <w:r>
        <w:rPr>
          <w:rFonts w:ascii="Times New Roman" w:hAnsi="Times New Roman"/>
          <w:sz w:val="28"/>
          <w:szCs w:val="28"/>
        </w:rPr>
        <w:t> </w:t>
      </w:r>
      <w:r w:rsidRPr="005A6D71">
        <w:rPr>
          <w:rFonts w:ascii="Times New Roman" w:hAnsi="Times New Roman"/>
          <w:sz w:val="28"/>
          <w:szCs w:val="28"/>
        </w:rPr>
        <w:t>марта</w:t>
      </w:r>
      <w:r w:rsidRPr="005A6D71">
        <w:rPr>
          <w:rFonts w:ascii="Times New Roman" w:eastAsiaTheme="minorHAnsi" w:hAnsi="Times New Roman"/>
          <w:sz w:val="28"/>
          <w:szCs w:val="28"/>
        </w:rPr>
        <w:t xml:space="preserve"> 2016 г</w:t>
      </w:r>
      <w:r w:rsidR="00537F20">
        <w:rPr>
          <w:rFonts w:ascii="Times New Roman" w:eastAsiaTheme="minorHAnsi" w:hAnsi="Times New Roman"/>
          <w:sz w:val="28"/>
          <w:szCs w:val="28"/>
        </w:rPr>
        <w:t>ода</w:t>
      </w:r>
      <w:r w:rsidRPr="005A6D71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предусмотрено предоставление </w:t>
      </w:r>
      <w:r w:rsidRPr="005A6D71">
        <w:rPr>
          <w:rFonts w:ascii="Times New Roman" w:hAnsi="Times New Roman"/>
          <w:sz w:val="28"/>
          <w:szCs w:val="28"/>
        </w:rPr>
        <w:t xml:space="preserve">бюджетных кредитов бюджетам субъектов </w:t>
      </w:r>
      <w:r w:rsidRPr="003F2281">
        <w:rPr>
          <w:rFonts w:ascii="Times New Roman" w:hAnsi="Times New Roman"/>
          <w:sz w:val="28"/>
          <w:szCs w:val="28"/>
        </w:rPr>
        <w:t>Российской Федерации в 2016 год в объеме до 310,0 млрд. рублей.</w:t>
      </w:r>
      <w:proofErr w:type="gramEnd"/>
    </w:p>
    <w:p w:rsidR="00014F74" w:rsidRPr="003F2281" w:rsidRDefault="00014F74" w:rsidP="00185818">
      <w:pPr>
        <w:spacing w:after="0" w:line="25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F2281">
        <w:rPr>
          <w:rFonts w:ascii="Times New Roman" w:hAnsi="Times New Roman"/>
          <w:sz w:val="28"/>
          <w:szCs w:val="28"/>
        </w:rPr>
        <w:t xml:space="preserve">На 1 </w:t>
      </w:r>
      <w:r w:rsidR="005A6D71" w:rsidRPr="003F2281">
        <w:rPr>
          <w:rFonts w:ascii="Times New Roman" w:hAnsi="Times New Roman"/>
          <w:sz w:val="28"/>
          <w:szCs w:val="28"/>
        </w:rPr>
        <w:t>апреля</w:t>
      </w:r>
      <w:r w:rsidRPr="003F2281">
        <w:rPr>
          <w:rFonts w:ascii="Times New Roman" w:hAnsi="Times New Roman"/>
          <w:sz w:val="28"/>
          <w:szCs w:val="28"/>
        </w:rPr>
        <w:t xml:space="preserve"> 2016 года объем предоставленных бюджетам субъектов Российской Федерации бюджетных кредитов из федерального бюджета составил </w:t>
      </w:r>
      <w:r w:rsidR="003F2281" w:rsidRPr="003F2281">
        <w:rPr>
          <w:rFonts w:ascii="Times New Roman" w:hAnsi="Times New Roman"/>
          <w:sz w:val="28"/>
          <w:szCs w:val="28"/>
        </w:rPr>
        <w:t>144,9</w:t>
      </w:r>
      <w:r w:rsidRPr="003F2281">
        <w:rPr>
          <w:rFonts w:ascii="Times New Roman" w:hAnsi="Times New Roman"/>
          <w:sz w:val="28"/>
          <w:szCs w:val="28"/>
        </w:rPr>
        <w:t> млрд. рублей</w:t>
      </w:r>
      <w:r w:rsidR="003F2281" w:rsidRPr="003F2281">
        <w:rPr>
          <w:rFonts w:ascii="Times New Roman" w:hAnsi="Times New Roman"/>
          <w:sz w:val="28"/>
          <w:szCs w:val="28"/>
        </w:rPr>
        <w:t xml:space="preserve"> (46,7 % предусмотренных средств)</w:t>
      </w:r>
      <w:r w:rsidRPr="003F2281">
        <w:rPr>
          <w:rFonts w:ascii="Times New Roman" w:hAnsi="Times New Roman"/>
          <w:sz w:val="28"/>
          <w:szCs w:val="28"/>
        </w:rPr>
        <w:t xml:space="preserve">, возврат бюджетных кредитов </w:t>
      </w:r>
      <w:r w:rsidR="00CF1181" w:rsidRPr="003F2281">
        <w:rPr>
          <w:rFonts w:ascii="Times New Roman" w:hAnsi="Times New Roman"/>
          <w:sz w:val="28"/>
          <w:szCs w:val="28"/>
        </w:rPr>
        <w:t>–</w:t>
      </w:r>
      <w:r w:rsidRPr="003F2281">
        <w:rPr>
          <w:rFonts w:ascii="Times New Roman" w:hAnsi="Times New Roman"/>
          <w:sz w:val="28"/>
          <w:szCs w:val="28"/>
        </w:rPr>
        <w:t xml:space="preserve"> </w:t>
      </w:r>
      <w:r w:rsidR="003F2281" w:rsidRPr="003F2281">
        <w:rPr>
          <w:rFonts w:ascii="Times New Roman" w:hAnsi="Times New Roman"/>
          <w:sz w:val="28"/>
          <w:szCs w:val="28"/>
        </w:rPr>
        <w:t>22,3</w:t>
      </w:r>
      <w:r w:rsidRPr="003F2281">
        <w:rPr>
          <w:rFonts w:ascii="Times New Roman" w:hAnsi="Times New Roman"/>
          <w:sz w:val="28"/>
          <w:szCs w:val="28"/>
        </w:rPr>
        <w:t> млрд. рублей.</w:t>
      </w:r>
    </w:p>
    <w:p w:rsidR="00970844" w:rsidRPr="000643E0" w:rsidRDefault="005A6D71" w:rsidP="00185818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2281">
        <w:rPr>
          <w:rFonts w:ascii="Times New Roman" w:hAnsi="Times New Roman"/>
          <w:sz w:val="28"/>
          <w:szCs w:val="28"/>
        </w:rPr>
        <w:t>Вместе с тем предоставление</w:t>
      </w:r>
      <w:r w:rsidR="00075B91" w:rsidRPr="003F2281">
        <w:rPr>
          <w:rFonts w:ascii="Times New Roman" w:hAnsi="Times New Roman"/>
          <w:sz w:val="28"/>
          <w:szCs w:val="28"/>
        </w:rPr>
        <w:t xml:space="preserve"> бюджетных </w:t>
      </w:r>
      <w:r w:rsidR="00075B91" w:rsidRPr="000643E0">
        <w:rPr>
          <w:rFonts w:ascii="Times New Roman" w:hAnsi="Times New Roman"/>
          <w:sz w:val="28"/>
          <w:szCs w:val="28"/>
        </w:rPr>
        <w:t>кредитов</w:t>
      </w:r>
      <w:r w:rsidRPr="000643E0">
        <w:rPr>
          <w:rFonts w:ascii="Times New Roman" w:hAnsi="Times New Roman"/>
          <w:sz w:val="28"/>
          <w:szCs w:val="28"/>
        </w:rPr>
        <w:t xml:space="preserve"> в </w:t>
      </w:r>
      <w:r w:rsidR="000643E0" w:rsidRPr="000643E0">
        <w:rPr>
          <w:rFonts w:ascii="Times New Roman" w:hAnsi="Times New Roman"/>
          <w:sz w:val="28"/>
          <w:szCs w:val="28"/>
        </w:rPr>
        <w:t xml:space="preserve">столь значительном объеме </w:t>
      </w:r>
      <w:r w:rsidR="005A7188" w:rsidRPr="000643E0">
        <w:rPr>
          <w:rFonts w:ascii="Times New Roman" w:hAnsi="Times New Roman"/>
          <w:sz w:val="28"/>
          <w:szCs w:val="28"/>
        </w:rPr>
        <w:t xml:space="preserve">не решает </w:t>
      </w:r>
      <w:r w:rsidR="00075B91" w:rsidRPr="000643E0">
        <w:rPr>
          <w:rFonts w:ascii="Times New Roman" w:hAnsi="Times New Roman"/>
          <w:sz w:val="28"/>
          <w:szCs w:val="28"/>
        </w:rPr>
        <w:t xml:space="preserve">задачи </w:t>
      </w:r>
      <w:proofErr w:type="gramStart"/>
      <w:r w:rsidR="00075B91" w:rsidRPr="000643E0">
        <w:rPr>
          <w:rFonts w:ascii="Times New Roman" w:hAnsi="Times New Roman"/>
          <w:sz w:val="28"/>
          <w:szCs w:val="28"/>
        </w:rPr>
        <w:t>стабилизации продолжающегося роста долговых обязательств бюджетов субъектов Российской</w:t>
      </w:r>
      <w:proofErr w:type="gramEnd"/>
      <w:r w:rsidR="00075B91" w:rsidRPr="000643E0">
        <w:rPr>
          <w:rFonts w:ascii="Times New Roman" w:hAnsi="Times New Roman"/>
          <w:sz w:val="28"/>
          <w:szCs w:val="28"/>
        </w:rPr>
        <w:t xml:space="preserve"> Федерации, обеспечения сбалансированности субъектов Российской Федерации.</w:t>
      </w:r>
      <w:r w:rsidR="00C8176A" w:rsidRPr="000643E0">
        <w:rPr>
          <w:rFonts w:ascii="Times New Roman" w:hAnsi="Times New Roman"/>
          <w:sz w:val="28"/>
          <w:szCs w:val="28"/>
        </w:rPr>
        <w:t xml:space="preserve"> Более эффективной мерой финансовой помощи </w:t>
      </w:r>
      <w:r w:rsidR="00A51F94" w:rsidRPr="000643E0">
        <w:rPr>
          <w:rFonts w:ascii="Times New Roman" w:hAnsi="Times New Roman"/>
          <w:sz w:val="28"/>
          <w:szCs w:val="28"/>
        </w:rPr>
        <w:t>могут</w:t>
      </w:r>
      <w:r w:rsidR="00C8176A" w:rsidRPr="000643E0">
        <w:rPr>
          <w:rFonts w:ascii="Times New Roman" w:hAnsi="Times New Roman"/>
          <w:sz w:val="28"/>
          <w:szCs w:val="28"/>
        </w:rPr>
        <w:t xml:space="preserve"> стать дотации</w:t>
      </w:r>
      <w:r w:rsidR="00093ED5" w:rsidRPr="000643E0">
        <w:rPr>
          <w:rFonts w:ascii="Times New Roman" w:hAnsi="Times New Roman"/>
          <w:sz w:val="28"/>
          <w:szCs w:val="28"/>
        </w:rPr>
        <w:t xml:space="preserve"> на поддержку мер по обеспечению сбалансированности бюджетов. </w:t>
      </w:r>
    </w:p>
    <w:p w:rsidR="003F2281" w:rsidRPr="005E0FA7" w:rsidRDefault="00014F74" w:rsidP="00185818">
      <w:pPr>
        <w:spacing w:after="0" w:line="252" w:lineRule="auto"/>
        <w:ind w:right="-2"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5E0FA7">
        <w:rPr>
          <w:rFonts w:ascii="Times New Roman" w:eastAsia="Calibri" w:hAnsi="Times New Roman"/>
          <w:sz w:val="28"/>
          <w:szCs w:val="28"/>
        </w:rPr>
        <w:t xml:space="preserve">Бюджетные кредиты на пополнение остатков средств на счетах бюджетов субъектов Российской Федерации (местных бюджетов) за счет средств федерального бюджета в январе – </w:t>
      </w:r>
      <w:r w:rsidR="003F2281" w:rsidRPr="005E0FA7">
        <w:rPr>
          <w:rFonts w:ascii="Times New Roman" w:eastAsia="Calibri" w:hAnsi="Times New Roman"/>
          <w:sz w:val="28"/>
          <w:szCs w:val="28"/>
        </w:rPr>
        <w:t>марте</w:t>
      </w:r>
      <w:r w:rsidRPr="005E0FA7">
        <w:rPr>
          <w:rFonts w:ascii="Times New Roman" w:eastAsia="Calibri" w:hAnsi="Times New Roman"/>
          <w:sz w:val="28"/>
          <w:szCs w:val="28"/>
        </w:rPr>
        <w:t xml:space="preserve"> 201</w:t>
      </w:r>
      <w:r w:rsidR="003F2281" w:rsidRPr="005E0FA7">
        <w:rPr>
          <w:rFonts w:ascii="Times New Roman" w:eastAsia="Calibri" w:hAnsi="Times New Roman"/>
          <w:sz w:val="28"/>
          <w:szCs w:val="28"/>
        </w:rPr>
        <w:t>6</w:t>
      </w:r>
      <w:r w:rsidRPr="005E0FA7">
        <w:rPr>
          <w:rFonts w:ascii="Times New Roman" w:eastAsia="Calibri" w:hAnsi="Times New Roman"/>
          <w:sz w:val="28"/>
          <w:szCs w:val="28"/>
        </w:rPr>
        <w:t xml:space="preserve"> года предоставлены бюджетам субъектов Российской Федерации в объеме </w:t>
      </w:r>
      <w:r w:rsidR="003F2281" w:rsidRPr="005E0FA7">
        <w:rPr>
          <w:rFonts w:ascii="Times New Roman" w:eastAsia="Calibri" w:hAnsi="Times New Roman"/>
          <w:sz w:val="28"/>
          <w:szCs w:val="28"/>
        </w:rPr>
        <w:t>264,8</w:t>
      </w:r>
      <w:r w:rsidRPr="005E0FA7">
        <w:rPr>
          <w:rFonts w:ascii="Times New Roman" w:eastAsia="Calibri" w:hAnsi="Times New Roman"/>
          <w:sz w:val="28"/>
          <w:szCs w:val="28"/>
        </w:rPr>
        <w:t xml:space="preserve"> мл</w:t>
      </w:r>
      <w:r w:rsidR="003F2281" w:rsidRPr="005E0FA7">
        <w:rPr>
          <w:rFonts w:ascii="Times New Roman" w:eastAsia="Calibri" w:hAnsi="Times New Roman"/>
          <w:sz w:val="28"/>
          <w:szCs w:val="28"/>
        </w:rPr>
        <w:t>рд</w:t>
      </w:r>
      <w:r w:rsidRPr="005E0FA7">
        <w:rPr>
          <w:rFonts w:ascii="Times New Roman" w:eastAsia="Calibri" w:hAnsi="Times New Roman"/>
          <w:sz w:val="28"/>
          <w:szCs w:val="28"/>
        </w:rPr>
        <w:t>. рублей</w:t>
      </w:r>
      <w:r w:rsidR="003F2281" w:rsidRPr="005E0FA7">
        <w:rPr>
          <w:rFonts w:ascii="Times New Roman" w:eastAsia="Calibri" w:hAnsi="Times New Roman"/>
          <w:sz w:val="28"/>
          <w:szCs w:val="28"/>
        </w:rPr>
        <w:t xml:space="preserve">. </w:t>
      </w:r>
    </w:p>
    <w:p w:rsidR="003F2281" w:rsidRPr="005E0FA7" w:rsidRDefault="003F2281" w:rsidP="00185818">
      <w:pPr>
        <w:spacing w:after="0" w:line="252" w:lineRule="auto"/>
        <w:ind w:right="-2"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5E0FA7">
        <w:rPr>
          <w:rFonts w:ascii="Times New Roman" w:eastAsia="Calibri" w:hAnsi="Times New Roman"/>
          <w:sz w:val="28"/>
          <w:szCs w:val="28"/>
        </w:rPr>
        <w:t xml:space="preserve">В соответствии с внесением изменений в Бюджетный кодекс Российской Федерации (Федеральный закон от 14 декабря 2015 г. № 381-ФЗ) с 1 января 2016 года срок предоставления бюджетного кредита на пополнение остатков средств на счетах региональных (местных) бюджетов продлен </w:t>
      </w:r>
      <w:r w:rsidRPr="005E0FA7">
        <w:rPr>
          <w:rFonts w:ascii="Times New Roman" w:eastAsia="Calibri" w:hAnsi="Times New Roman"/>
          <w:sz w:val="28"/>
          <w:szCs w:val="28"/>
        </w:rPr>
        <w:br/>
        <w:t>с 30 до 50 дней.</w:t>
      </w:r>
    </w:p>
    <w:p w:rsidR="005E0FA7" w:rsidRPr="005E0FA7" w:rsidRDefault="005E0FA7" w:rsidP="00185818">
      <w:pPr>
        <w:autoSpaceDE w:val="0"/>
        <w:autoSpaceDN w:val="0"/>
        <w:adjustRightInd w:val="0"/>
        <w:spacing w:line="252" w:lineRule="auto"/>
        <w:ind w:firstLine="539"/>
        <w:jc w:val="both"/>
        <w:rPr>
          <w:rFonts w:ascii="Times New Roman" w:eastAsia="Calibri" w:hAnsi="Times New Roman"/>
          <w:i/>
          <w:sz w:val="28"/>
          <w:szCs w:val="28"/>
        </w:rPr>
      </w:pPr>
      <w:r w:rsidRPr="005E0FA7">
        <w:rPr>
          <w:rFonts w:ascii="Times New Roman" w:eastAsia="Calibri" w:hAnsi="Times New Roman"/>
          <w:sz w:val="28"/>
          <w:szCs w:val="28"/>
        </w:rPr>
        <w:t>На 1 апреля субъектами Российской Федерации возвра</w:t>
      </w:r>
      <w:r>
        <w:rPr>
          <w:rFonts w:ascii="Times New Roman" w:eastAsia="Calibri" w:hAnsi="Times New Roman"/>
          <w:sz w:val="28"/>
          <w:szCs w:val="28"/>
        </w:rPr>
        <w:t>щены</w:t>
      </w:r>
      <w:r w:rsidRPr="005E0FA7">
        <w:rPr>
          <w:rFonts w:ascii="Times New Roman" w:eastAsia="Calibri" w:hAnsi="Times New Roman"/>
          <w:sz w:val="28"/>
          <w:szCs w:val="28"/>
        </w:rPr>
        <w:t xml:space="preserve"> бюджетны</w:t>
      </w:r>
      <w:r>
        <w:rPr>
          <w:rFonts w:ascii="Times New Roman" w:eastAsia="Calibri" w:hAnsi="Times New Roman"/>
          <w:sz w:val="28"/>
          <w:szCs w:val="28"/>
        </w:rPr>
        <w:t>е</w:t>
      </w:r>
      <w:r w:rsidRPr="005E0FA7">
        <w:rPr>
          <w:rFonts w:ascii="Times New Roman" w:eastAsia="Calibri" w:hAnsi="Times New Roman"/>
          <w:sz w:val="28"/>
          <w:szCs w:val="28"/>
        </w:rPr>
        <w:t xml:space="preserve"> кредит</w:t>
      </w:r>
      <w:r>
        <w:rPr>
          <w:rFonts w:ascii="Times New Roman" w:eastAsia="Calibri" w:hAnsi="Times New Roman"/>
          <w:sz w:val="28"/>
          <w:szCs w:val="28"/>
        </w:rPr>
        <w:t>ы</w:t>
      </w:r>
      <w:r w:rsidRPr="005E0FA7">
        <w:rPr>
          <w:rFonts w:ascii="Times New Roman" w:eastAsia="Calibri" w:hAnsi="Times New Roman"/>
          <w:sz w:val="28"/>
          <w:szCs w:val="28"/>
        </w:rPr>
        <w:t xml:space="preserve"> на пополнение остатков средств на счетах бюджетов субъектов Российской Федерации (местных бюджетов) </w:t>
      </w:r>
      <w:r>
        <w:rPr>
          <w:rFonts w:ascii="Times New Roman" w:eastAsia="Calibri" w:hAnsi="Times New Roman"/>
          <w:sz w:val="28"/>
          <w:szCs w:val="28"/>
        </w:rPr>
        <w:t>в объеме</w:t>
      </w:r>
      <w:r w:rsidRPr="005E0FA7">
        <w:rPr>
          <w:rFonts w:ascii="Times New Roman" w:eastAsia="Calibri" w:hAnsi="Times New Roman"/>
          <w:sz w:val="28"/>
          <w:szCs w:val="28"/>
        </w:rPr>
        <w:t xml:space="preserve"> 161,2 млрд. рублей (60,9 % привлеченных средств).</w:t>
      </w:r>
    </w:p>
    <w:p w:rsidR="00153960" w:rsidRPr="00123AFC" w:rsidRDefault="00C93120" w:rsidP="00185818">
      <w:pPr>
        <w:spacing w:after="0" w:line="252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123AFC">
        <w:rPr>
          <w:rFonts w:ascii="Times New Roman" w:hAnsi="Times New Roman"/>
          <w:b/>
          <w:iCs/>
          <w:sz w:val="28"/>
          <w:szCs w:val="28"/>
        </w:rPr>
        <w:t>Выводы</w:t>
      </w:r>
    </w:p>
    <w:p w:rsidR="006023D7" w:rsidRDefault="00EF711A" w:rsidP="00185818">
      <w:pPr>
        <w:pStyle w:val="a3"/>
        <w:spacing w:line="252" w:lineRule="auto"/>
        <w:ind w:firstLine="709"/>
        <w:jc w:val="both"/>
        <w:rPr>
          <w:sz w:val="28"/>
          <w:szCs w:val="28"/>
        </w:rPr>
      </w:pPr>
      <w:r w:rsidRPr="00A2481B">
        <w:rPr>
          <w:iCs/>
          <w:sz w:val="28"/>
          <w:szCs w:val="28"/>
        </w:rPr>
        <w:t>1. </w:t>
      </w:r>
      <w:r w:rsidR="006023D7" w:rsidRPr="00A2481B">
        <w:rPr>
          <w:sz w:val="28"/>
          <w:szCs w:val="28"/>
        </w:rPr>
        <w:t xml:space="preserve">Доходы за январь – </w:t>
      </w:r>
      <w:r w:rsidR="00A2481B">
        <w:rPr>
          <w:sz w:val="28"/>
          <w:szCs w:val="28"/>
        </w:rPr>
        <w:t>март</w:t>
      </w:r>
      <w:r w:rsidR="006023D7" w:rsidRPr="00A2481B">
        <w:rPr>
          <w:sz w:val="28"/>
          <w:szCs w:val="28"/>
        </w:rPr>
        <w:t xml:space="preserve"> 2015 года</w:t>
      </w:r>
      <w:r w:rsidR="00A2481B">
        <w:rPr>
          <w:sz w:val="28"/>
          <w:szCs w:val="28"/>
        </w:rPr>
        <w:t xml:space="preserve"> (по </w:t>
      </w:r>
      <w:r w:rsidR="00E1560F" w:rsidRPr="00AB1600">
        <w:rPr>
          <w:sz w:val="28"/>
          <w:szCs w:val="28"/>
        </w:rPr>
        <w:t xml:space="preserve">оперативной информации </w:t>
      </w:r>
      <w:r w:rsidR="00A2481B">
        <w:rPr>
          <w:sz w:val="28"/>
          <w:szCs w:val="28"/>
        </w:rPr>
        <w:t>Федерального казначейства)</w:t>
      </w:r>
      <w:r w:rsidR="006023D7" w:rsidRPr="00A2481B">
        <w:rPr>
          <w:sz w:val="28"/>
          <w:szCs w:val="28"/>
        </w:rPr>
        <w:t xml:space="preserve"> исполнены в объеме </w:t>
      </w:r>
      <w:r w:rsidR="00A2481B">
        <w:rPr>
          <w:sz w:val="28"/>
          <w:szCs w:val="28"/>
        </w:rPr>
        <w:t>1 990,6</w:t>
      </w:r>
      <w:r w:rsidR="001365A5" w:rsidRPr="00A2481B">
        <w:rPr>
          <w:sz w:val="28"/>
          <w:szCs w:val="28"/>
        </w:rPr>
        <w:t> </w:t>
      </w:r>
      <w:r w:rsidR="006023D7" w:rsidRPr="00A2481B">
        <w:rPr>
          <w:sz w:val="28"/>
          <w:szCs w:val="28"/>
        </w:rPr>
        <w:t xml:space="preserve">млрд. рублей, или </w:t>
      </w:r>
      <w:r w:rsidR="00A2481B">
        <w:rPr>
          <w:sz w:val="28"/>
          <w:szCs w:val="28"/>
        </w:rPr>
        <w:t>22,5</w:t>
      </w:r>
      <w:r w:rsidR="006023D7" w:rsidRPr="00A2481B">
        <w:rPr>
          <w:sz w:val="28"/>
          <w:szCs w:val="28"/>
        </w:rPr>
        <w:t xml:space="preserve"> % предусмотренных объемов доходов, расходы – </w:t>
      </w:r>
      <w:r w:rsidR="00A2481B">
        <w:rPr>
          <w:sz w:val="28"/>
          <w:szCs w:val="28"/>
        </w:rPr>
        <w:t>1 848,0</w:t>
      </w:r>
      <w:r w:rsidR="006023D7" w:rsidRPr="00A2481B">
        <w:rPr>
          <w:sz w:val="28"/>
          <w:szCs w:val="28"/>
        </w:rPr>
        <w:t xml:space="preserve"> млрд. рублей, или </w:t>
      </w:r>
      <w:r w:rsidR="00A2481B">
        <w:rPr>
          <w:sz w:val="28"/>
          <w:szCs w:val="28"/>
        </w:rPr>
        <w:t>19,5</w:t>
      </w:r>
      <w:r w:rsidR="006023D7" w:rsidRPr="00A2481B">
        <w:rPr>
          <w:sz w:val="28"/>
          <w:szCs w:val="28"/>
        </w:rPr>
        <w:t> % предусмотренн</w:t>
      </w:r>
      <w:r w:rsidR="00EF7F41">
        <w:rPr>
          <w:sz w:val="28"/>
          <w:szCs w:val="28"/>
        </w:rPr>
        <w:t>ых объемов расходов</w:t>
      </w:r>
      <w:r w:rsidR="006023D7" w:rsidRPr="00A2481B">
        <w:rPr>
          <w:sz w:val="28"/>
          <w:szCs w:val="28"/>
        </w:rPr>
        <w:t xml:space="preserve">. </w:t>
      </w:r>
      <w:proofErr w:type="gramStart"/>
      <w:r w:rsidR="006023D7" w:rsidRPr="00A2481B">
        <w:rPr>
          <w:sz w:val="28"/>
          <w:szCs w:val="28"/>
        </w:rPr>
        <w:t xml:space="preserve">На 1 </w:t>
      </w:r>
      <w:r w:rsidR="00A2481B" w:rsidRPr="00A2481B">
        <w:rPr>
          <w:sz w:val="28"/>
          <w:szCs w:val="28"/>
        </w:rPr>
        <w:t>апреля</w:t>
      </w:r>
      <w:r w:rsidR="006023D7" w:rsidRPr="00A2481B">
        <w:rPr>
          <w:sz w:val="28"/>
          <w:szCs w:val="28"/>
        </w:rPr>
        <w:t xml:space="preserve"> 2016 года сложился </w:t>
      </w:r>
      <w:r w:rsidR="00A2481B" w:rsidRPr="00A2481B">
        <w:rPr>
          <w:sz w:val="28"/>
          <w:szCs w:val="28"/>
        </w:rPr>
        <w:t>профицит</w:t>
      </w:r>
      <w:r w:rsidR="006023D7" w:rsidRPr="00A2481B">
        <w:rPr>
          <w:sz w:val="28"/>
          <w:szCs w:val="28"/>
        </w:rPr>
        <w:t xml:space="preserve"> в объеме </w:t>
      </w:r>
      <w:r w:rsidR="00A2481B" w:rsidRPr="00A2481B">
        <w:rPr>
          <w:sz w:val="28"/>
          <w:szCs w:val="28"/>
        </w:rPr>
        <w:t>142,6</w:t>
      </w:r>
      <w:r w:rsidR="006023D7" w:rsidRPr="00A2481B">
        <w:rPr>
          <w:sz w:val="28"/>
          <w:szCs w:val="28"/>
        </w:rPr>
        <w:t xml:space="preserve"> млрд. </w:t>
      </w:r>
      <w:r w:rsidR="006023D7" w:rsidRPr="00402B5F">
        <w:rPr>
          <w:sz w:val="28"/>
          <w:szCs w:val="28"/>
        </w:rPr>
        <w:t>рублей (</w:t>
      </w:r>
      <w:r w:rsidR="00402B5F" w:rsidRPr="00402B5F">
        <w:rPr>
          <w:sz w:val="28"/>
          <w:szCs w:val="28"/>
        </w:rPr>
        <w:t xml:space="preserve">с суммарным профицитом в объеме 224,5 млрд. рублей исполнены консолидированные бюджеты 35 регионов, с суммарным дефицитом в объеме 81,9 млрд. рублей </w:t>
      </w:r>
      <w:r w:rsidR="004B60A8">
        <w:rPr>
          <w:sz w:val="28"/>
          <w:szCs w:val="28"/>
        </w:rPr>
        <w:t>–</w:t>
      </w:r>
      <w:r w:rsidR="00EF7F41">
        <w:rPr>
          <w:sz w:val="28"/>
          <w:szCs w:val="28"/>
        </w:rPr>
        <w:t xml:space="preserve"> </w:t>
      </w:r>
      <w:r w:rsidR="00EF5879">
        <w:rPr>
          <w:sz w:val="28"/>
          <w:szCs w:val="28"/>
        </w:rPr>
        <w:t>бюджеты</w:t>
      </w:r>
      <w:r w:rsidR="004B60A8">
        <w:rPr>
          <w:sz w:val="28"/>
          <w:szCs w:val="28"/>
        </w:rPr>
        <w:t xml:space="preserve"> </w:t>
      </w:r>
      <w:r w:rsidR="00402B5F" w:rsidRPr="00402B5F">
        <w:rPr>
          <w:sz w:val="28"/>
          <w:szCs w:val="28"/>
        </w:rPr>
        <w:t>5</w:t>
      </w:r>
      <w:r w:rsidR="004B60A8">
        <w:rPr>
          <w:sz w:val="28"/>
          <w:szCs w:val="28"/>
        </w:rPr>
        <w:t>0</w:t>
      </w:r>
      <w:r w:rsidR="00402B5F" w:rsidRPr="00402B5F">
        <w:rPr>
          <w:sz w:val="28"/>
          <w:szCs w:val="28"/>
        </w:rPr>
        <w:t> регион</w:t>
      </w:r>
      <w:r w:rsidR="002E7097">
        <w:rPr>
          <w:sz w:val="28"/>
          <w:szCs w:val="28"/>
        </w:rPr>
        <w:t>а</w:t>
      </w:r>
      <w:r w:rsidR="006023D7" w:rsidRPr="00402B5F">
        <w:rPr>
          <w:sz w:val="28"/>
          <w:szCs w:val="28"/>
        </w:rPr>
        <w:t xml:space="preserve">. </w:t>
      </w:r>
      <w:proofErr w:type="gramEnd"/>
    </w:p>
    <w:p w:rsidR="002D09BA" w:rsidRPr="002D09BA" w:rsidRDefault="002D09BA" w:rsidP="00185818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09BA">
        <w:rPr>
          <w:rFonts w:ascii="Times New Roman" w:hAnsi="Times New Roman"/>
          <w:sz w:val="28"/>
          <w:szCs w:val="28"/>
        </w:rPr>
        <w:lastRenderedPageBreak/>
        <w:t>Анализ исполнения консолидированных бюджетов субъектов Российской Федерации свидетельствует о  наличии разнонаправленных тенденций  и  продолжающейся дифференциации регионов.</w:t>
      </w:r>
    </w:p>
    <w:p w:rsidR="00AB1600" w:rsidRPr="00AB1600" w:rsidRDefault="007B7F52" w:rsidP="00185818">
      <w:pPr>
        <w:pStyle w:val="a3"/>
        <w:spacing w:line="252" w:lineRule="auto"/>
        <w:ind w:firstLine="709"/>
        <w:jc w:val="both"/>
        <w:rPr>
          <w:sz w:val="28"/>
          <w:szCs w:val="28"/>
        </w:rPr>
      </w:pPr>
      <w:r w:rsidRPr="00AB1600">
        <w:rPr>
          <w:sz w:val="28"/>
          <w:szCs w:val="28"/>
        </w:rPr>
        <w:t>2</w:t>
      </w:r>
      <w:r w:rsidR="00AB1600" w:rsidRPr="00AB1600">
        <w:rPr>
          <w:sz w:val="28"/>
          <w:szCs w:val="28"/>
        </w:rPr>
        <w:t xml:space="preserve">. На </w:t>
      </w:r>
      <w:r w:rsidR="002D09BA">
        <w:rPr>
          <w:sz w:val="28"/>
          <w:szCs w:val="28"/>
        </w:rPr>
        <w:t>1</w:t>
      </w:r>
      <w:r w:rsidR="00AB1600" w:rsidRPr="00AB1600">
        <w:rPr>
          <w:sz w:val="28"/>
          <w:szCs w:val="28"/>
        </w:rPr>
        <w:t xml:space="preserve"> апреля 2016 года поступления налога на прибыль организаций снизились по сравнению с соответствующим периодом 2015 года на 0,2 % и составили 538,9 млрд. рублей</w:t>
      </w:r>
      <w:r w:rsidR="00AB1600">
        <w:rPr>
          <w:sz w:val="28"/>
          <w:szCs w:val="28"/>
        </w:rPr>
        <w:t>, НДФЛ – увели</w:t>
      </w:r>
      <w:r w:rsidR="009A46CC">
        <w:rPr>
          <w:sz w:val="28"/>
          <w:szCs w:val="28"/>
        </w:rPr>
        <w:t>чились на 8 % и составили 616,1 </w:t>
      </w:r>
      <w:r w:rsidR="00AB1600">
        <w:rPr>
          <w:sz w:val="28"/>
          <w:szCs w:val="28"/>
        </w:rPr>
        <w:t>млрд. рублей, по группе налогов на имущество – увеличились на 4,5 % и составили 201,3 млрд. рублей</w:t>
      </w:r>
      <w:r w:rsidR="00AB1600" w:rsidRPr="00AB1600">
        <w:rPr>
          <w:sz w:val="28"/>
          <w:szCs w:val="28"/>
        </w:rPr>
        <w:t xml:space="preserve">. </w:t>
      </w:r>
    </w:p>
    <w:p w:rsidR="009C3D11" w:rsidRPr="007810A0" w:rsidRDefault="003E6217" w:rsidP="00185818">
      <w:pPr>
        <w:spacing w:after="0" w:line="252" w:lineRule="auto"/>
        <w:ind w:firstLine="691"/>
        <w:jc w:val="both"/>
        <w:rPr>
          <w:rFonts w:ascii="Times New Roman" w:hAnsi="Times New Roman"/>
          <w:sz w:val="28"/>
          <w:szCs w:val="28"/>
        </w:rPr>
      </w:pPr>
      <w:r w:rsidRPr="007810A0">
        <w:rPr>
          <w:rFonts w:ascii="Times New Roman" w:hAnsi="Times New Roman"/>
          <w:iCs/>
          <w:sz w:val="28"/>
          <w:szCs w:val="28"/>
        </w:rPr>
        <w:t>3. </w:t>
      </w:r>
      <w:r w:rsidR="009C3D11" w:rsidRPr="007810A0">
        <w:rPr>
          <w:rFonts w:ascii="Times New Roman" w:hAnsi="Times New Roman"/>
          <w:iCs/>
          <w:sz w:val="28"/>
          <w:szCs w:val="28"/>
        </w:rPr>
        <w:t>М</w:t>
      </w:r>
      <w:r w:rsidR="009C3D11" w:rsidRPr="007810A0">
        <w:rPr>
          <w:rFonts w:ascii="Times New Roman" w:hAnsi="Times New Roman"/>
          <w:sz w:val="28"/>
          <w:szCs w:val="28"/>
        </w:rPr>
        <w:t>ежбюджетные трансферты бюджетам субъектов Российской Федерации из федерального бюджета</w:t>
      </w:r>
      <w:r w:rsidRPr="007810A0">
        <w:rPr>
          <w:rFonts w:ascii="Times New Roman" w:hAnsi="Times New Roman"/>
          <w:sz w:val="28"/>
          <w:szCs w:val="28"/>
        </w:rPr>
        <w:t xml:space="preserve"> по состоянию на 1 </w:t>
      </w:r>
      <w:r w:rsidR="007810A0" w:rsidRPr="007810A0">
        <w:rPr>
          <w:rFonts w:ascii="Times New Roman" w:hAnsi="Times New Roman"/>
          <w:sz w:val="28"/>
          <w:szCs w:val="28"/>
        </w:rPr>
        <w:t>апреля</w:t>
      </w:r>
      <w:r w:rsidRPr="007810A0">
        <w:rPr>
          <w:rFonts w:ascii="Times New Roman" w:hAnsi="Times New Roman"/>
          <w:sz w:val="28"/>
          <w:szCs w:val="28"/>
        </w:rPr>
        <w:t xml:space="preserve"> 201</w:t>
      </w:r>
      <w:r w:rsidR="009C3D11" w:rsidRPr="007810A0">
        <w:rPr>
          <w:rFonts w:ascii="Times New Roman" w:hAnsi="Times New Roman"/>
          <w:sz w:val="28"/>
          <w:szCs w:val="28"/>
        </w:rPr>
        <w:t>6</w:t>
      </w:r>
      <w:r w:rsidRPr="007810A0">
        <w:rPr>
          <w:rFonts w:ascii="Times New Roman" w:hAnsi="Times New Roman"/>
          <w:sz w:val="28"/>
          <w:szCs w:val="28"/>
        </w:rPr>
        <w:t xml:space="preserve"> года </w:t>
      </w:r>
      <w:r w:rsidR="009C3D11" w:rsidRPr="007810A0">
        <w:rPr>
          <w:rFonts w:ascii="Times New Roman" w:hAnsi="Times New Roman"/>
          <w:sz w:val="28"/>
          <w:szCs w:val="28"/>
        </w:rPr>
        <w:t>перечислены в объеме</w:t>
      </w:r>
      <w:r w:rsidRPr="007810A0">
        <w:rPr>
          <w:rFonts w:ascii="Times New Roman" w:hAnsi="Times New Roman"/>
          <w:sz w:val="28"/>
          <w:szCs w:val="28"/>
        </w:rPr>
        <w:t xml:space="preserve"> </w:t>
      </w:r>
      <w:r w:rsidR="007810A0" w:rsidRPr="007810A0">
        <w:rPr>
          <w:rFonts w:ascii="Times New Roman" w:hAnsi="Times New Roman"/>
          <w:sz w:val="27"/>
          <w:szCs w:val="27"/>
        </w:rPr>
        <w:t xml:space="preserve">312,9 млрд. рублей </w:t>
      </w:r>
      <w:r w:rsidR="007810A0" w:rsidRPr="007810A0">
        <w:rPr>
          <w:rFonts w:ascii="Times New Roman" w:hAnsi="Times New Roman"/>
          <w:sz w:val="28"/>
          <w:szCs w:val="28"/>
        </w:rPr>
        <w:t xml:space="preserve">(18,8 % объема </w:t>
      </w:r>
      <w:r w:rsidR="007810A0" w:rsidRPr="007810A0">
        <w:rPr>
          <w:rFonts w:ascii="Times New Roman" w:hAnsi="Times New Roman"/>
          <w:iCs/>
          <w:sz w:val="28"/>
          <w:szCs w:val="28"/>
        </w:rPr>
        <w:t>сводной бюджетной росписи</w:t>
      </w:r>
      <w:r w:rsidR="007810A0" w:rsidRPr="007810A0">
        <w:rPr>
          <w:rFonts w:ascii="Times New Roman" w:hAnsi="Times New Roman"/>
          <w:sz w:val="28"/>
          <w:szCs w:val="28"/>
        </w:rPr>
        <w:t>)</w:t>
      </w:r>
      <w:r w:rsidRPr="007810A0">
        <w:rPr>
          <w:rFonts w:ascii="Times New Roman" w:hAnsi="Times New Roman"/>
          <w:sz w:val="28"/>
          <w:szCs w:val="28"/>
        </w:rPr>
        <w:t xml:space="preserve">. </w:t>
      </w:r>
      <w:r w:rsidR="008334F5" w:rsidRPr="007810A0">
        <w:rPr>
          <w:rFonts w:ascii="Times New Roman" w:hAnsi="Times New Roman"/>
          <w:iCs/>
          <w:sz w:val="28"/>
          <w:szCs w:val="28"/>
        </w:rPr>
        <w:t>Наименьший процент исполнения</w:t>
      </w:r>
      <w:r w:rsidR="00BE6181" w:rsidRPr="007810A0">
        <w:rPr>
          <w:rFonts w:ascii="Times New Roman" w:hAnsi="Times New Roman"/>
          <w:iCs/>
          <w:sz w:val="28"/>
          <w:szCs w:val="28"/>
        </w:rPr>
        <w:t xml:space="preserve"> отмечается по субсидиям – </w:t>
      </w:r>
      <w:r w:rsidR="007810A0" w:rsidRPr="007810A0">
        <w:rPr>
          <w:rFonts w:ascii="Times New Roman" w:hAnsi="Times New Roman"/>
          <w:iCs/>
          <w:sz w:val="28"/>
          <w:szCs w:val="28"/>
        </w:rPr>
        <w:t>7,4</w:t>
      </w:r>
      <w:r w:rsidR="00BE6181" w:rsidRPr="007810A0">
        <w:rPr>
          <w:rFonts w:ascii="Times New Roman" w:hAnsi="Times New Roman"/>
          <w:iCs/>
          <w:sz w:val="28"/>
          <w:szCs w:val="28"/>
        </w:rPr>
        <w:t> </w:t>
      </w:r>
      <w:r w:rsidR="008334F5" w:rsidRPr="007810A0">
        <w:rPr>
          <w:rFonts w:ascii="Times New Roman" w:hAnsi="Times New Roman"/>
          <w:iCs/>
          <w:sz w:val="28"/>
          <w:szCs w:val="28"/>
        </w:rPr>
        <w:t xml:space="preserve">% показателя сводной бюджетной росписи </w:t>
      </w:r>
      <w:r w:rsidR="002B5E58" w:rsidRPr="007810A0">
        <w:rPr>
          <w:rFonts w:ascii="Times New Roman" w:hAnsi="Times New Roman"/>
          <w:iCs/>
          <w:sz w:val="28"/>
          <w:szCs w:val="28"/>
        </w:rPr>
        <w:t xml:space="preserve">(в </w:t>
      </w:r>
      <w:r w:rsidR="007810A0" w:rsidRPr="007810A0">
        <w:rPr>
          <w:rFonts w:ascii="Times New Roman" w:hAnsi="Times New Roman"/>
          <w:iCs/>
          <w:sz w:val="28"/>
          <w:szCs w:val="28"/>
        </w:rPr>
        <w:t xml:space="preserve">аналогичном периоде </w:t>
      </w:r>
      <w:r w:rsidR="002B5E58" w:rsidRPr="007810A0">
        <w:rPr>
          <w:rFonts w:ascii="Times New Roman" w:hAnsi="Times New Roman"/>
          <w:iCs/>
          <w:sz w:val="28"/>
          <w:szCs w:val="28"/>
        </w:rPr>
        <w:t>201</w:t>
      </w:r>
      <w:r w:rsidR="007810A0" w:rsidRPr="007810A0">
        <w:rPr>
          <w:rFonts w:ascii="Times New Roman" w:hAnsi="Times New Roman"/>
          <w:iCs/>
          <w:sz w:val="28"/>
          <w:szCs w:val="28"/>
        </w:rPr>
        <w:t>5</w:t>
      </w:r>
      <w:r w:rsidR="002B5E58" w:rsidRPr="007810A0">
        <w:rPr>
          <w:rFonts w:ascii="Times New Roman" w:hAnsi="Times New Roman"/>
          <w:iCs/>
          <w:sz w:val="28"/>
          <w:szCs w:val="28"/>
        </w:rPr>
        <w:t> </w:t>
      </w:r>
      <w:r w:rsidR="008334F5" w:rsidRPr="007810A0">
        <w:rPr>
          <w:rFonts w:ascii="Times New Roman" w:hAnsi="Times New Roman"/>
          <w:iCs/>
          <w:sz w:val="28"/>
          <w:szCs w:val="28"/>
        </w:rPr>
        <w:t>год</w:t>
      </w:r>
      <w:r w:rsidR="007810A0" w:rsidRPr="007810A0">
        <w:rPr>
          <w:rFonts w:ascii="Times New Roman" w:hAnsi="Times New Roman"/>
          <w:iCs/>
          <w:sz w:val="28"/>
          <w:szCs w:val="28"/>
        </w:rPr>
        <w:t>а</w:t>
      </w:r>
      <w:r w:rsidR="008334F5" w:rsidRPr="007810A0">
        <w:rPr>
          <w:rFonts w:ascii="Times New Roman" w:hAnsi="Times New Roman"/>
          <w:iCs/>
          <w:sz w:val="28"/>
          <w:szCs w:val="28"/>
        </w:rPr>
        <w:t xml:space="preserve"> –</w:t>
      </w:r>
      <w:r w:rsidR="003C3D19" w:rsidRPr="007810A0">
        <w:rPr>
          <w:rFonts w:ascii="Times New Roman" w:hAnsi="Times New Roman"/>
          <w:iCs/>
          <w:sz w:val="28"/>
          <w:szCs w:val="28"/>
        </w:rPr>
        <w:t xml:space="preserve"> </w:t>
      </w:r>
      <w:r w:rsidR="007810A0" w:rsidRPr="007810A0">
        <w:rPr>
          <w:rFonts w:ascii="Times New Roman" w:hAnsi="Times New Roman"/>
          <w:iCs/>
          <w:sz w:val="28"/>
          <w:szCs w:val="28"/>
        </w:rPr>
        <w:t>8 </w:t>
      </w:r>
      <w:r w:rsidR="008334F5" w:rsidRPr="007810A0">
        <w:rPr>
          <w:rFonts w:ascii="Times New Roman" w:hAnsi="Times New Roman"/>
          <w:iCs/>
          <w:sz w:val="28"/>
          <w:szCs w:val="28"/>
        </w:rPr>
        <w:t>%)</w:t>
      </w:r>
      <w:r w:rsidR="007810A0" w:rsidRPr="007810A0">
        <w:rPr>
          <w:rFonts w:ascii="Times New Roman" w:hAnsi="Times New Roman"/>
          <w:iCs/>
          <w:sz w:val="28"/>
          <w:szCs w:val="28"/>
        </w:rPr>
        <w:t xml:space="preserve"> и </w:t>
      </w:r>
      <w:r w:rsidR="007810A0" w:rsidRPr="007810A0">
        <w:rPr>
          <w:rFonts w:ascii="Times New Roman" w:hAnsi="Times New Roman"/>
          <w:sz w:val="28"/>
          <w:szCs w:val="28"/>
        </w:rPr>
        <w:t>иным межбюджетным трансфертам – 6,1 % (17,3 %)</w:t>
      </w:r>
      <w:r w:rsidR="008334F5" w:rsidRPr="007810A0">
        <w:rPr>
          <w:rFonts w:ascii="Times New Roman" w:hAnsi="Times New Roman"/>
          <w:iCs/>
          <w:sz w:val="28"/>
          <w:szCs w:val="28"/>
        </w:rPr>
        <w:t xml:space="preserve">. </w:t>
      </w:r>
    </w:p>
    <w:p w:rsidR="00701642" w:rsidRDefault="00C703AF" w:rsidP="00185818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4. </w:t>
      </w:r>
      <w:r w:rsidR="00701642" w:rsidRPr="00E1560F">
        <w:rPr>
          <w:rFonts w:ascii="Times New Roman" w:hAnsi="Times New Roman"/>
          <w:sz w:val="28"/>
          <w:szCs w:val="28"/>
        </w:rPr>
        <w:t>Расходы по состоянию на 1 </w:t>
      </w:r>
      <w:r w:rsidR="007810A0" w:rsidRPr="00E1560F">
        <w:rPr>
          <w:rFonts w:ascii="Times New Roman" w:hAnsi="Times New Roman"/>
          <w:sz w:val="28"/>
          <w:szCs w:val="28"/>
        </w:rPr>
        <w:t>апреля</w:t>
      </w:r>
      <w:r w:rsidR="00701642" w:rsidRPr="00E1560F">
        <w:rPr>
          <w:rFonts w:ascii="Times New Roman" w:hAnsi="Times New Roman"/>
          <w:sz w:val="28"/>
          <w:szCs w:val="28"/>
        </w:rPr>
        <w:t xml:space="preserve"> 2016 года исполнены в объеме  </w:t>
      </w:r>
      <w:r w:rsidR="007810A0" w:rsidRPr="00E1560F">
        <w:rPr>
          <w:rFonts w:ascii="Times New Roman" w:hAnsi="Times New Roman"/>
          <w:sz w:val="28"/>
          <w:szCs w:val="28"/>
        </w:rPr>
        <w:t>1 848,0</w:t>
      </w:r>
      <w:r w:rsidR="00701642" w:rsidRPr="00E1560F">
        <w:rPr>
          <w:rFonts w:ascii="Times New Roman" w:hAnsi="Times New Roman"/>
          <w:sz w:val="28"/>
          <w:szCs w:val="28"/>
        </w:rPr>
        <w:t xml:space="preserve"> млрд. рублей, что составляет </w:t>
      </w:r>
      <w:r w:rsidR="007810A0" w:rsidRPr="00E1560F">
        <w:rPr>
          <w:rFonts w:ascii="Times New Roman" w:hAnsi="Times New Roman"/>
          <w:sz w:val="28"/>
          <w:szCs w:val="28"/>
        </w:rPr>
        <w:t>19,5</w:t>
      </w:r>
      <w:r w:rsidR="00701642" w:rsidRPr="00E1560F">
        <w:rPr>
          <w:rFonts w:ascii="Times New Roman" w:hAnsi="Times New Roman"/>
          <w:sz w:val="28"/>
          <w:szCs w:val="28"/>
        </w:rPr>
        <w:t xml:space="preserve"> % утвержденного объема расходов. По сравнению с </w:t>
      </w:r>
      <w:r w:rsidR="00E1560F" w:rsidRPr="00E1560F">
        <w:rPr>
          <w:rFonts w:ascii="Times New Roman" w:hAnsi="Times New Roman"/>
          <w:sz w:val="28"/>
          <w:szCs w:val="28"/>
        </w:rPr>
        <w:t xml:space="preserve">соответствующим периодом </w:t>
      </w:r>
      <w:r w:rsidR="00701642" w:rsidRPr="00E1560F">
        <w:rPr>
          <w:rFonts w:ascii="Times New Roman" w:hAnsi="Times New Roman"/>
          <w:sz w:val="28"/>
          <w:szCs w:val="28"/>
        </w:rPr>
        <w:t>201</w:t>
      </w:r>
      <w:r w:rsidR="00E1560F" w:rsidRPr="00E1560F">
        <w:rPr>
          <w:rFonts w:ascii="Times New Roman" w:hAnsi="Times New Roman"/>
          <w:sz w:val="28"/>
          <w:szCs w:val="28"/>
        </w:rPr>
        <w:t>5</w:t>
      </w:r>
      <w:r w:rsidR="00701642" w:rsidRPr="00E1560F">
        <w:rPr>
          <w:rFonts w:ascii="Times New Roman" w:hAnsi="Times New Roman"/>
          <w:sz w:val="28"/>
          <w:szCs w:val="28"/>
        </w:rPr>
        <w:t xml:space="preserve"> год</w:t>
      </w:r>
      <w:r w:rsidR="00E1560F" w:rsidRPr="00E1560F">
        <w:rPr>
          <w:rFonts w:ascii="Times New Roman" w:hAnsi="Times New Roman"/>
          <w:sz w:val="28"/>
          <w:szCs w:val="28"/>
        </w:rPr>
        <w:t>а</w:t>
      </w:r>
      <w:r w:rsidR="00701642" w:rsidRPr="00E1560F">
        <w:rPr>
          <w:rFonts w:ascii="Times New Roman" w:hAnsi="Times New Roman"/>
          <w:sz w:val="28"/>
          <w:szCs w:val="28"/>
        </w:rPr>
        <w:t xml:space="preserve"> отмечается рост расходов </w:t>
      </w:r>
      <w:r w:rsidR="00E1560F" w:rsidRPr="00E1560F">
        <w:rPr>
          <w:rFonts w:ascii="Times New Roman" w:hAnsi="Times New Roman"/>
          <w:sz w:val="28"/>
          <w:szCs w:val="28"/>
        </w:rPr>
        <w:t>на 4,8 %.</w:t>
      </w:r>
    </w:p>
    <w:p w:rsidR="00ED4185" w:rsidRPr="00ED4185" w:rsidRDefault="00C703AF" w:rsidP="00185818">
      <w:pPr>
        <w:spacing w:after="0" w:line="252" w:lineRule="auto"/>
        <w:ind w:firstLine="69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</w:t>
      </w:r>
      <w:r w:rsidRPr="00E1560F">
        <w:rPr>
          <w:rFonts w:ascii="Times New Roman" w:hAnsi="Times New Roman"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> </w:t>
      </w:r>
      <w:r w:rsidR="00E1560F" w:rsidRPr="00E1560F">
        <w:rPr>
          <w:rFonts w:ascii="Times New Roman" w:hAnsi="Times New Roman"/>
          <w:iCs/>
          <w:sz w:val="28"/>
          <w:szCs w:val="28"/>
        </w:rPr>
        <w:t xml:space="preserve">Государственный долг субъектов Российской Федерации по состоянию </w:t>
      </w:r>
      <w:r w:rsidR="00E1560F" w:rsidRPr="00E1560F">
        <w:rPr>
          <w:rFonts w:ascii="Times New Roman" w:hAnsi="Times New Roman"/>
          <w:sz w:val="28"/>
          <w:szCs w:val="28"/>
        </w:rPr>
        <w:t xml:space="preserve">на </w:t>
      </w:r>
      <w:r w:rsidR="00E1560F" w:rsidRPr="00ED4185">
        <w:rPr>
          <w:rFonts w:ascii="Times New Roman" w:hAnsi="Times New Roman"/>
          <w:sz w:val="28"/>
          <w:szCs w:val="28"/>
        </w:rPr>
        <w:t xml:space="preserve">1 </w:t>
      </w:r>
      <w:r w:rsidR="00ED4185" w:rsidRPr="00ED4185">
        <w:rPr>
          <w:rFonts w:ascii="Times New Roman" w:hAnsi="Times New Roman"/>
          <w:sz w:val="28"/>
          <w:szCs w:val="28"/>
        </w:rPr>
        <w:t>апреля</w:t>
      </w:r>
      <w:r w:rsidR="00E1560F" w:rsidRPr="00ED4185">
        <w:rPr>
          <w:rFonts w:ascii="Times New Roman" w:hAnsi="Times New Roman"/>
          <w:sz w:val="28"/>
          <w:szCs w:val="28"/>
        </w:rPr>
        <w:t xml:space="preserve"> 2016 года </w:t>
      </w:r>
      <w:r w:rsidR="00E1560F" w:rsidRPr="00ED4185">
        <w:rPr>
          <w:rFonts w:ascii="Times New Roman" w:hAnsi="Times New Roman"/>
          <w:iCs/>
          <w:sz w:val="28"/>
          <w:szCs w:val="28"/>
        </w:rPr>
        <w:t xml:space="preserve">увеличился по сравнению с началом года на </w:t>
      </w:r>
      <w:r w:rsidR="00ED4185">
        <w:rPr>
          <w:rFonts w:ascii="Times New Roman" w:hAnsi="Times New Roman"/>
          <w:iCs/>
          <w:sz w:val="28"/>
          <w:szCs w:val="28"/>
        </w:rPr>
        <w:t>3</w:t>
      </w:r>
      <w:r>
        <w:rPr>
          <w:rFonts w:ascii="Times New Roman" w:hAnsi="Times New Roman"/>
          <w:iCs/>
          <w:sz w:val="28"/>
          <w:szCs w:val="28"/>
        </w:rPr>
        <w:t>4</w:t>
      </w:r>
      <w:r w:rsidR="00ED4185">
        <w:rPr>
          <w:rFonts w:ascii="Times New Roman" w:hAnsi="Times New Roman"/>
          <w:iCs/>
          <w:sz w:val="28"/>
          <w:szCs w:val="28"/>
        </w:rPr>
        <w:t xml:space="preserve">,3 </w:t>
      </w:r>
      <w:r w:rsidR="00ED4185" w:rsidRPr="00ED4185">
        <w:rPr>
          <w:rFonts w:ascii="Times New Roman" w:hAnsi="Times New Roman"/>
          <w:iCs/>
          <w:sz w:val="28"/>
          <w:szCs w:val="28"/>
        </w:rPr>
        <w:t>млрд. рублей, или на 1,5 </w:t>
      </w:r>
      <w:r w:rsidR="00E1560F" w:rsidRPr="00ED4185">
        <w:rPr>
          <w:rFonts w:ascii="Times New Roman" w:hAnsi="Times New Roman"/>
          <w:iCs/>
          <w:sz w:val="28"/>
          <w:szCs w:val="28"/>
        </w:rPr>
        <w:t>%</w:t>
      </w:r>
      <w:r w:rsidR="00EF7F41" w:rsidRPr="00ED4185">
        <w:rPr>
          <w:rFonts w:ascii="Times New Roman" w:hAnsi="Times New Roman"/>
          <w:iCs/>
          <w:sz w:val="28"/>
          <w:szCs w:val="28"/>
        </w:rPr>
        <w:t>,</w:t>
      </w:r>
      <w:r w:rsidR="00E1560F" w:rsidRPr="00ED4185">
        <w:rPr>
          <w:rFonts w:ascii="Times New Roman" w:hAnsi="Times New Roman"/>
          <w:iCs/>
          <w:sz w:val="28"/>
          <w:szCs w:val="28"/>
        </w:rPr>
        <w:t xml:space="preserve"> и составил </w:t>
      </w:r>
      <w:r w:rsidR="00ED4185" w:rsidRPr="00ED4185">
        <w:rPr>
          <w:rFonts w:ascii="Times New Roman" w:hAnsi="Times New Roman"/>
          <w:iCs/>
          <w:sz w:val="28"/>
          <w:szCs w:val="28"/>
        </w:rPr>
        <w:t xml:space="preserve">2 352,9 </w:t>
      </w:r>
      <w:r w:rsidR="00E1560F" w:rsidRPr="00ED4185">
        <w:rPr>
          <w:rFonts w:ascii="Times New Roman" w:hAnsi="Times New Roman"/>
          <w:iCs/>
          <w:sz w:val="28"/>
          <w:szCs w:val="28"/>
        </w:rPr>
        <w:t>млрд. рублей</w:t>
      </w:r>
      <w:r w:rsidR="00ED4185" w:rsidRPr="00ED4185">
        <w:rPr>
          <w:rFonts w:ascii="Times New Roman" w:hAnsi="Times New Roman"/>
          <w:iCs/>
          <w:sz w:val="28"/>
          <w:szCs w:val="28"/>
        </w:rPr>
        <w:t xml:space="preserve"> (по сравнению прошлым месяцем сократился на 2,3 %).</w:t>
      </w:r>
    </w:p>
    <w:p w:rsidR="0053376D" w:rsidRDefault="00C703AF" w:rsidP="00185818">
      <w:pPr>
        <w:spacing w:after="0" w:line="252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703AF">
        <w:rPr>
          <w:rFonts w:ascii="Times New Roman" w:hAnsi="Times New Roman"/>
          <w:iCs/>
          <w:sz w:val="28"/>
          <w:szCs w:val="28"/>
        </w:rPr>
        <w:t xml:space="preserve">6. В структуре долговых обязательств субъектов Российской Федерации </w:t>
      </w:r>
      <w:r w:rsidR="0053376D">
        <w:rPr>
          <w:rFonts w:ascii="Times New Roman" w:hAnsi="Times New Roman"/>
          <w:iCs/>
          <w:sz w:val="28"/>
          <w:szCs w:val="28"/>
        </w:rPr>
        <w:t xml:space="preserve">произошли изменения. </w:t>
      </w:r>
      <w:proofErr w:type="gramStart"/>
      <w:r w:rsidR="0053376D">
        <w:rPr>
          <w:rFonts w:ascii="Times New Roman" w:hAnsi="Times New Roman"/>
          <w:iCs/>
          <w:sz w:val="28"/>
          <w:szCs w:val="28"/>
        </w:rPr>
        <w:t xml:space="preserve">Так, </w:t>
      </w:r>
      <w:r w:rsidR="0053376D" w:rsidRPr="00C703AF">
        <w:rPr>
          <w:rFonts w:ascii="Times New Roman" w:hAnsi="Times New Roman"/>
          <w:sz w:val="28"/>
          <w:szCs w:val="28"/>
        </w:rPr>
        <w:t>на 1 апреля 2016 года</w:t>
      </w:r>
      <w:r w:rsidR="0053376D" w:rsidRPr="00C703AF">
        <w:rPr>
          <w:rFonts w:ascii="Times New Roman" w:hAnsi="Times New Roman"/>
          <w:iCs/>
          <w:sz w:val="28"/>
          <w:szCs w:val="28"/>
        </w:rPr>
        <w:t xml:space="preserve"> доля </w:t>
      </w:r>
      <w:r w:rsidR="0053376D" w:rsidRPr="00C703AF">
        <w:rPr>
          <w:rFonts w:ascii="Times New Roman" w:hAnsi="Times New Roman"/>
          <w:sz w:val="28"/>
          <w:szCs w:val="28"/>
        </w:rPr>
        <w:t xml:space="preserve">бюджетных кредитов, привлеченных в бюджет субъекта Российской Федерации от других бюджетов бюджетной системы Российской Федерации </w:t>
      </w:r>
      <w:r w:rsidR="0053376D">
        <w:rPr>
          <w:rFonts w:ascii="Times New Roman" w:hAnsi="Times New Roman"/>
          <w:sz w:val="28"/>
          <w:szCs w:val="28"/>
        </w:rPr>
        <w:t>выросла на 8,4 процентного пункта и составила</w:t>
      </w:r>
      <w:r w:rsidR="0053376D" w:rsidRPr="00C703AF">
        <w:rPr>
          <w:rFonts w:ascii="Times New Roman" w:hAnsi="Times New Roman"/>
          <w:sz w:val="28"/>
          <w:szCs w:val="28"/>
        </w:rPr>
        <w:t xml:space="preserve"> 43,3 %</w:t>
      </w:r>
      <w:r w:rsidR="0053376D">
        <w:rPr>
          <w:rFonts w:ascii="Times New Roman" w:hAnsi="Times New Roman"/>
          <w:sz w:val="28"/>
          <w:szCs w:val="28"/>
        </w:rPr>
        <w:t xml:space="preserve">, а доля </w:t>
      </w:r>
      <w:r w:rsidR="0053376D" w:rsidRPr="00C703AF">
        <w:rPr>
          <w:rFonts w:ascii="Times New Roman" w:hAnsi="Times New Roman"/>
          <w:sz w:val="28"/>
          <w:szCs w:val="28"/>
        </w:rPr>
        <w:t>задолженности по кредитам, полученным субъектами Российской Федерации от кредитных организаций, иностранных банков и международных финансовых организаций с</w:t>
      </w:r>
      <w:r w:rsidR="00E72E25">
        <w:rPr>
          <w:rFonts w:ascii="Times New Roman" w:hAnsi="Times New Roman"/>
          <w:sz w:val="28"/>
          <w:szCs w:val="28"/>
        </w:rPr>
        <w:t>низилась на 7,</w:t>
      </w:r>
      <w:r w:rsidR="00DC03AE">
        <w:rPr>
          <w:rFonts w:ascii="Times New Roman" w:hAnsi="Times New Roman"/>
          <w:sz w:val="28"/>
          <w:szCs w:val="28"/>
        </w:rPr>
        <w:t>4</w:t>
      </w:r>
      <w:r w:rsidR="00E72E25">
        <w:rPr>
          <w:rFonts w:ascii="Times New Roman" w:hAnsi="Times New Roman"/>
          <w:sz w:val="28"/>
          <w:szCs w:val="28"/>
        </w:rPr>
        <w:t> </w:t>
      </w:r>
      <w:r w:rsidR="0053376D">
        <w:rPr>
          <w:rFonts w:ascii="Times New Roman" w:hAnsi="Times New Roman"/>
          <w:sz w:val="28"/>
          <w:szCs w:val="28"/>
        </w:rPr>
        <w:t>проце</w:t>
      </w:r>
      <w:r w:rsidR="00E72E25">
        <w:rPr>
          <w:rFonts w:ascii="Times New Roman" w:hAnsi="Times New Roman"/>
          <w:sz w:val="28"/>
          <w:szCs w:val="28"/>
        </w:rPr>
        <w:t>н</w:t>
      </w:r>
      <w:r w:rsidR="0053376D">
        <w:rPr>
          <w:rFonts w:ascii="Times New Roman" w:hAnsi="Times New Roman"/>
          <w:sz w:val="28"/>
          <w:szCs w:val="28"/>
        </w:rPr>
        <w:t>тного пункта и составила</w:t>
      </w:r>
      <w:r w:rsidR="0053376D" w:rsidRPr="00C703AF">
        <w:rPr>
          <w:rFonts w:ascii="Times New Roman" w:hAnsi="Times New Roman"/>
          <w:sz w:val="28"/>
          <w:szCs w:val="28"/>
        </w:rPr>
        <w:t xml:space="preserve"> 34,3 %.</w:t>
      </w:r>
      <w:proofErr w:type="gramEnd"/>
    </w:p>
    <w:p w:rsidR="00E1560F" w:rsidRPr="00E1560F" w:rsidRDefault="00313799" w:rsidP="00185818">
      <w:pPr>
        <w:spacing w:after="0" w:line="252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7</w:t>
      </w:r>
      <w:r w:rsidR="00E16640" w:rsidRPr="00E1560F">
        <w:rPr>
          <w:rFonts w:ascii="Times New Roman" w:hAnsi="Times New Roman"/>
          <w:iCs/>
          <w:sz w:val="28"/>
          <w:szCs w:val="28"/>
        </w:rPr>
        <w:t>. </w:t>
      </w:r>
      <w:r w:rsidR="00E1560F" w:rsidRPr="00E1560F">
        <w:rPr>
          <w:rFonts w:ascii="Times New Roman" w:hAnsi="Times New Roman"/>
          <w:sz w:val="28"/>
          <w:szCs w:val="28"/>
        </w:rPr>
        <w:t>На 1 апреля 2016 года объем предоставленных бюджетам субъектов Российской Федерации бюджетных кредитов из федерального бюджета составил 144,9 млрд. рублей (46,7 % предусмотренных средств), возврат бюджетных кредитов – 22,3 млрд. рублей.</w:t>
      </w:r>
    </w:p>
    <w:p w:rsidR="00E1560F" w:rsidRPr="000643E0" w:rsidRDefault="00E1560F" w:rsidP="00185818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60F">
        <w:rPr>
          <w:rFonts w:ascii="Times New Roman" w:hAnsi="Times New Roman"/>
          <w:sz w:val="28"/>
          <w:szCs w:val="28"/>
        </w:rPr>
        <w:t xml:space="preserve">Вместе с тем предоставление бюджетных кредитов в столь значительном объеме не решает задачи </w:t>
      </w:r>
      <w:proofErr w:type="gramStart"/>
      <w:r w:rsidRPr="00E1560F">
        <w:rPr>
          <w:rFonts w:ascii="Times New Roman" w:hAnsi="Times New Roman"/>
          <w:sz w:val="28"/>
          <w:szCs w:val="28"/>
        </w:rPr>
        <w:t>стабилизации продолжающегося роста долговых обязательств бюджетов субъектов Российской</w:t>
      </w:r>
      <w:proofErr w:type="gramEnd"/>
      <w:r w:rsidRPr="00E1560F">
        <w:rPr>
          <w:rFonts w:ascii="Times New Roman" w:hAnsi="Times New Roman"/>
          <w:sz w:val="28"/>
          <w:szCs w:val="28"/>
        </w:rPr>
        <w:t xml:space="preserve"> Федерации, обеспечения сбалансированности </w:t>
      </w:r>
      <w:r w:rsidRPr="000643E0">
        <w:rPr>
          <w:rFonts w:ascii="Times New Roman" w:hAnsi="Times New Roman"/>
          <w:sz w:val="28"/>
          <w:szCs w:val="28"/>
        </w:rPr>
        <w:t xml:space="preserve">субъектов Российской Федерации. Более эффективной мерой финансовой помощи могут стать дотации на поддержку мер по обеспечению сбалансированности бюджетов. </w:t>
      </w:r>
    </w:p>
    <w:p w:rsidR="00CA2677" w:rsidRDefault="00CA2677" w:rsidP="007E2E47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1642" w:rsidRPr="007F4A29" w:rsidRDefault="00701642" w:rsidP="007E2E47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4A29">
        <w:rPr>
          <w:rFonts w:ascii="Times New Roman" w:hAnsi="Times New Roman"/>
          <w:sz w:val="28"/>
          <w:szCs w:val="28"/>
        </w:rPr>
        <w:t xml:space="preserve">8. По состоянию на 1 </w:t>
      </w:r>
      <w:r w:rsidR="002A6AF0" w:rsidRPr="007F4A29">
        <w:rPr>
          <w:rFonts w:ascii="Times New Roman" w:hAnsi="Times New Roman"/>
          <w:sz w:val="28"/>
          <w:szCs w:val="28"/>
        </w:rPr>
        <w:t>апреля</w:t>
      </w:r>
      <w:r w:rsidRPr="007F4A29">
        <w:rPr>
          <w:rFonts w:ascii="Times New Roman" w:hAnsi="Times New Roman"/>
          <w:sz w:val="28"/>
          <w:szCs w:val="28"/>
        </w:rPr>
        <w:t xml:space="preserve"> 2016 года расходы на обслуживание государственного и муниципального долга субъектов Российской Федерации выросли по сравнению с </w:t>
      </w:r>
      <w:r w:rsidR="002A6AF0" w:rsidRPr="007F4A29">
        <w:rPr>
          <w:rFonts w:ascii="Times New Roman" w:hAnsi="Times New Roman"/>
          <w:sz w:val="28"/>
          <w:szCs w:val="28"/>
        </w:rPr>
        <w:t xml:space="preserve">аналогичным периодом </w:t>
      </w:r>
      <w:r w:rsidRPr="007F4A29">
        <w:rPr>
          <w:rFonts w:ascii="Times New Roman" w:hAnsi="Times New Roman"/>
          <w:sz w:val="28"/>
          <w:szCs w:val="28"/>
        </w:rPr>
        <w:t>201</w:t>
      </w:r>
      <w:r w:rsidR="002A6AF0" w:rsidRPr="007F4A29">
        <w:rPr>
          <w:rFonts w:ascii="Times New Roman" w:hAnsi="Times New Roman"/>
          <w:sz w:val="28"/>
          <w:szCs w:val="28"/>
        </w:rPr>
        <w:t>5</w:t>
      </w:r>
      <w:r w:rsidRPr="007F4A29">
        <w:rPr>
          <w:rFonts w:ascii="Times New Roman" w:hAnsi="Times New Roman"/>
          <w:sz w:val="28"/>
          <w:szCs w:val="28"/>
        </w:rPr>
        <w:t xml:space="preserve"> год</w:t>
      </w:r>
      <w:r w:rsidR="002A6AF0" w:rsidRPr="007F4A29">
        <w:rPr>
          <w:rFonts w:ascii="Times New Roman" w:hAnsi="Times New Roman"/>
          <w:sz w:val="28"/>
          <w:szCs w:val="28"/>
        </w:rPr>
        <w:t>а</w:t>
      </w:r>
      <w:r w:rsidRPr="007F4A29">
        <w:rPr>
          <w:rFonts w:ascii="Times New Roman" w:hAnsi="Times New Roman"/>
          <w:sz w:val="28"/>
          <w:szCs w:val="28"/>
        </w:rPr>
        <w:t xml:space="preserve"> на </w:t>
      </w:r>
      <w:r w:rsidR="002A6AF0" w:rsidRPr="007F4A29">
        <w:rPr>
          <w:rFonts w:ascii="Times New Roman" w:hAnsi="Times New Roman"/>
          <w:sz w:val="28"/>
          <w:szCs w:val="28"/>
        </w:rPr>
        <w:t>23,5</w:t>
      </w:r>
      <w:r w:rsidRPr="007F4A29">
        <w:rPr>
          <w:rFonts w:ascii="Times New Roman" w:hAnsi="Times New Roman"/>
          <w:sz w:val="28"/>
          <w:szCs w:val="28"/>
        </w:rPr>
        <w:t xml:space="preserve"> % и </w:t>
      </w:r>
      <w:r w:rsidRPr="007F4A29">
        <w:rPr>
          <w:rFonts w:ascii="Times New Roman" w:hAnsi="Times New Roman"/>
          <w:sz w:val="28"/>
          <w:szCs w:val="28"/>
        </w:rPr>
        <w:lastRenderedPageBreak/>
        <w:t xml:space="preserve">составили </w:t>
      </w:r>
      <w:r w:rsidR="002A6AF0" w:rsidRPr="007F4A29">
        <w:rPr>
          <w:rFonts w:ascii="Times New Roman" w:hAnsi="Times New Roman"/>
          <w:sz w:val="28"/>
          <w:szCs w:val="28"/>
        </w:rPr>
        <w:t>39,7</w:t>
      </w:r>
      <w:r w:rsidRPr="007F4A29">
        <w:rPr>
          <w:rFonts w:ascii="Times New Roman" w:hAnsi="Times New Roman"/>
          <w:sz w:val="28"/>
          <w:szCs w:val="28"/>
        </w:rPr>
        <w:t xml:space="preserve"> млрд. рублей, что свидетельствует о нарастании рисков дальнейшего удорожания затрат на обслуживание долга.</w:t>
      </w:r>
    </w:p>
    <w:p w:rsidR="00607EEC" w:rsidRDefault="00607EEC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bookmarkStart w:id="0" w:name="_GoBack"/>
      <w:bookmarkEnd w:id="0"/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Pr="003D2483" w:rsidRDefault="00CA2677" w:rsidP="00CA2677">
      <w:pPr>
        <w:contextualSpacing/>
        <w:rPr>
          <w:rFonts w:ascii="Times New Roman" w:eastAsia="Calibri" w:hAnsi="Times New Roman"/>
          <w:sz w:val="28"/>
          <w:szCs w:val="28"/>
        </w:rPr>
      </w:pPr>
      <w:r w:rsidRPr="003D2483">
        <w:rPr>
          <w:rFonts w:ascii="Times New Roman" w:eastAsia="Calibri" w:hAnsi="Times New Roman"/>
          <w:sz w:val="28"/>
          <w:szCs w:val="28"/>
        </w:rPr>
        <w:t>Аудитор</w:t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ab/>
        <w:t xml:space="preserve">  </w:t>
      </w:r>
      <w:r w:rsidRPr="00CA267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D2483">
        <w:rPr>
          <w:rFonts w:ascii="Times New Roman" w:eastAsia="Calibri" w:hAnsi="Times New Roman"/>
          <w:sz w:val="28"/>
          <w:szCs w:val="28"/>
        </w:rPr>
        <w:t>Ю.В.Росляк</w:t>
      </w:r>
      <w:proofErr w:type="spellEnd"/>
    </w:p>
    <w:p w:rsidR="00821298" w:rsidRDefault="00821298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CA2677" w:rsidRPr="003D2483" w:rsidRDefault="00CA2677" w:rsidP="00CA2677">
      <w:pPr>
        <w:contextualSpacing/>
        <w:rPr>
          <w:rFonts w:ascii="Times New Roman" w:eastAsia="Calibri" w:hAnsi="Times New Roman"/>
          <w:sz w:val="28"/>
          <w:szCs w:val="28"/>
        </w:rPr>
      </w:pPr>
      <w:r w:rsidRPr="003D2483">
        <w:rPr>
          <w:rFonts w:ascii="Times New Roman" w:eastAsia="Calibri" w:hAnsi="Times New Roman"/>
          <w:sz w:val="28"/>
          <w:szCs w:val="28"/>
        </w:rPr>
        <w:t>Аудитор</w:t>
      </w:r>
      <w:r w:rsidRPr="00CA2677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hAnsi="Times New Roman"/>
          <w:iCs/>
          <w:sz w:val="28"/>
          <w:szCs w:val="28"/>
        </w:rPr>
        <w:tab/>
      </w:r>
      <w:proofErr w:type="spellStart"/>
      <w:r>
        <w:rPr>
          <w:rFonts w:ascii="Times New Roman" w:hAnsi="Times New Roman"/>
          <w:iCs/>
          <w:sz w:val="28"/>
          <w:szCs w:val="28"/>
        </w:rPr>
        <w:t>С.И.Штогрин</w:t>
      </w:r>
      <w:proofErr w:type="spellEnd"/>
    </w:p>
    <w:p w:rsidR="00CA2677" w:rsidRDefault="00CA2677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821298" w:rsidRDefault="00821298" w:rsidP="00607EE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821298" w:rsidSect="00CA2677">
      <w:headerReference w:type="default" r:id="rId17"/>
      <w:pgSz w:w="11906" w:h="16838"/>
      <w:pgMar w:top="1134" w:right="851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EE" w:rsidRDefault="00BB2FEE" w:rsidP="00FF2786">
      <w:pPr>
        <w:spacing w:after="0" w:line="240" w:lineRule="auto"/>
      </w:pPr>
      <w:r>
        <w:separator/>
      </w:r>
    </w:p>
  </w:endnote>
  <w:endnote w:type="continuationSeparator" w:id="0">
    <w:p w:rsidR="00BB2FEE" w:rsidRDefault="00BB2FEE" w:rsidP="00FF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EE" w:rsidRDefault="00BB2FEE" w:rsidP="00FF2786">
      <w:pPr>
        <w:spacing w:after="0" w:line="240" w:lineRule="auto"/>
      </w:pPr>
      <w:r>
        <w:separator/>
      </w:r>
    </w:p>
  </w:footnote>
  <w:footnote w:type="continuationSeparator" w:id="0">
    <w:p w:rsidR="00BB2FEE" w:rsidRDefault="00BB2FEE" w:rsidP="00FF2786">
      <w:pPr>
        <w:spacing w:after="0" w:line="240" w:lineRule="auto"/>
      </w:pPr>
      <w:r>
        <w:continuationSeparator/>
      </w:r>
    </w:p>
  </w:footnote>
  <w:footnote w:id="1">
    <w:p w:rsidR="00756C3E" w:rsidRPr="000D71C7" w:rsidRDefault="00756C3E" w:rsidP="006478CA">
      <w:pPr>
        <w:pStyle w:val="af"/>
        <w:rPr>
          <w:rFonts w:ascii="Times New Roman" w:hAnsi="Times New Roman"/>
        </w:rPr>
      </w:pPr>
      <w:r w:rsidRPr="000D71C7"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Письмо з</w:t>
      </w:r>
      <w:r w:rsidRPr="000D71C7">
        <w:rPr>
          <w:rFonts w:ascii="Times New Roman" w:hAnsi="Times New Roman"/>
        </w:rPr>
        <w:t>аместителя Председателя Правительства Кировской области, Мин</w:t>
      </w:r>
      <w:r>
        <w:rPr>
          <w:rFonts w:ascii="Times New Roman" w:hAnsi="Times New Roman"/>
        </w:rPr>
        <w:t>истра финансов от  11.04.2016 г. № </w:t>
      </w:r>
      <w:r w:rsidR="00631F46">
        <w:rPr>
          <w:rFonts w:ascii="Times New Roman" w:hAnsi="Times New Roman"/>
        </w:rPr>
        <w:t>1</w:t>
      </w:r>
      <w:r w:rsidRPr="000D71C7">
        <w:rPr>
          <w:rFonts w:ascii="Times New Roman" w:hAnsi="Times New Roman"/>
        </w:rPr>
        <w:t>427-53-10-07</w:t>
      </w:r>
      <w:r>
        <w:rPr>
          <w:rFonts w:ascii="Times New Roman" w:hAnsi="Times New Roman"/>
        </w:rPr>
        <w:t>.</w:t>
      </w:r>
    </w:p>
  </w:footnote>
  <w:footnote w:id="2">
    <w:p w:rsidR="00756C3E" w:rsidRPr="000D71C7" w:rsidRDefault="00756C3E" w:rsidP="006478CA">
      <w:pPr>
        <w:pStyle w:val="af"/>
        <w:rPr>
          <w:rFonts w:ascii="Times New Roman" w:hAnsi="Times New Roman"/>
        </w:rPr>
      </w:pPr>
      <w:r w:rsidRPr="000D71C7"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Письмо п</w:t>
      </w:r>
      <w:r w:rsidRPr="000D71C7">
        <w:rPr>
          <w:rFonts w:ascii="Times New Roman" w:hAnsi="Times New Roman"/>
        </w:rPr>
        <w:t>ервого заместителя Губернатора Новгородской области  от 14.0</w:t>
      </w:r>
      <w:r>
        <w:rPr>
          <w:rFonts w:ascii="Times New Roman" w:hAnsi="Times New Roman"/>
        </w:rPr>
        <w:t>4.2016 г. № ПО-23/1769-И (</w:t>
      </w:r>
      <w:proofErr w:type="spellStart"/>
      <w:r>
        <w:rPr>
          <w:rFonts w:ascii="Times New Roman" w:hAnsi="Times New Roman"/>
        </w:rPr>
        <w:t>вх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№ </w:t>
      </w:r>
      <w:proofErr w:type="gramStart"/>
      <w:r w:rsidRPr="000D71C7">
        <w:rPr>
          <w:rFonts w:ascii="Times New Roman" w:hAnsi="Times New Roman"/>
        </w:rPr>
        <w:t>А-2557 от 20.04.2016)</w:t>
      </w:r>
      <w:r>
        <w:rPr>
          <w:rFonts w:ascii="Times New Roman" w:hAnsi="Times New Roman"/>
        </w:rPr>
        <w:t>.</w:t>
      </w:r>
      <w:proofErr w:type="gramEnd"/>
    </w:p>
  </w:footnote>
  <w:footnote w:id="3">
    <w:p w:rsidR="00756C3E" w:rsidRPr="000D71C7" w:rsidRDefault="00756C3E" w:rsidP="006478CA">
      <w:pPr>
        <w:pStyle w:val="af"/>
        <w:rPr>
          <w:rFonts w:ascii="Times New Roman" w:hAnsi="Times New Roman"/>
        </w:rPr>
      </w:pPr>
      <w:r w:rsidRPr="000D71C7"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Письмо </w:t>
      </w:r>
      <w:r w:rsidR="00631F46">
        <w:rPr>
          <w:rFonts w:ascii="Times New Roman" w:hAnsi="Times New Roman"/>
        </w:rPr>
        <w:t>министра финансов Оренбургской области</w:t>
      </w:r>
      <w:r w:rsidRPr="000D71C7">
        <w:rPr>
          <w:rFonts w:ascii="Times New Roman" w:hAnsi="Times New Roman"/>
        </w:rPr>
        <w:t xml:space="preserve"> от </w:t>
      </w:r>
      <w:r w:rsidR="00631F46">
        <w:rPr>
          <w:rFonts w:ascii="Times New Roman" w:hAnsi="Times New Roman"/>
        </w:rPr>
        <w:t xml:space="preserve">10 апреля </w:t>
      </w:r>
      <w:r w:rsidRPr="000D71C7">
        <w:rPr>
          <w:rFonts w:ascii="Times New Roman" w:hAnsi="Times New Roman"/>
        </w:rPr>
        <w:t xml:space="preserve">2016 </w:t>
      </w:r>
      <w:r w:rsidR="00631F46">
        <w:rPr>
          <w:rFonts w:ascii="Times New Roman" w:hAnsi="Times New Roman"/>
        </w:rPr>
        <w:t xml:space="preserve">г. </w:t>
      </w:r>
      <w:r w:rsidRPr="000D71C7">
        <w:rPr>
          <w:rFonts w:ascii="Times New Roman" w:hAnsi="Times New Roman"/>
        </w:rPr>
        <w:t xml:space="preserve">№ </w:t>
      </w:r>
      <w:r w:rsidR="00631F46">
        <w:rPr>
          <w:rFonts w:ascii="Times New Roman" w:hAnsi="Times New Roman"/>
        </w:rPr>
        <w:t>07/02-20/1003</w:t>
      </w:r>
      <w:r>
        <w:rPr>
          <w:rFonts w:ascii="Times New Roman" w:hAnsi="Times New Roman"/>
        </w:rPr>
        <w:t>.</w:t>
      </w:r>
    </w:p>
  </w:footnote>
  <w:footnote w:id="4">
    <w:p w:rsidR="00756C3E" w:rsidRPr="00DD5B6A" w:rsidRDefault="00756C3E" w:rsidP="006478CA">
      <w:pPr>
        <w:pStyle w:val="af"/>
        <w:rPr>
          <w:rFonts w:ascii="Times New Roman" w:hAnsi="Times New Roman"/>
        </w:rPr>
      </w:pPr>
      <w:r w:rsidRPr="00DD5B6A">
        <w:rPr>
          <w:rStyle w:val="af1"/>
          <w:rFonts w:ascii="Times New Roman" w:hAnsi="Times New Roman"/>
        </w:rPr>
        <w:footnoteRef/>
      </w:r>
      <w:r w:rsidRPr="00DD5B6A">
        <w:rPr>
          <w:rFonts w:ascii="Times New Roman" w:hAnsi="Times New Roman"/>
        </w:rPr>
        <w:t xml:space="preserve"> </w:t>
      </w:r>
      <w:proofErr w:type="gramStart"/>
      <w:r w:rsidRPr="00DD5B6A">
        <w:rPr>
          <w:rFonts w:ascii="Times New Roman" w:hAnsi="Times New Roman"/>
        </w:rPr>
        <w:t xml:space="preserve">Письмо </w:t>
      </w:r>
      <w:r>
        <w:rPr>
          <w:rFonts w:ascii="Times New Roman" w:hAnsi="Times New Roman"/>
        </w:rPr>
        <w:t>г</w:t>
      </w:r>
      <w:r w:rsidRPr="00DD5B6A">
        <w:rPr>
          <w:rFonts w:ascii="Times New Roman" w:hAnsi="Times New Roman"/>
        </w:rPr>
        <w:t>убернатора Костромской области от 11 апреля 2016 г. № СС-2117/0 (</w:t>
      </w:r>
      <w:proofErr w:type="spellStart"/>
      <w:r w:rsidRPr="00DD5B6A">
        <w:rPr>
          <w:rFonts w:ascii="Times New Roman" w:hAnsi="Times New Roman"/>
        </w:rPr>
        <w:t>вх</w:t>
      </w:r>
      <w:proofErr w:type="spellEnd"/>
      <w:r w:rsidRPr="00DD5B6A">
        <w:rPr>
          <w:rFonts w:ascii="Times New Roman" w:hAnsi="Times New Roman"/>
        </w:rPr>
        <w:t>.</w:t>
      </w:r>
      <w:proofErr w:type="gramEnd"/>
      <w:r w:rsidRPr="00DD5B6A">
        <w:rPr>
          <w:rFonts w:ascii="Times New Roman" w:hAnsi="Times New Roman"/>
        </w:rPr>
        <w:t xml:space="preserve"> № </w:t>
      </w:r>
      <w:proofErr w:type="gramStart"/>
      <w:r w:rsidRPr="00DD5B6A">
        <w:rPr>
          <w:rFonts w:ascii="Times New Roman" w:hAnsi="Times New Roman"/>
        </w:rPr>
        <w:t>А-2283 от 12</w:t>
      </w:r>
      <w:r>
        <w:rPr>
          <w:rFonts w:ascii="Times New Roman" w:hAnsi="Times New Roman"/>
        </w:rPr>
        <w:t xml:space="preserve"> апреля </w:t>
      </w:r>
      <w:r w:rsidRPr="00DD5B6A">
        <w:rPr>
          <w:rFonts w:ascii="Times New Roman" w:hAnsi="Times New Roman"/>
        </w:rPr>
        <w:t>2016г.)</w:t>
      </w:r>
      <w:r>
        <w:rPr>
          <w:rFonts w:ascii="Times New Roman" w:hAnsi="Times New Roman"/>
        </w:rPr>
        <w:t>.</w:t>
      </w:r>
      <w:proofErr w:type="gramEnd"/>
    </w:p>
  </w:footnote>
  <w:footnote w:id="5">
    <w:p w:rsidR="0062778F" w:rsidRPr="0062778F" w:rsidRDefault="0062778F">
      <w:pPr>
        <w:pStyle w:val="af"/>
        <w:rPr>
          <w:rFonts w:ascii="Times New Roman" w:hAnsi="Times New Roman"/>
        </w:rPr>
      </w:pPr>
      <w:r w:rsidRPr="0062778F">
        <w:rPr>
          <w:rStyle w:val="af1"/>
          <w:rFonts w:ascii="Times New Roman" w:hAnsi="Times New Roman"/>
        </w:rPr>
        <w:footnoteRef/>
      </w:r>
      <w:r w:rsidRPr="0062778F">
        <w:rPr>
          <w:rFonts w:ascii="Times New Roman" w:hAnsi="Times New Roman"/>
        </w:rPr>
        <w:t xml:space="preserve"> Письмо Правительства Свердловской области от 15 апреля 2016 г. № 01-01-70/6389</w:t>
      </w:r>
      <w:r>
        <w:rPr>
          <w:rFonts w:ascii="Times New Roman" w:hAnsi="Times New Roman"/>
        </w:rPr>
        <w:t>.</w:t>
      </w:r>
    </w:p>
  </w:footnote>
  <w:footnote w:id="6">
    <w:p w:rsidR="00756C3E" w:rsidRPr="00DD5B6A" w:rsidRDefault="00756C3E" w:rsidP="006478CA">
      <w:pPr>
        <w:pStyle w:val="af"/>
        <w:rPr>
          <w:rFonts w:ascii="Times New Roman" w:hAnsi="Times New Roman"/>
        </w:rPr>
      </w:pPr>
      <w:r w:rsidRPr="00DD5B6A">
        <w:rPr>
          <w:rStyle w:val="af1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Письмо з</w:t>
      </w:r>
      <w:r w:rsidRPr="00DD5B6A">
        <w:rPr>
          <w:rFonts w:ascii="Times New Roman" w:hAnsi="Times New Roman"/>
        </w:rPr>
        <w:t>аместителя Губ</w:t>
      </w:r>
      <w:r w:rsidR="00631F46">
        <w:rPr>
          <w:rFonts w:ascii="Times New Roman" w:hAnsi="Times New Roman"/>
        </w:rPr>
        <w:t xml:space="preserve">ернатора Ростовской области от </w:t>
      </w:r>
      <w:r w:rsidRPr="00DD5B6A">
        <w:rPr>
          <w:rFonts w:ascii="Times New Roman" w:hAnsi="Times New Roman"/>
        </w:rPr>
        <w:t>8</w:t>
      </w:r>
      <w:r w:rsidR="00631F46">
        <w:rPr>
          <w:rFonts w:ascii="Times New Roman" w:hAnsi="Times New Roman"/>
        </w:rPr>
        <w:t xml:space="preserve"> апреля </w:t>
      </w:r>
      <w:r w:rsidRPr="00DD5B6A">
        <w:rPr>
          <w:rFonts w:ascii="Times New Roman" w:hAnsi="Times New Roman"/>
        </w:rPr>
        <w:t>2016</w:t>
      </w:r>
      <w:r w:rsidR="00631F46">
        <w:rPr>
          <w:rFonts w:ascii="Times New Roman" w:hAnsi="Times New Roman"/>
        </w:rPr>
        <w:t xml:space="preserve"> г.</w:t>
      </w:r>
      <w:r w:rsidRPr="00DD5B6A">
        <w:rPr>
          <w:rFonts w:ascii="Times New Roman" w:hAnsi="Times New Roman"/>
        </w:rPr>
        <w:t xml:space="preserve"> № 9Э-9.1.1.1/16/37</w:t>
      </w:r>
      <w:r w:rsidR="00631F46">
        <w:rPr>
          <w:rFonts w:ascii="Times New Roman" w:hAnsi="Times New Roman"/>
        </w:rPr>
        <w:t>9</w:t>
      </w:r>
      <w:r w:rsidRPr="00DD5B6A">
        <w:rPr>
          <w:rFonts w:ascii="Times New Roman" w:hAnsi="Times New Roman"/>
        </w:rPr>
        <w:t xml:space="preserve"> (</w:t>
      </w:r>
      <w:proofErr w:type="spellStart"/>
      <w:r w:rsidRPr="00DD5B6A">
        <w:rPr>
          <w:rFonts w:ascii="Times New Roman" w:hAnsi="Times New Roman"/>
        </w:rPr>
        <w:t>вх</w:t>
      </w:r>
      <w:proofErr w:type="spellEnd"/>
      <w:r w:rsidRPr="00DD5B6A">
        <w:rPr>
          <w:rFonts w:ascii="Times New Roman" w:hAnsi="Times New Roman"/>
        </w:rPr>
        <w:t>.</w:t>
      </w:r>
      <w:proofErr w:type="gramEnd"/>
      <w:r w:rsidRPr="00DD5B6A">
        <w:rPr>
          <w:rFonts w:ascii="Times New Roman" w:hAnsi="Times New Roman"/>
        </w:rPr>
        <w:t xml:space="preserve"> №  </w:t>
      </w:r>
      <w:proofErr w:type="gramStart"/>
      <w:r w:rsidRPr="00DD5B6A">
        <w:rPr>
          <w:rFonts w:ascii="Times New Roman" w:hAnsi="Times New Roman"/>
        </w:rPr>
        <w:t>А-2381  от 14</w:t>
      </w:r>
      <w:r>
        <w:rPr>
          <w:rFonts w:ascii="Times New Roman" w:hAnsi="Times New Roman"/>
        </w:rPr>
        <w:t xml:space="preserve"> апреля </w:t>
      </w:r>
      <w:r w:rsidRPr="00DD5B6A">
        <w:rPr>
          <w:rFonts w:ascii="Times New Roman" w:hAnsi="Times New Roman"/>
        </w:rPr>
        <w:t>2016</w:t>
      </w:r>
      <w:r>
        <w:rPr>
          <w:rFonts w:ascii="Times New Roman" w:hAnsi="Times New Roman"/>
        </w:rPr>
        <w:t xml:space="preserve"> г.</w:t>
      </w:r>
      <w:r w:rsidRPr="00DD5B6A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proofErr w:type="gramEnd"/>
    </w:p>
  </w:footnote>
  <w:footnote w:id="7">
    <w:p w:rsidR="00756C3E" w:rsidRPr="00DD5B6A" w:rsidRDefault="00756C3E" w:rsidP="00123AFC">
      <w:pPr>
        <w:pStyle w:val="af"/>
        <w:rPr>
          <w:rFonts w:ascii="Times New Roman" w:hAnsi="Times New Roman"/>
        </w:rPr>
      </w:pPr>
      <w:r w:rsidRPr="00DD5B6A">
        <w:rPr>
          <w:rStyle w:val="af1"/>
          <w:rFonts w:ascii="Times New Roman" w:hAnsi="Times New Roman"/>
        </w:rPr>
        <w:footnoteRef/>
      </w:r>
      <w:r w:rsidRPr="00DD5B6A">
        <w:rPr>
          <w:rFonts w:ascii="Times New Roman" w:hAnsi="Times New Roman"/>
        </w:rPr>
        <w:t xml:space="preserve"> </w:t>
      </w:r>
      <w:r w:rsidRPr="004E2886">
        <w:rPr>
          <w:rFonts w:ascii="Times New Roman" w:hAnsi="Times New Roman"/>
        </w:rPr>
        <w:t>Письмо</w:t>
      </w:r>
      <w:r w:rsidR="0062778F">
        <w:rPr>
          <w:rFonts w:ascii="Times New Roman" w:hAnsi="Times New Roman"/>
        </w:rPr>
        <w:t xml:space="preserve"> М</w:t>
      </w:r>
      <w:r>
        <w:rPr>
          <w:rFonts w:ascii="Times New Roman" w:hAnsi="Times New Roman"/>
        </w:rPr>
        <w:t>инфина Ставропольского края от 11 апреля 2016 г. № 05-16/49-03.</w:t>
      </w:r>
    </w:p>
  </w:footnote>
  <w:footnote w:id="8">
    <w:p w:rsidR="00756C3E" w:rsidRPr="00DD5B6A" w:rsidRDefault="00756C3E" w:rsidP="00123AFC">
      <w:pPr>
        <w:pStyle w:val="af"/>
        <w:rPr>
          <w:rFonts w:ascii="Times New Roman" w:hAnsi="Times New Roman"/>
        </w:rPr>
      </w:pPr>
      <w:r w:rsidRPr="00DD5B6A">
        <w:rPr>
          <w:rStyle w:val="af1"/>
          <w:rFonts w:ascii="Times New Roman" w:hAnsi="Times New Roman"/>
        </w:rPr>
        <w:footnoteRef/>
      </w:r>
      <w:r w:rsidRPr="00DD5B6A">
        <w:rPr>
          <w:rFonts w:ascii="Times New Roman" w:hAnsi="Times New Roman"/>
        </w:rPr>
        <w:t xml:space="preserve"> </w:t>
      </w:r>
      <w:proofErr w:type="gramStart"/>
      <w:r w:rsidRPr="00DD5B6A">
        <w:rPr>
          <w:rFonts w:ascii="Times New Roman" w:hAnsi="Times New Roman"/>
        </w:rPr>
        <w:t>Письмо от 11 апреля 2016 г. № ВД-8830 (</w:t>
      </w:r>
      <w:proofErr w:type="spellStart"/>
      <w:r w:rsidRPr="00DD5B6A">
        <w:rPr>
          <w:rFonts w:ascii="Times New Roman" w:hAnsi="Times New Roman"/>
        </w:rPr>
        <w:t>вх</w:t>
      </w:r>
      <w:proofErr w:type="spellEnd"/>
      <w:r w:rsidRPr="00DD5B6A">
        <w:rPr>
          <w:rFonts w:ascii="Times New Roman" w:hAnsi="Times New Roman"/>
        </w:rPr>
        <w:t>.</w:t>
      </w:r>
      <w:proofErr w:type="gramEnd"/>
      <w:r w:rsidRPr="00DD5B6A">
        <w:rPr>
          <w:rFonts w:ascii="Times New Roman" w:hAnsi="Times New Roman"/>
        </w:rPr>
        <w:t xml:space="preserve"> № </w:t>
      </w:r>
      <w:proofErr w:type="gramStart"/>
      <w:r w:rsidRPr="00DD5B6A">
        <w:rPr>
          <w:rFonts w:ascii="Times New Roman" w:hAnsi="Times New Roman"/>
        </w:rPr>
        <w:t>А-2459 от 18</w:t>
      </w:r>
      <w:r w:rsidR="00C64E41">
        <w:rPr>
          <w:rFonts w:ascii="Times New Roman" w:hAnsi="Times New Roman"/>
        </w:rPr>
        <w:t xml:space="preserve"> апреля </w:t>
      </w:r>
      <w:r w:rsidRPr="00DD5B6A">
        <w:rPr>
          <w:rFonts w:ascii="Times New Roman" w:hAnsi="Times New Roman"/>
        </w:rPr>
        <w:t>2016</w:t>
      </w:r>
      <w:r w:rsidR="00C64E41">
        <w:rPr>
          <w:rFonts w:ascii="Times New Roman" w:hAnsi="Times New Roman"/>
        </w:rPr>
        <w:t xml:space="preserve"> г.</w:t>
      </w:r>
      <w:r w:rsidRPr="00DD5B6A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  <w:proofErr w:type="gramEnd"/>
    </w:p>
  </w:footnote>
  <w:footnote w:id="9">
    <w:p w:rsidR="00756C3E" w:rsidRPr="00504664" w:rsidRDefault="00756C3E">
      <w:pPr>
        <w:pStyle w:val="af"/>
        <w:rPr>
          <w:rFonts w:ascii="Times New Roman" w:hAnsi="Times New Roman"/>
        </w:rPr>
      </w:pPr>
      <w:r w:rsidRPr="00504664">
        <w:rPr>
          <w:rStyle w:val="af1"/>
          <w:rFonts w:ascii="Times New Roman" w:hAnsi="Times New Roman"/>
        </w:rPr>
        <w:footnoteRef/>
      </w:r>
      <w:r w:rsidRPr="005046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Письмо департамента финансов Брянской области от 8 апреля 2016 г. № 17-10/1/2258.</w:t>
      </w:r>
    </w:p>
  </w:footnote>
  <w:footnote w:id="10">
    <w:p w:rsidR="00756C3E" w:rsidRPr="00504664" w:rsidRDefault="00756C3E">
      <w:pPr>
        <w:pStyle w:val="af"/>
        <w:rPr>
          <w:rFonts w:ascii="Times New Roman" w:hAnsi="Times New Roman"/>
        </w:rPr>
      </w:pPr>
      <w:r w:rsidRPr="00504664">
        <w:rPr>
          <w:rStyle w:val="af1"/>
          <w:rFonts w:ascii="Times New Roman" w:hAnsi="Times New Roman"/>
        </w:rPr>
        <w:footnoteRef/>
      </w:r>
      <w:r w:rsidRPr="00504664">
        <w:rPr>
          <w:rFonts w:ascii="Times New Roman" w:hAnsi="Times New Roman"/>
        </w:rPr>
        <w:t xml:space="preserve"> Письмо</w:t>
      </w:r>
      <w:r>
        <w:rPr>
          <w:rFonts w:ascii="Times New Roman" w:hAnsi="Times New Roman"/>
        </w:rPr>
        <w:t xml:space="preserve"> министерства финансов Пензенской области от 18 апреля 2016 г. № 02-09.</w:t>
      </w:r>
    </w:p>
  </w:footnote>
  <w:footnote w:id="11">
    <w:p w:rsidR="00756C3E" w:rsidRPr="00504664" w:rsidRDefault="00756C3E">
      <w:pPr>
        <w:pStyle w:val="af"/>
        <w:rPr>
          <w:rFonts w:ascii="Times New Roman" w:hAnsi="Times New Roman"/>
        </w:rPr>
      </w:pPr>
      <w:r w:rsidRPr="00504664">
        <w:rPr>
          <w:rStyle w:val="af1"/>
          <w:rFonts w:ascii="Times New Roman" w:hAnsi="Times New Roman"/>
        </w:rPr>
        <w:footnoteRef/>
      </w:r>
      <w:r w:rsidRPr="00504664">
        <w:rPr>
          <w:rFonts w:ascii="Times New Roman" w:hAnsi="Times New Roman"/>
        </w:rPr>
        <w:t xml:space="preserve"> Письмо </w:t>
      </w:r>
      <w:r>
        <w:rPr>
          <w:rFonts w:ascii="Times New Roman" w:hAnsi="Times New Roman"/>
        </w:rPr>
        <w:t>г</w:t>
      </w:r>
      <w:r w:rsidRPr="00504664">
        <w:rPr>
          <w:rFonts w:ascii="Times New Roman" w:hAnsi="Times New Roman"/>
        </w:rPr>
        <w:t>убернатора Псковской области от 11 апреля 2016 г. № АТ-01-1508.</w:t>
      </w:r>
    </w:p>
  </w:footnote>
  <w:footnote w:id="12">
    <w:p w:rsidR="00756C3E" w:rsidRPr="008617CE" w:rsidRDefault="00756C3E">
      <w:pPr>
        <w:pStyle w:val="af"/>
        <w:rPr>
          <w:rFonts w:ascii="Times New Roman" w:hAnsi="Times New Roman"/>
        </w:rPr>
      </w:pPr>
      <w:r>
        <w:rPr>
          <w:rStyle w:val="af1"/>
        </w:rPr>
        <w:footnoteRef/>
      </w:r>
      <w:r>
        <w:t xml:space="preserve"> </w:t>
      </w:r>
      <w:r w:rsidRPr="008617CE">
        <w:rPr>
          <w:rFonts w:ascii="Times New Roman" w:hAnsi="Times New Roman"/>
        </w:rPr>
        <w:t xml:space="preserve">Письмо </w:t>
      </w:r>
      <w:r>
        <w:rPr>
          <w:rFonts w:ascii="Times New Roman" w:hAnsi="Times New Roman"/>
        </w:rPr>
        <w:t xml:space="preserve">правительства Республики Татарстан от 15апреля 2016 г. № 02-84/2476, </w:t>
      </w:r>
      <w:r>
        <w:rPr>
          <w:rFonts w:ascii="Times New Roman" w:hAnsi="Times New Roman"/>
        </w:rPr>
        <w:br/>
        <w:t>(</w:t>
      </w:r>
      <w:proofErr w:type="spellStart"/>
      <w:r>
        <w:rPr>
          <w:rFonts w:ascii="Times New Roman" w:hAnsi="Times New Roman"/>
        </w:rPr>
        <w:t>вх</w:t>
      </w:r>
      <w:proofErr w:type="spellEnd"/>
      <w:r>
        <w:rPr>
          <w:rFonts w:ascii="Times New Roman" w:hAnsi="Times New Roman"/>
        </w:rPr>
        <w:t>. от 20 апреля 2016 г. № А-2578).</w:t>
      </w:r>
    </w:p>
  </w:footnote>
  <w:footnote w:id="13">
    <w:p w:rsidR="00756C3E" w:rsidRDefault="00756C3E">
      <w:pPr>
        <w:pStyle w:val="af"/>
      </w:pPr>
      <w:r w:rsidRPr="00EF7F41">
        <w:rPr>
          <w:rStyle w:val="af1"/>
        </w:rPr>
        <w:footnoteRef/>
      </w:r>
      <w:r w:rsidRPr="00EF7F41">
        <w:rPr>
          <w:rStyle w:val="af1"/>
        </w:rPr>
        <w:t xml:space="preserve"> </w:t>
      </w:r>
      <w:r>
        <w:t xml:space="preserve"> </w:t>
      </w:r>
      <w:r w:rsidRPr="00EF7F41">
        <w:rPr>
          <w:rFonts w:ascii="Times New Roman" w:hAnsi="Times New Roman"/>
        </w:rPr>
        <w:t>Письмо</w:t>
      </w:r>
      <w:r>
        <w:t xml:space="preserve"> </w:t>
      </w:r>
      <w:r>
        <w:rPr>
          <w:rFonts w:ascii="Times New Roman" w:hAnsi="Times New Roman"/>
        </w:rPr>
        <w:t>г</w:t>
      </w:r>
      <w:r w:rsidRPr="008617CE">
        <w:rPr>
          <w:rFonts w:ascii="Times New Roman" w:hAnsi="Times New Roman"/>
        </w:rPr>
        <w:t>лавы Удмуртской Республики от 15</w:t>
      </w:r>
      <w:r>
        <w:rPr>
          <w:rFonts w:ascii="Times New Roman" w:hAnsi="Times New Roman"/>
        </w:rPr>
        <w:t xml:space="preserve"> апреля </w:t>
      </w:r>
      <w:r w:rsidRPr="008617CE">
        <w:rPr>
          <w:rFonts w:ascii="Times New Roman" w:hAnsi="Times New Roman"/>
        </w:rPr>
        <w:t>2016</w:t>
      </w:r>
      <w:r>
        <w:rPr>
          <w:rFonts w:ascii="Times New Roman" w:hAnsi="Times New Roman"/>
        </w:rPr>
        <w:t xml:space="preserve"> г.</w:t>
      </w:r>
      <w:r w:rsidRPr="008617CE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Pr="008617CE">
        <w:rPr>
          <w:rFonts w:ascii="Times New Roman" w:hAnsi="Times New Roman"/>
        </w:rPr>
        <w:t>В8-173/0032</w:t>
      </w:r>
      <w:r>
        <w:rPr>
          <w:rFonts w:ascii="Times New Roman" w:hAnsi="Times New Roman"/>
        </w:rPr>
        <w:t>.</w:t>
      </w:r>
    </w:p>
  </w:footnote>
  <w:footnote w:id="14">
    <w:p w:rsidR="00756C3E" w:rsidRDefault="00756C3E">
      <w:pPr>
        <w:pStyle w:val="af"/>
      </w:pPr>
      <w:r>
        <w:rPr>
          <w:rStyle w:val="af1"/>
        </w:rPr>
        <w:footnoteRef/>
      </w:r>
      <w:r>
        <w:t xml:space="preserve"> </w:t>
      </w:r>
      <w:r w:rsidRPr="00EF7F41">
        <w:rPr>
          <w:rFonts w:ascii="Times New Roman" w:hAnsi="Times New Roman"/>
        </w:rPr>
        <w:t xml:space="preserve">Письмо </w:t>
      </w:r>
      <w:r>
        <w:rPr>
          <w:rFonts w:ascii="Times New Roman" w:hAnsi="Times New Roman"/>
        </w:rPr>
        <w:t>п</w:t>
      </w:r>
      <w:r w:rsidRPr="00EF7F41">
        <w:rPr>
          <w:rFonts w:ascii="Times New Roman" w:hAnsi="Times New Roman"/>
        </w:rPr>
        <w:t>равительства Республики Алтай от 15</w:t>
      </w:r>
      <w:r>
        <w:rPr>
          <w:rFonts w:ascii="Times New Roman" w:hAnsi="Times New Roman"/>
        </w:rPr>
        <w:t xml:space="preserve"> апреля </w:t>
      </w:r>
      <w:r w:rsidRPr="00EF7F41">
        <w:rPr>
          <w:rFonts w:ascii="Times New Roman" w:hAnsi="Times New Roman"/>
        </w:rPr>
        <w:t>2016</w:t>
      </w:r>
      <w:r>
        <w:rPr>
          <w:rFonts w:ascii="Times New Roman" w:hAnsi="Times New Roman"/>
        </w:rPr>
        <w:t xml:space="preserve"> г.</w:t>
      </w:r>
      <w:r w:rsidRPr="00EF7F41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Pr="00EF7F41">
        <w:rPr>
          <w:rFonts w:ascii="Times New Roman" w:hAnsi="Times New Roman"/>
        </w:rPr>
        <w:t>2143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5630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56C3E" w:rsidRPr="00F0431C" w:rsidRDefault="00756C3E" w:rsidP="00F0431C">
        <w:pPr>
          <w:pStyle w:val="a6"/>
          <w:jc w:val="center"/>
          <w:rPr>
            <w:rFonts w:ascii="Times New Roman" w:hAnsi="Times New Roman"/>
          </w:rPr>
        </w:pPr>
        <w:r w:rsidRPr="00C65E02">
          <w:rPr>
            <w:rFonts w:ascii="Times New Roman" w:hAnsi="Times New Roman"/>
          </w:rPr>
          <w:fldChar w:fldCharType="begin"/>
        </w:r>
        <w:r w:rsidRPr="00C65E02">
          <w:rPr>
            <w:rFonts w:ascii="Times New Roman" w:hAnsi="Times New Roman"/>
          </w:rPr>
          <w:instrText>PAGE   \* MERGEFORMAT</w:instrText>
        </w:r>
        <w:r w:rsidRPr="00C65E02">
          <w:rPr>
            <w:rFonts w:ascii="Times New Roman" w:hAnsi="Times New Roman"/>
          </w:rPr>
          <w:fldChar w:fldCharType="separate"/>
        </w:r>
        <w:r w:rsidR="0048021F">
          <w:rPr>
            <w:rFonts w:ascii="Times New Roman" w:hAnsi="Times New Roman"/>
            <w:noProof/>
          </w:rPr>
          <w:t>19</w:t>
        </w:r>
        <w:r w:rsidRPr="00C65E02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39064A"/>
    <w:multiLevelType w:val="hybridMultilevel"/>
    <w:tmpl w:val="C980F020"/>
    <w:lvl w:ilvl="0" w:tplc="FD44BC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A942C6"/>
    <w:multiLevelType w:val="multilevel"/>
    <w:tmpl w:val="AE72EE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ACC2B14"/>
    <w:multiLevelType w:val="hybridMultilevel"/>
    <w:tmpl w:val="03821018"/>
    <w:lvl w:ilvl="0" w:tplc="1B225A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AF1ED0"/>
    <w:multiLevelType w:val="hybridMultilevel"/>
    <w:tmpl w:val="C8BED5EE"/>
    <w:lvl w:ilvl="0" w:tplc="51D6EC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1F5D9D"/>
    <w:multiLevelType w:val="multilevel"/>
    <w:tmpl w:val="D3F4AE9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768" w:hanging="13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6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68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8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68" w:hanging="135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68" w:hanging="135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8" w:hanging="1350"/>
      </w:pPr>
      <w:rPr>
        <w:rFonts w:hint="default"/>
      </w:rPr>
    </w:lvl>
  </w:abstractNum>
  <w:abstractNum w:abstractNumId="6">
    <w:nsid w:val="29A6091E"/>
    <w:multiLevelType w:val="hybridMultilevel"/>
    <w:tmpl w:val="5A6A126A"/>
    <w:lvl w:ilvl="0" w:tplc="754C4DA6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C9B"/>
    <w:rsid w:val="0000346F"/>
    <w:rsid w:val="00006D36"/>
    <w:rsid w:val="000101E3"/>
    <w:rsid w:val="00010A4D"/>
    <w:rsid w:val="00014F74"/>
    <w:rsid w:val="00015CBC"/>
    <w:rsid w:val="00021D2F"/>
    <w:rsid w:val="00024198"/>
    <w:rsid w:val="000313AA"/>
    <w:rsid w:val="000376F3"/>
    <w:rsid w:val="00040D4D"/>
    <w:rsid w:val="00041C40"/>
    <w:rsid w:val="000449AE"/>
    <w:rsid w:val="000454ED"/>
    <w:rsid w:val="00045870"/>
    <w:rsid w:val="00046E8D"/>
    <w:rsid w:val="00047D80"/>
    <w:rsid w:val="00051E5A"/>
    <w:rsid w:val="00052366"/>
    <w:rsid w:val="0006038C"/>
    <w:rsid w:val="00062F42"/>
    <w:rsid w:val="000643E0"/>
    <w:rsid w:val="000644A4"/>
    <w:rsid w:val="00064809"/>
    <w:rsid w:val="00064958"/>
    <w:rsid w:val="00064F7C"/>
    <w:rsid w:val="00066420"/>
    <w:rsid w:val="00066B68"/>
    <w:rsid w:val="00067039"/>
    <w:rsid w:val="00071303"/>
    <w:rsid w:val="000759B6"/>
    <w:rsid w:val="00075B91"/>
    <w:rsid w:val="00076E60"/>
    <w:rsid w:val="000777E8"/>
    <w:rsid w:val="00077A69"/>
    <w:rsid w:val="00080440"/>
    <w:rsid w:val="00081F37"/>
    <w:rsid w:val="00087271"/>
    <w:rsid w:val="00090B42"/>
    <w:rsid w:val="000922D6"/>
    <w:rsid w:val="00093137"/>
    <w:rsid w:val="00093ED5"/>
    <w:rsid w:val="00096EE8"/>
    <w:rsid w:val="000A47CF"/>
    <w:rsid w:val="000A6BF3"/>
    <w:rsid w:val="000B0D19"/>
    <w:rsid w:val="000C560E"/>
    <w:rsid w:val="000C5C0D"/>
    <w:rsid w:val="000C637A"/>
    <w:rsid w:val="000C65BE"/>
    <w:rsid w:val="000C6A25"/>
    <w:rsid w:val="000D2C10"/>
    <w:rsid w:val="000D2D92"/>
    <w:rsid w:val="000D4DB4"/>
    <w:rsid w:val="000D56C8"/>
    <w:rsid w:val="000D71C7"/>
    <w:rsid w:val="000E32D4"/>
    <w:rsid w:val="000E3D5E"/>
    <w:rsid w:val="000E4422"/>
    <w:rsid w:val="000E62D3"/>
    <w:rsid w:val="000E67FF"/>
    <w:rsid w:val="000E730A"/>
    <w:rsid w:val="000F00A6"/>
    <w:rsid w:val="000F05A7"/>
    <w:rsid w:val="000F5CC5"/>
    <w:rsid w:val="001020CF"/>
    <w:rsid w:val="00102A8D"/>
    <w:rsid w:val="001046B7"/>
    <w:rsid w:val="00105361"/>
    <w:rsid w:val="00105410"/>
    <w:rsid w:val="0010577E"/>
    <w:rsid w:val="00105A8F"/>
    <w:rsid w:val="00105A93"/>
    <w:rsid w:val="001102AA"/>
    <w:rsid w:val="001111D2"/>
    <w:rsid w:val="00111A88"/>
    <w:rsid w:val="001120B8"/>
    <w:rsid w:val="001162A0"/>
    <w:rsid w:val="001173E8"/>
    <w:rsid w:val="00117597"/>
    <w:rsid w:val="001209D9"/>
    <w:rsid w:val="00120D00"/>
    <w:rsid w:val="001228D1"/>
    <w:rsid w:val="00123AFC"/>
    <w:rsid w:val="00124A68"/>
    <w:rsid w:val="00127045"/>
    <w:rsid w:val="00130FFA"/>
    <w:rsid w:val="00133478"/>
    <w:rsid w:val="0013395F"/>
    <w:rsid w:val="00133E8E"/>
    <w:rsid w:val="00134402"/>
    <w:rsid w:val="00134AD1"/>
    <w:rsid w:val="001365A5"/>
    <w:rsid w:val="00136F3C"/>
    <w:rsid w:val="001424AF"/>
    <w:rsid w:val="00143F82"/>
    <w:rsid w:val="00145B5B"/>
    <w:rsid w:val="001462B5"/>
    <w:rsid w:val="00153229"/>
    <w:rsid w:val="001532E8"/>
    <w:rsid w:val="00153309"/>
    <w:rsid w:val="00153960"/>
    <w:rsid w:val="001542C5"/>
    <w:rsid w:val="00155B9C"/>
    <w:rsid w:val="001561EC"/>
    <w:rsid w:val="00161825"/>
    <w:rsid w:val="0016300C"/>
    <w:rsid w:val="00164056"/>
    <w:rsid w:val="001644D5"/>
    <w:rsid w:val="00174878"/>
    <w:rsid w:val="001750FE"/>
    <w:rsid w:val="0017562D"/>
    <w:rsid w:val="001762AA"/>
    <w:rsid w:val="001801B6"/>
    <w:rsid w:val="00181B77"/>
    <w:rsid w:val="001842F1"/>
    <w:rsid w:val="00185818"/>
    <w:rsid w:val="0018590D"/>
    <w:rsid w:val="00185D40"/>
    <w:rsid w:val="001900A9"/>
    <w:rsid w:val="0019268D"/>
    <w:rsid w:val="00195335"/>
    <w:rsid w:val="001956F9"/>
    <w:rsid w:val="00195948"/>
    <w:rsid w:val="00197128"/>
    <w:rsid w:val="001A07E9"/>
    <w:rsid w:val="001A2B7B"/>
    <w:rsid w:val="001A2CB4"/>
    <w:rsid w:val="001A2EB5"/>
    <w:rsid w:val="001A3EA8"/>
    <w:rsid w:val="001A6DB9"/>
    <w:rsid w:val="001A74CF"/>
    <w:rsid w:val="001A7E57"/>
    <w:rsid w:val="001B38DA"/>
    <w:rsid w:val="001B3BB3"/>
    <w:rsid w:val="001B486D"/>
    <w:rsid w:val="001B7286"/>
    <w:rsid w:val="001C55E5"/>
    <w:rsid w:val="001D479C"/>
    <w:rsid w:val="001D4D36"/>
    <w:rsid w:val="001D69E2"/>
    <w:rsid w:val="001D79E0"/>
    <w:rsid w:val="001E1B4D"/>
    <w:rsid w:val="001E2C0B"/>
    <w:rsid w:val="001E3DFE"/>
    <w:rsid w:val="001E5588"/>
    <w:rsid w:val="001E67E5"/>
    <w:rsid w:val="001F0F95"/>
    <w:rsid w:val="001F18BD"/>
    <w:rsid w:val="001F1DFF"/>
    <w:rsid w:val="0020307B"/>
    <w:rsid w:val="00203630"/>
    <w:rsid w:val="00205105"/>
    <w:rsid w:val="002057C7"/>
    <w:rsid w:val="00212622"/>
    <w:rsid w:val="00215C1F"/>
    <w:rsid w:val="00217620"/>
    <w:rsid w:val="00220015"/>
    <w:rsid w:val="0022012C"/>
    <w:rsid w:val="00232163"/>
    <w:rsid w:val="002324DD"/>
    <w:rsid w:val="00236D1D"/>
    <w:rsid w:val="00241FF7"/>
    <w:rsid w:val="00242494"/>
    <w:rsid w:val="00253213"/>
    <w:rsid w:val="00260858"/>
    <w:rsid w:val="00260FCC"/>
    <w:rsid w:val="002622B5"/>
    <w:rsid w:val="00266090"/>
    <w:rsid w:val="0027259F"/>
    <w:rsid w:val="002773D4"/>
    <w:rsid w:val="002806A1"/>
    <w:rsid w:val="00286812"/>
    <w:rsid w:val="00286D80"/>
    <w:rsid w:val="002968B5"/>
    <w:rsid w:val="00297BD3"/>
    <w:rsid w:val="002A17C4"/>
    <w:rsid w:val="002A3879"/>
    <w:rsid w:val="002A39B1"/>
    <w:rsid w:val="002A502D"/>
    <w:rsid w:val="002A6AF0"/>
    <w:rsid w:val="002A75C7"/>
    <w:rsid w:val="002A7AB2"/>
    <w:rsid w:val="002B0521"/>
    <w:rsid w:val="002B2B10"/>
    <w:rsid w:val="002B5AAF"/>
    <w:rsid w:val="002B5E58"/>
    <w:rsid w:val="002C1DD3"/>
    <w:rsid w:val="002C20B4"/>
    <w:rsid w:val="002C2247"/>
    <w:rsid w:val="002C3476"/>
    <w:rsid w:val="002C46CE"/>
    <w:rsid w:val="002C53F0"/>
    <w:rsid w:val="002C61D9"/>
    <w:rsid w:val="002C6BA4"/>
    <w:rsid w:val="002D09BA"/>
    <w:rsid w:val="002D29A0"/>
    <w:rsid w:val="002D3AA9"/>
    <w:rsid w:val="002D6A6A"/>
    <w:rsid w:val="002D78D8"/>
    <w:rsid w:val="002D79DA"/>
    <w:rsid w:val="002E3BC0"/>
    <w:rsid w:val="002E60C2"/>
    <w:rsid w:val="002E7097"/>
    <w:rsid w:val="002F22F7"/>
    <w:rsid w:val="002F37FA"/>
    <w:rsid w:val="002F628E"/>
    <w:rsid w:val="003003DD"/>
    <w:rsid w:val="00301069"/>
    <w:rsid w:val="003032A6"/>
    <w:rsid w:val="00306C3D"/>
    <w:rsid w:val="00306F76"/>
    <w:rsid w:val="00312137"/>
    <w:rsid w:val="00313799"/>
    <w:rsid w:val="00313E0E"/>
    <w:rsid w:val="00317A8D"/>
    <w:rsid w:val="003211B8"/>
    <w:rsid w:val="00321415"/>
    <w:rsid w:val="00322764"/>
    <w:rsid w:val="00332E9E"/>
    <w:rsid w:val="00336A6E"/>
    <w:rsid w:val="00336C34"/>
    <w:rsid w:val="00336CF1"/>
    <w:rsid w:val="0034213F"/>
    <w:rsid w:val="00344BBE"/>
    <w:rsid w:val="003457E1"/>
    <w:rsid w:val="003469FA"/>
    <w:rsid w:val="00346F4B"/>
    <w:rsid w:val="003504E1"/>
    <w:rsid w:val="00352027"/>
    <w:rsid w:val="0035285A"/>
    <w:rsid w:val="00353AB8"/>
    <w:rsid w:val="00353EAF"/>
    <w:rsid w:val="003555FC"/>
    <w:rsid w:val="00355B89"/>
    <w:rsid w:val="003601AF"/>
    <w:rsid w:val="00360DBB"/>
    <w:rsid w:val="003621DC"/>
    <w:rsid w:val="003649DF"/>
    <w:rsid w:val="00364DAC"/>
    <w:rsid w:val="00371816"/>
    <w:rsid w:val="00372E8C"/>
    <w:rsid w:val="00373DC5"/>
    <w:rsid w:val="00376F29"/>
    <w:rsid w:val="0038103B"/>
    <w:rsid w:val="00382ED7"/>
    <w:rsid w:val="00383F98"/>
    <w:rsid w:val="00387D46"/>
    <w:rsid w:val="0039090B"/>
    <w:rsid w:val="00393A43"/>
    <w:rsid w:val="00394F2B"/>
    <w:rsid w:val="003A0BDD"/>
    <w:rsid w:val="003B26F5"/>
    <w:rsid w:val="003B7ABA"/>
    <w:rsid w:val="003B7AFA"/>
    <w:rsid w:val="003C135F"/>
    <w:rsid w:val="003C172F"/>
    <w:rsid w:val="003C3D19"/>
    <w:rsid w:val="003C7656"/>
    <w:rsid w:val="003C76B9"/>
    <w:rsid w:val="003D09B4"/>
    <w:rsid w:val="003E225F"/>
    <w:rsid w:val="003E3B57"/>
    <w:rsid w:val="003E6217"/>
    <w:rsid w:val="003E71CC"/>
    <w:rsid w:val="003F2281"/>
    <w:rsid w:val="003F2CDE"/>
    <w:rsid w:val="003F4FB3"/>
    <w:rsid w:val="0040221B"/>
    <w:rsid w:val="004022C0"/>
    <w:rsid w:val="00402B5F"/>
    <w:rsid w:val="00407683"/>
    <w:rsid w:val="004126DB"/>
    <w:rsid w:val="00412FA7"/>
    <w:rsid w:val="00413791"/>
    <w:rsid w:val="00422376"/>
    <w:rsid w:val="0043047C"/>
    <w:rsid w:val="0043052C"/>
    <w:rsid w:val="004314E9"/>
    <w:rsid w:val="004328E9"/>
    <w:rsid w:val="004356F8"/>
    <w:rsid w:val="004358C6"/>
    <w:rsid w:val="00437703"/>
    <w:rsid w:val="004402F6"/>
    <w:rsid w:val="0044120C"/>
    <w:rsid w:val="00442297"/>
    <w:rsid w:val="00443283"/>
    <w:rsid w:val="00447D5A"/>
    <w:rsid w:val="00456416"/>
    <w:rsid w:val="00460091"/>
    <w:rsid w:val="00461220"/>
    <w:rsid w:val="00462208"/>
    <w:rsid w:val="0046410B"/>
    <w:rsid w:val="004645EB"/>
    <w:rsid w:val="004660F9"/>
    <w:rsid w:val="00471733"/>
    <w:rsid w:val="00474A79"/>
    <w:rsid w:val="004771C2"/>
    <w:rsid w:val="004774EC"/>
    <w:rsid w:val="0048021F"/>
    <w:rsid w:val="00480536"/>
    <w:rsid w:val="0048717F"/>
    <w:rsid w:val="00491B13"/>
    <w:rsid w:val="00491C33"/>
    <w:rsid w:val="00493A5B"/>
    <w:rsid w:val="00495010"/>
    <w:rsid w:val="004A1A84"/>
    <w:rsid w:val="004A254A"/>
    <w:rsid w:val="004A2FF9"/>
    <w:rsid w:val="004A5541"/>
    <w:rsid w:val="004A57FF"/>
    <w:rsid w:val="004A5A38"/>
    <w:rsid w:val="004A67CB"/>
    <w:rsid w:val="004A799C"/>
    <w:rsid w:val="004B07B0"/>
    <w:rsid w:val="004B1C36"/>
    <w:rsid w:val="004B51AF"/>
    <w:rsid w:val="004B60A8"/>
    <w:rsid w:val="004B61CF"/>
    <w:rsid w:val="004B6C98"/>
    <w:rsid w:val="004B726F"/>
    <w:rsid w:val="004C0F41"/>
    <w:rsid w:val="004C1822"/>
    <w:rsid w:val="004C2247"/>
    <w:rsid w:val="004C2283"/>
    <w:rsid w:val="004C4172"/>
    <w:rsid w:val="004C6D7F"/>
    <w:rsid w:val="004D00D2"/>
    <w:rsid w:val="004D1068"/>
    <w:rsid w:val="004D478E"/>
    <w:rsid w:val="004E1542"/>
    <w:rsid w:val="004E1DE0"/>
    <w:rsid w:val="004E1E6A"/>
    <w:rsid w:val="004E2886"/>
    <w:rsid w:val="004E293C"/>
    <w:rsid w:val="004E3BC7"/>
    <w:rsid w:val="004E60D4"/>
    <w:rsid w:val="004E6253"/>
    <w:rsid w:val="004E674B"/>
    <w:rsid w:val="004F00D1"/>
    <w:rsid w:val="004F0175"/>
    <w:rsid w:val="004F2841"/>
    <w:rsid w:val="004F5640"/>
    <w:rsid w:val="004F644A"/>
    <w:rsid w:val="004F7215"/>
    <w:rsid w:val="00504664"/>
    <w:rsid w:val="00514A51"/>
    <w:rsid w:val="0051620F"/>
    <w:rsid w:val="00521E06"/>
    <w:rsid w:val="0052376D"/>
    <w:rsid w:val="005265AA"/>
    <w:rsid w:val="00530205"/>
    <w:rsid w:val="005333F1"/>
    <w:rsid w:val="0053376D"/>
    <w:rsid w:val="0053706D"/>
    <w:rsid w:val="00537F20"/>
    <w:rsid w:val="00541E7A"/>
    <w:rsid w:val="00542988"/>
    <w:rsid w:val="00546568"/>
    <w:rsid w:val="0055077D"/>
    <w:rsid w:val="005540F3"/>
    <w:rsid w:val="00557D48"/>
    <w:rsid w:val="00557E24"/>
    <w:rsid w:val="00560577"/>
    <w:rsid w:val="0056496D"/>
    <w:rsid w:val="005679EA"/>
    <w:rsid w:val="005708E7"/>
    <w:rsid w:val="00570B5E"/>
    <w:rsid w:val="00574792"/>
    <w:rsid w:val="00585ADC"/>
    <w:rsid w:val="005874E8"/>
    <w:rsid w:val="00590FBC"/>
    <w:rsid w:val="00591328"/>
    <w:rsid w:val="0059167F"/>
    <w:rsid w:val="00593087"/>
    <w:rsid w:val="00593F6C"/>
    <w:rsid w:val="005950C7"/>
    <w:rsid w:val="00596BC2"/>
    <w:rsid w:val="00597A56"/>
    <w:rsid w:val="005A355B"/>
    <w:rsid w:val="005A3B0F"/>
    <w:rsid w:val="005A4630"/>
    <w:rsid w:val="005A60CE"/>
    <w:rsid w:val="005A6D71"/>
    <w:rsid w:val="005A6F6C"/>
    <w:rsid w:val="005A7188"/>
    <w:rsid w:val="005A7DCF"/>
    <w:rsid w:val="005B1013"/>
    <w:rsid w:val="005B25AA"/>
    <w:rsid w:val="005B488A"/>
    <w:rsid w:val="005C0D01"/>
    <w:rsid w:val="005C1D0F"/>
    <w:rsid w:val="005C6862"/>
    <w:rsid w:val="005D5C40"/>
    <w:rsid w:val="005D5D1F"/>
    <w:rsid w:val="005E0A7D"/>
    <w:rsid w:val="005E0FA7"/>
    <w:rsid w:val="005E10CD"/>
    <w:rsid w:val="005E1312"/>
    <w:rsid w:val="005E37EB"/>
    <w:rsid w:val="005F28BA"/>
    <w:rsid w:val="005F39D7"/>
    <w:rsid w:val="005F3EE5"/>
    <w:rsid w:val="005F7B5F"/>
    <w:rsid w:val="005F7B7E"/>
    <w:rsid w:val="00601E08"/>
    <w:rsid w:val="006023D7"/>
    <w:rsid w:val="00602A44"/>
    <w:rsid w:val="0060628C"/>
    <w:rsid w:val="006066C0"/>
    <w:rsid w:val="00607EEC"/>
    <w:rsid w:val="0061202B"/>
    <w:rsid w:val="00612EF4"/>
    <w:rsid w:val="00623168"/>
    <w:rsid w:val="0062386C"/>
    <w:rsid w:val="00624980"/>
    <w:rsid w:val="00625375"/>
    <w:rsid w:val="0062597A"/>
    <w:rsid w:val="00626535"/>
    <w:rsid w:val="0062778F"/>
    <w:rsid w:val="00630397"/>
    <w:rsid w:val="00631132"/>
    <w:rsid w:val="00631F46"/>
    <w:rsid w:val="00636261"/>
    <w:rsid w:val="006372CA"/>
    <w:rsid w:val="00643A08"/>
    <w:rsid w:val="006457FD"/>
    <w:rsid w:val="00646C3B"/>
    <w:rsid w:val="00647618"/>
    <w:rsid w:val="006478CA"/>
    <w:rsid w:val="00650035"/>
    <w:rsid w:val="00650D43"/>
    <w:rsid w:val="0065314A"/>
    <w:rsid w:val="0065603E"/>
    <w:rsid w:val="00661A07"/>
    <w:rsid w:val="00663EA5"/>
    <w:rsid w:val="0066663D"/>
    <w:rsid w:val="0067180F"/>
    <w:rsid w:val="00672679"/>
    <w:rsid w:val="00672F27"/>
    <w:rsid w:val="00674B58"/>
    <w:rsid w:val="006754A1"/>
    <w:rsid w:val="00676E2D"/>
    <w:rsid w:val="0068064E"/>
    <w:rsid w:val="006809F4"/>
    <w:rsid w:val="00683262"/>
    <w:rsid w:val="0068539E"/>
    <w:rsid w:val="00685A3E"/>
    <w:rsid w:val="00685CD8"/>
    <w:rsid w:val="00686DAB"/>
    <w:rsid w:val="00690405"/>
    <w:rsid w:val="00691627"/>
    <w:rsid w:val="006969D1"/>
    <w:rsid w:val="00696AAE"/>
    <w:rsid w:val="006A0575"/>
    <w:rsid w:val="006A11FD"/>
    <w:rsid w:val="006A1B4D"/>
    <w:rsid w:val="006A2464"/>
    <w:rsid w:val="006A4D66"/>
    <w:rsid w:val="006A4FA4"/>
    <w:rsid w:val="006A5779"/>
    <w:rsid w:val="006A79F0"/>
    <w:rsid w:val="006A7B0E"/>
    <w:rsid w:val="006A7FA7"/>
    <w:rsid w:val="006B1F92"/>
    <w:rsid w:val="006B1FBC"/>
    <w:rsid w:val="006B64C0"/>
    <w:rsid w:val="006B7CBB"/>
    <w:rsid w:val="006C0568"/>
    <w:rsid w:val="006C0595"/>
    <w:rsid w:val="006C1F9C"/>
    <w:rsid w:val="006C555D"/>
    <w:rsid w:val="006D0561"/>
    <w:rsid w:val="006D26FA"/>
    <w:rsid w:val="006E2E9D"/>
    <w:rsid w:val="006E3473"/>
    <w:rsid w:val="006E4C45"/>
    <w:rsid w:val="006E5871"/>
    <w:rsid w:val="006E6D79"/>
    <w:rsid w:val="006F0935"/>
    <w:rsid w:val="006F0D7C"/>
    <w:rsid w:val="006F2D8C"/>
    <w:rsid w:val="006F7591"/>
    <w:rsid w:val="00701642"/>
    <w:rsid w:val="00705F26"/>
    <w:rsid w:val="00716633"/>
    <w:rsid w:val="007203C9"/>
    <w:rsid w:val="0072083A"/>
    <w:rsid w:val="007212B9"/>
    <w:rsid w:val="007240BF"/>
    <w:rsid w:val="007240ED"/>
    <w:rsid w:val="00724AE1"/>
    <w:rsid w:val="0072614A"/>
    <w:rsid w:val="00726586"/>
    <w:rsid w:val="007276A1"/>
    <w:rsid w:val="00730961"/>
    <w:rsid w:val="00735C65"/>
    <w:rsid w:val="00736822"/>
    <w:rsid w:val="00740B3E"/>
    <w:rsid w:val="00741832"/>
    <w:rsid w:val="00742191"/>
    <w:rsid w:val="0074359D"/>
    <w:rsid w:val="0074459C"/>
    <w:rsid w:val="00745B3E"/>
    <w:rsid w:val="00750861"/>
    <w:rsid w:val="0075277D"/>
    <w:rsid w:val="00753C50"/>
    <w:rsid w:val="007564C5"/>
    <w:rsid w:val="00756C3E"/>
    <w:rsid w:val="00757F5F"/>
    <w:rsid w:val="00763BC1"/>
    <w:rsid w:val="00767657"/>
    <w:rsid w:val="007708D7"/>
    <w:rsid w:val="00770B70"/>
    <w:rsid w:val="00771110"/>
    <w:rsid w:val="007711DB"/>
    <w:rsid w:val="00771747"/>
    <w:rsid w:val="0077666A"/>
    <w:rsid w:val="00776D58"/>
    <w:rsid w:val="00776F48"/>
    <w:rsid w:val="007810A0"/>
    <w:rsid w:val="00783576"/>
    <w:rsid w:val="007854D7"/>
    <w:rsid w:val="00785F35"/>
    <w:rsid w:val="00786F3B"/>
    <w:rsid w:val="007A37B3"/>
    <w:rsid w:val="007A45B6"/>
    <w:rsid w:val="007A45C6"/>
    <w:rsid w:val="007A4689"/>
    <w:rsid w:val="007B1109"/>
    <w:rsid w:val="007B35D2"/>
    <w:rsid w:val="007B6D73"/>
    <w:rsid w:val="007B7F52"/>
    <w:rsid w:val="007B7F9C"/>
    <w:rsid w:val="007C4877"/>
    <w:rsid w:val="007C4E38"/>
    <w:rsid w:val="007C6C67"/>
    <w:rsid w:val="007C7902"/>
    <w:rsid w:val="007E10D0"/>
    <w:rsid w:val="007E2E47"/>
    <w:rsid w:val="007E326C"/>
    <w:rsid w:val="007E3784"/>
    <w:rsid w:val="007E44F1"/>
    <w:rsid w:val="007F3173"/>
    <w:rsid w:val="007F39DA"/>
    <w:rsid w:val="007F43FA"/>
    <w:rsid w:val="007F4A29"/>
    <w:rsid w:val="007F4F27"/>
    <w:rsid w:val="007F5BD7"/>
    <w:rsid w:val="00800BF5"/>
    <w:rsid w:val="008017A5"/>
    <w:rsid w:val="00803757"/>
    <w:rsid w:val="008047EB"/>
    <w:rsid w:val="008058ED"/>
    <w:rsid w:val="00806C17"/>
    <w:rsid w:val="00810AFE"/>
    <w:rsid w:val="00813CC1"/>
    <w:rsid w:val="00821298"/>
    <w:rsid w:val="00821D7F"/>
    <w:rsid w:val="00821DBA"/>
    <w:rsid w:val="008254E6"/>
    <w:rsid w:val="00825839"/>
    <w:rsid w:val="00827ED8"/>
    <w:rsid w:val="00830192"/>
    <w:rsid w:val="0083170A"/>
    <w:rsid w:val="008325C9"/>
    <w:rsid w:val="008334F5"/>
    <w:rsid w:val="0083394B"/>
    <w:rsid w:val="00833D6A"/>
    <w:rsid w:val="00843061"/>
    <w:rsid w:val="00850F2B"/>
    <w:rsid w:val="0085108F"/>
    <w:rsid w:val="00854491"/>
    <w:rsid w:val="008547A1"/>
    <w:rsid w:val="00857C9F"/>
    <w:rsid w:val="008617CE"/>
    <w:rsid w:val="00861A23"/>
    <w:rsid w:val="008624CC"/>
    <w:rsid w:val="0086500E"/>
    <w:rsid w:val="00866DA5"/>
    <w:rsid w:val="0087080C"/>
    <w:rsid w:val="00871BB8"/>
    <w:rsid w:val="00872509"/>
    <w:rsid w:val="00872BE1"/>
    <w:rsid w:val="008738F2"/>
    <w:rsid w:val="008807A0"/>
    <w:rsid w:val="008828B4"/>
    <w:rsid w:val="00882E84"/>
    <w:rsid w:val="0088340E"/>
    <w:rsid w:val="00883EEA"/>
    <w:rsid w:val="008869D9"/>
    <w:rsid w:val="008912AC"/>
    <w:rsid w:val="00891C7E"/>
    <w:rsid w:val="00892B32"/>
    <w:rsid w:val="0089570F"/>
    <w:rsid w:val="00895EFE"/>
    <w:rsid w:val="0089604F"/>
    <w:rsid w:val="00896C19"/>
    <w:rsid w:val="008A07B3"/>
    <w:rsid w:val="008A2DC1"/>
    <w:rsid w:val="008A4C3B"/>
    <w:rsid w:val="008B1ADC"/>
    <w:rsid w:val="008B2ED6"/>
    <w:rsid w:val="008B431C"/>
    <w:rsid w:val="008B6D99"/>
    <w:rsid w:val="008D3E92"/>
    <w:rsid w:val="008D412D"/>
    <w:rsid w:val="008D64AD"/>
    <w:rsid w:val="008D702A"/>
    <w:rsid w:val="008E2831"/>
    <w:rsid w:val="008E2EB1"/>
    <w:rsid w:val="008E33F2"/>
    <w:rsid w:val="008E4228"/>
    <w:rsid w:val="008E4DFC"/>
    <w:rsid w:val="008E7114"/>
    <w:rsid w:val="008E7BC1"/>
    <w:rsid w:val="008F3457"/>
    <w:rsid w:val="00901CAD"/>
    <w:rsid w:val="00903D4B"/>
    <w:rsid w:val="009040F2"/>
    <w:rsid w:val="00911876"/>
    <w:rsid w:val="00915C34"/>
    <w:rsid w:val="00916319"/>
    <w:rsid w:val="00916EB9"/>
    <w:rsid w:val="00920EA0"/>
    <w:rsid w:val="00922FE4"/>
    <w:rsid w:val="00924268"/>
    <w:rsid w:val="00924B1E"/>
    <w:rsid w:val="00925796"/>
    <w:rsid w:val="00925A4F"/>
    <w:rsid w:val="00927210"/>
    <w:rsid w:val="009300BB"/>
    <w:rsid w:val="00930A18"/>
    <w:rsid w:val="00930C43"/>
    <w:rsid w:val="009328F9"/>
    <w:rsid w:val="00933856"/>
    <w:rsid w:val="00935B9C"/>
    <w:rsid w:val="00937427"/>
    <w:rsid w:val="0093779A"/>
    <w:rsid w:val="00940FBC"/>
    <w:rsid w:val="00951BB4"/>
    <w:rsid w:val="00953772"/>
    <w:rsid w:val="0095378F"/>
    <w:rsid w:val="00960351"/>
    <w:rsid w:val="0096402E"/>
    <w:rsid w:val="009662A0"/>
    <w:rsid w:val="00970844"/>
    <w:rsid w:val="00970E27"/>
    <w:rsid w:val="009735E1"/>
    <w:rsid w:val="0097373A"/>
    <w:rsid w:val="00974920"/>
    <w:rsid w:val="00974944"/>
    <w:rsid w:val="009754FF"/>
    <w:rsid w:val="0097655E"/>
    <w:rsid w:val="009770BD"/>
    <w:rsid w:val="00981BDA"/>
    <w:rsid w:val="00983056"/>
    <w:rsid w:val="009830E1"/>
    <w:rsid w:val="00983246"/>
    <w:rsid w:val="009834A7"/>
    <w:rsid w:val="009841B4"/>
    <w:rsid w:val="00987C5F"/>
    <w:rsid w:val="0099101B"/>
    <w:rsid w:val="009913DF"/>
    <w:rsid w:val="00992A72"/>
    <w:rsid w:val="00993860"/>
    <w:rsid w:val="00994F8B"/>
    <w:rsid w:val="00997425"/>
    <w:rsid w:val="009A2D38"/>
    <w:rsid w:val="009A35AB"/>
    <w:rsid w:val="009A3DBB"/>
    <w:rsid w:val="009A428F"/>
    <w:rsid w:val="009A46CC"/>
    <w:rsid w:val="009B5AFD"/>
    <w:rsid w:val="009C1443"/>
    <w:rsid w:val="009C31BF"/>
    <w:rsid w:val="009C3296"/>
    <w:rsid w:val="009C3D11"/>
    <w:rsid w:val="009C473C"/>
    <w:rsid w:val="009C4D87"/>
    <w:rsid w:val="009C5601"/>
    <w:rsid w:val="009C7FAA"/>
    <w:rsid w:val="009D0FB5"/>
    <w:rsid w:val="009D5E6B"/>
    <w:rsid w:val="009D6563"/>
    <w:rsid w:val="009D663F"/>
    <w:rsid w:val="009D7CA1"/>
    <w:rsid w:val="009E0C40"/>
    <w:rsid w:val="009E1A2A"/>
    <w:rsid w:val="009E2B29"/>
    <w:rsid w:val="009E43D7"/>
    <w:rsid w:val="009E470E"/>
    <w:rsid w:val="009E5CBC"/>
    <w:rsid w:val="009E6414"/>
    <w:rsid w:val="009F23B0"/>
    <w:rsid w:val="009F6EE1"/>
    <w:rsid w:val="00A00699"/>
    <w:rsid w:val="00A02495"/>
    <w:rsid w:val="00A03156"/>
    <w:rsid w:val="00A03F7F"/>
    <w:rsid w:val="00A041E3"/>
    <w:rsid w:val="00A0759B"/>
    <w:rsid w:val="00A13588"/>
    <w:rsid w:val="00A157DA"/>
    <w:rsid w:val="00A170ED"/>
    <w:rsid w:val="00A17256"/>
    <w:rsid w:val="00A230BE"/>
    <w:rsid w:val="00A23D51"/>
    <w:rsid w:val="00A24610"/>
    <w:rsid w:val="00A2481B"/>
    <w:rsid w:val="00A249E1"/>
    <w:rsid w:val="00A24E44"/>
    <w:rsid w:val="00A26C4A"/>
    <w:rsid w:val="00A26D22"/>
    <w:rsid w:val="00A2709C"/>
    <w:rsid w:val="00A3598D"/>
    <w:rsid w:val="00A37768"/>
    <w:rsid w:val="00A4367A"/>
    <w:rsid w:val="00A44047"/>
    <w:rsid w:val="00A45DB4"/>
    <w:rsid w:val="00A4696E"/>
    <w:rsid w:val="00A50F5B"/>
    <w:rsid w:val="00A51F94"/>
    <w:rsid w:val="00A52A42"/>
    <w:rsid w:val="00A53004"/>
    <w:rsid w:val="00A559E1"/>
    <w:rsid w:val="00A57786"/>
    <w:rsid w:val="00A6172B"/>
    <w:rsid w:val="00A6240B"/>
    <w:rsid w:val="00A63176"/>
    <w:rsid w:val="00A64475"/>
    <w:rsid w:val="00A66605"/>
    <w:rsid w:val="00A67FBD"/>
    <w:rsid w:val="00A74883"/>
    <w:rsid w:val="00A75DDD"/>
    <w:rsid w:val="00A75EA6"/>
    <w:rsid w:val="00A7629E"/>
    <w:rsid w:val="00A841D5"/>
    <w:rsid w:val="00A864D7"/>
    <w:rsid w:val="00A90333"/>
    <w:rsid w:val="00A90931"/>
    <w:rsid w:val="00A90B3A"/>
    <w:rsid w:val="00A96963"/>
    <w:rsid w:val="00A96A01"/>
    <w:rsid w:val="00A9714B"/>
    <w:rsid w:val="00AA0B2A"/>
    <w:rsid w:val="00AA120B"/>
    <w:rsid w:val="00AA262B"/>
    <w:rsid w:val="00AA379D"/>
    <w:rsid w:val="00AA766A"/>
    <w:rsid w:val="00AB1600"/>
    <w:rsid w:val="00AB20F4"/>
    <w:rsid w:val="00AB24A8"/>
    <w:rsid w:val="00AB7479"/>
    <w:rsid w:val="00AC23FA"/>
    <w:rsid w:val="00AC320F"/>
    <w:rsid w:val="00AC5600"/>
    <w:rsid w:val="00AC6663"/>
    <w:rsid w:val="00AC7C8B"/>
    <w:rsid w:val="00AD05D3"/>
    <w:rsid w:val="00AD2254"/>
    <w:rsid w:val="00AD561F"/>
    <w:rsid w:val="00AE208F"/>
    <w:rsid w:val="00AE2E3D"/>
    <w:rsid w:val="00AE5AD3"/>
    <w:rsid w:val="00AF3C8D"/>
    <w:rsid w:val="00AF4138"/>
    <w:rsid w:val="00AF652C"/>
    <w:rsid w:val="00B0290F"/>
    <w:rsid w:val="00B0706F"/>
    <w:rsid w:val="00B10CC8"/>
    <w:rsid w:val="00B111BC"/>
    <w:rsid w:val="00B11CDA"/>
    <w:rsid w:val="00B132AE"/>
    <w:rsid w:val="00B15C6A"/>
    <w:rsid w:val="00B17C6A"/>
    <w:rsid w:val="00B17D74"/>
    <w:rsid w:val="00B17EB8"/>
    <w:rsid w:val="00B2026D"/>
    <w:rsid w:val="00B2266C"/>
    <w:rsid w:val="00B2348C"/>
    <w:rsid w:val="00B23B99"/>
    <w:rsid w:val="00B24415"/>
    <w:rsid w:val="00B25575"/>
    <w:rsid w:val="00B266DC"/>
    <w:rsid w:val="00B3117C"/>
    <w:rsid w:val="00B334FE"/>
    <w:rsid w:val="00B33CFE"/>
    <w:rsid w:val="00B41009"/>
    <w:rsid w:val="00B41ED5"/>
    <w:rsid w:val="00B535E5"/>
    <w:rsid w:val="00B5449F"/>
    <w:rsid w:val="00B56787"/>
    <w:rsid w:val="00B5704F"/>
    <w:rsid w:val="00B7036A"/>
    <w:rsid w:val="00B75B20"/>
    <w:rsid w:val="00B80E34"/>
    <w:rsid w:val="00B80F94"/>
    <w:rsid w:val="00B84A6E"/>
    <w:rsid w:val="00B84E77"/>
    <w:rsid w:val="00B870F4"/>
    <w:rsid w:val="00B90DAF"/>
    <w:rsid w:val="00B914CC"/>
    <w:rsid w:val="00B9174D"/>
    <w:rsid w:val="00B91C28"/>
    <w:rsid w:val="00B926BD"/>
    <w:rsid w:val="00B93008"/>
    <w:rsid w:val="00B93965"/>
    <w:rsid w:val="00B964D1"/>
    <w:rsid w:val="00BA47A6"/>
    <w:rsid w:val="00BA6E2C"/>
    <w:rsid w:val="00BB2189"/>
    <w:rsid w:val="00BB2FEE"/>
    <w:rsid w:val="00BB44F4"/>
    <w:rsid w:val="00BC0A16"/>
    <w:rsid w:val="00BC2B42"/>
    <w:rsid w:val="00BD22DE"/>
    <w:rsid w:val="00BD3480"/>
    <w:rsid w:val="00BD3F3E"/>
    <w:rsid w:val="00BD5B0F"/>
    <w:rsid w:val="00BE082B"/>
    <w:rsid w:val="00BE1EB3"/>
    <w:rsid w:val="00BE6181"/>
    <w:rsid w:val="00BE7284"/>
    <w:rsid w:val="00BE772C"/>
    <w:rsid w:val="00C0057B"/>
    <w:rsid w:val="00C008E7"/>
    <w:rsid w:val="00C050ED"/>
    <w:rsid w:val="00C10682"/>
    <w:rsid w:val="00C11710"/>
    <w:rsid w:val="00C1512F"/>
    <w:rsid w:val="00C162E0"/>
    <w:rsid w:val="00C16D8E"/>
    <w:rsid w:val="00C170FB"/>
    <w:rsid w:val="00C23D4F"/>
    <w:rsid w:val="00C245C4"/>
    <w:rsid w:val="00C26B31"/>
    <w:rsid w:val="00C3061E"/>
    <w:rsid w:val="00C34B1E"/>
    <w:rsid w:val="00C360D2"/>
    <w:rsid w:val="00C3768E"/>
    <w:rsid w:val="00C44960"/>
    <w:rsid w:val="00C479AF"/>
    <w:rsid w:val="00C47A06"/>
    <w:rsid w:val="00C52252"/>
    <w:rsid w:val="00C6266E"/>
    <w:rsid w:val="00C6386F"/>
    <w:rsid w:val="00C63954"/>
    <w:rsid w:val="00C64569"/>
    <w:rsid w:val="00C64E41"/>
    <w:rsid w:val="00C65E02"/>
    <w:rsid w:val="00C703AF"/>
    <w:rsid w:val="00C779BB"/>
    <w:rsid w:val="00C8176A"/>
    <w:rsid w:val="00C81F01"/>
    <w:rsid w:val="00C85F62"/>
    <w:rsid w:val="00C8714F"/>
    <w:rsid w:val="00C92CC4"/>
    <w:rsid w:val="00C93011"/>
    <w:rsid w:val="00C93120"/>
    <w:rsid w:val="00C93218"/>
    <w:rsid w:val="00C95116"/>
    <w:rsid w:val="00C96C76"/>
    <w:rsid w:val="00CA06D0"/>
    <w:rsid w:val="00CA2677"/>
    <w:rsid w:val="00CA43D5"/>
    <w:rsid w:val="00CA5145"/>
    <w:rsid w:val="00CA6066"/>
    <w:rsid w:val="00CB280B"/>
    <w:rsid w:val="00CB2848"/>
    <w:rsid w:val="00CB5A9F"/>
    <w:rsid w:val="00CC1288"/>
    <w:rsid w:val="00CC17FC"/>
    <w:rsid w:val="00CC3C18"/>
    <w:rsid w:val="00CD2F66"/>
    <w:rsid w:val="00CD6D3A"/>
    <w:rsid w:val="00CD7AA3"/>
    <w:rsid w:val="00CE006C"/>
    <w:rsid w:val="00CE172A"/>
    <w:rsid w:val="00CE4840"/>
    <w:rsid w:val="00CE655E"/>
    <w:rsid w:val="00CE6D38"/>
    <w:rsid w:val="00CE7C9B"/>
    <w:rsid w:val="00CE7E56"/>
    <w:rsid w:val="00CF1181"/>
    <w:rsid w:val="00CF3603"/>
    <w:rsid w:val="00CF5C4B"/>
    <w:rsid w:val="00D0151A"/>
    <w:rsid w:val="00D0203F"/>
    <w:rsid w:val="00D036A3"/>
    <w:rsid w:val="00D0513A"/>
    <w:rsid w:val="00D07040"/>
    <w:rsid w:val="00D10D14"/>
    <w:rsid w:val="00D11D72"/>
    <w:rsid w:val="00D16A2B"/>
    <w:rsid w:val="00D22477"/>
    <w:rsid w:val="00D22CFE"/>
    <w:rsid w:val="00D23393"/>
    <w:rsid w:val="00D24088"/>
    <w:rsid w:val="00D26A43"/>
    <w:rsid w:val="00D30E30"/>
    <w:rsid w:val="00D30E82"/>
    <w:rsid w:val="00D35A1E"/>
    <w:rsid w:val="00D36E05"/>
    <w:rsid w:val="00D40C61"/>
    <w:rsid w:val="00D455D7"/>
    <w:rsid w:val="00D475C7"/>
    <w:rsid w:val="00D533AD"/>
    <w:rsid w:val="00D5518B"/>
    <w:rsid w:val="00D553C7"/>
    <w:rsid w:val="00D62AF8"/>
    <w:rsid w:val="00D6370D"/>
    <w:rsid w:val="00D63E1B"/>
    <w:rsid w:val="00D640CD"/>
    <w:rsid w:val="00D66ECE"/>
    <w:rsid w:val="00D70D29"/>
    <w:rsid w:val="00D70EC2"/>
    <w:rsid w:val="00D72150"/>
    <w:rsid w:val="00D74773"/>
    <w:rsid w:val="00D75587"/>
    <w:rsid w:val="00D77904"/>
    <w:rsid w:val="00D8386A"/>
    <w:rsid w:val="00D84688"/>
    <w:rsid w:val="00D8660A"/>
    <w:rsid w:val="00D90F08"/>
    <w:rsid w:val="00D9172F"/>
    <w:rsid w:val="00D92166"/>
    <w:rsid w:val="00D93506"/>
    <w:rsid w:val="00D96CF8"/>
    <w:rsid w:val="00D96D6E"/>
    <w:rsid w:val="00D9711D"/>
    <w:rsid w:val="00D97917"/>
    <w:rsid w:val="00DA2784"/>
    <w:rsid w:val="00DA41AA"/>
    <w:rsid w:val="00DA4EBC"/>
    <w:rsid w:val="00DA5FAA"/>
    <w:rsid w:val="00DA6AEB"/>
    <w:rsid w:val="00DB1530"/>
    <w:rsid w:val="00DB1D7B"/>
    <w:rsid w:val="00DB280B"/>
    <w:rsid w:val="00DB43E6"/>
    <w:rsid w:val="00DB47DC"/>
    <w:rsid w:val="00DB488F"/>
    <w:rsid w:val="00DB4FD6"/>
    <w:rsid w:val="00DC03AE"/>
    <w:rsid w:val="00DC299B"/>
    <w:rsid w:val="00DC684F"/>
    <w:rsid w:val="00DC685E"/>
    <w:rsid w:val="00DC7AAB"/>
    <w:rsid w:val="00DD0D8A"/>
    <w:rsid w:val="00DD12E7"/>
    <w:rsid w:val="00DD2811"/>
    <w:rsid w:val="00DD320E"/>
    <w:rsid w:val="00DD4BA6"/>
    <w:rsid w:val="00DD4F2C"/>
    <w:rsid w:val="00DD5B6A"/>
    <w:rsid w:val="00DE1F31"/>
    <w:rsid w:val="00DE3456"/>
    <w:rsid w:val="00E00D54"/>
    <w:rsid w:val="00E02124"/>
    <w:rsid w:val="00E03B66"/>
    <w:rsid w:val="00E06441"/>
    <w:rsid w:val="00E1473F"/>
    <w:rsid w:val="00E1560F"/>
    <w:rsid w:val="00E15791"/>
    <w:rsid w:val="00E16640"/>
    <w:rsid w:val="00E17928"/>
    <w:rsid w:val="00E226B5"/>
    <w:rsid w:val="00E2400C"/>
    <w:rsid w:val="00E27582"/>
    <w:rsid w:val="00E30F9E"/>
    <w:rsid w:val="00E31C3D"/>
    <w:rsid w:val="00E31DF1"/>
    <w:rsid w:val="00E323AA"/>
    <w:rsid w:val="00E356FE"/>
    <w:rsid w:val="00E35D77"/>
    <w:rsid w:val="00E40F0B"/>
    <w:rsid w:val="00E41D1E"/>
    <w:rsid w:val="00E4465E"/>
    <w:rsid w:val="00E461DA"/>
    <w:rsid w:val="00E46AD2"/>
    <w:rsid w:val="00E46D20"/>
    <w:rsid w:val="00E47042"/>
    <w:rsid w:val="00E47911"/>
    <w:rsid w:val="00E47B3F"/>
    <w:rsid w:val="00E47DCC"/>
    <w:rsid w:val="00E5254C"/>
    <w:rsid w:val="00E54500"/>
    <w:rsid w:val="00E54EBC"/>
    <w:rsid w:val="00E56885"/>
    <w:rsid w:val="00E57480"/>
    <w:rsid w:val="00E6050D"/>
    <w:rsid w:val="00E62223"/>
    <w:rsid w:val="00E62701"/>
    <w:rsid w:val="00E72C26"/>
    <w:rsid w:val="00E72E13"/>
    <w:rsid w:val="00E72E25"/>
    <w:rsid w:val="00E7313A"/>
    <w:rsid w:val="00E765E2"/>
    <w:rsid w:val="00E815C4"/>
    <w:rsid w:val="00E8193E"/>
    <w:rsid w:val="00E84772"/>
    <w:rsid w:val="00E848A0"/>
    <w:rsid w:val="00E86134"/>
    <w:rsid w:val="00E867D5"/>
    <w:rsid w:val="00E86D55"/>
    <w:rsid w:val="00E902A0"/>
    <w:rsid w:val="00E92E54"/>
    <w:rsid w:val="00E943C7"/>
    <w:rsid w:val="00E94693"/>
    <w:rsid w:val="00E95478"/>
    <w:rsid w:val="00E96073"/>
    <w:rsid w:val="00E968FB"/>
    <w:rsid w:val="00E96924"/>
    <w:rsid w:val="00E96F52"/>
    <w:rsid w:val="00EA03F4"/>
    <w:rsid w:val="00EA06D3"/>
    <w:rsid w:val="00EA30D7"/>
    <w:rsid w:val="00EA3178"/>
    <w:rsid w:val="00EA450B"/>
    <w:rsid w:val="00EA5E67"/>
    <w:rsid w:val="00EB06AF"/>
    <w:rsid w:val="00EB09E5"/>
    <w:rsid w:val="00EB539B"/>
    <w:rsid w:val="00EB5CDA"/>
    <w:rsid w:val="00EC2334"/>
    <w:rsid w:val="00EC3774"/>
    <w:rsid w:val="00EC4E09"/>
    <w:rsid w:val="00EC50B9"/>
    <w:rsid w:val="00EC7B79"/>
    <w:rsid w:val="00EC7C00"/>
    <w:rsid w:val="00ED27FF"/>
    <w:rsid w:val="00ED4185"/>
    <w:rsid w:val="00ED5A9C"/>
    <w:rsid w:val="00ED67BA"/>
    <w:rsid w:val="00EE35E1"/>
    <w:rsid w:val="00EE39B9"/>
    <w:rsid w:val="00EE6F4C"/>
    <w:rsid w:val="00EF012C"/>
    <w:rsid w:val="00EF0F65"/>
    <w:rsid w:val="00EF223A"/>
    <w:rsid w:val="00EF3370"/>
    <w:rsid w:val="00EF5879"/>
    <w:rsid w:val="00EF5FB7"/>
    <w:rsid w:val="00EF711A"/>
    <w:rsid w:val="00EF7D75"/>
    <w:rsid w:val="00EF7F41"/>
    <w:rsid w:val="00F0341F"/>
    <w:rsid w:val="00F0431C"/>
    <w:rsid w:val="00F04706"/>
    <w:rsid w:val="00F054E8"/>
    <w:rsid w:val="00F05B6F"/>
    <w:rsid w:val="00F07A05"/>
    <w:rsid w:val="00F10C09"/>
    <w:rsid w:val="00F21F8D"/>
    <w:rsid w:val="00F2605A"/>
    <w:rsid w:val="00F27306"/>
    <w:rsid w:val="00F27649"/>
    <w:rsid w:val="00F32D8E"/>
    <w:rsid w:val="00F36122"/>
    <w:rsid w:val="00F36A68"/>
    <w:rsid w:val="00F41CA8"/>
    <w:rsid w:val="00F43D9F"/>
    <w:rsid w:val="00F44FB8"/>
    <w:rsid w:val="00F469CD"/>
    <w:rsid w:val="00F56A1F"/>
    <w:rsid w:val="00F56B42"/>
    <w:rsid w:val="00F6479A"/>
    <w:rsid w:val="00F71144"/>
    <w:rsid w:val="00F717F1"/>
    <w:rsid w:val="00F749C3"/>
    <w:rsid w:val="00F81F84"/>
    <w:rsid w:val="00F83244"/>
    <w:rsid w:val="00F832D8"/>
    <w:rsid w:val="00F83772"/>
    <w:rsid w:val="00F84DFF"/>
    <w:rsid w:val="00F91070"/>
    <w:rsid w:val="00F91AEF"/>
    <w:rsid w:val="00F9270D"/>
    <w:rsid w:val="00F96B0F"/>
    <w:rsid w:val="00FA3B0E"/>
    <w:rsid w:val="00FA6A55"/>
    <w:rsid w:val="00FA7588"/>
    <w:rsid w:val="00FB19FD"/>
    <w:rsid w:val="00FB2B9F"/>
    <w:rsid w:val="00FB4FD4"/>
    <w:rsid w:val="00FB6CB7"/>
    <w:rsid w:val="00FB7CE6"/>
    <w:rsid w:val="00FC0DDD"/>
    <w:rsid w:val="00FC1DC4"/>
    <w:rsid w:val="00FC4E18"/>
    <w:rsid w:val="00FC510C"/>
    <w:rsid w:val="00FC56F0"/>
    <w:rsid w:val="00FD46EF"/>
    <w:rsid w:val="00FD767D"/>
    <w:rsid w:val="00FD77CD"/>
    <w:rsid w:val="00FE375F"/>
    <w:rsid w:val="00F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660A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866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866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786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FF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786"/>
    <w:rPr>
      <w:rFonts w:ascii="Calibri" w:eastAsia="Times New Roman" w:hAnsi="Calibri" w:cs="Times New Roman"/>
    </w:rPr>
  </w:style>
  <w:style w:type="paragraph" w:styleId="aa">
    <w:name w:val="Normal (Web)"/>
    <w:basedOn w:val="a"/>
    <w:link w:val="ab"/>
    <w:uiPriority w:val="99"/>
    <w:unhideWhenUsed/>
    <w:rsid w:val="005E0A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6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0577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C2247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8F345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F3457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basedOn w:val="a0"/>
    <w:uiPriority w:val="99"/>
    <w:unhideWhenUsed/>
    <w:rsid w:val="008F345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4126DB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4126DB"/>
    <w:rPr>
      <w:rFonts w:ascii="Calibri" w:eastAsia="Times New Roman" w:hAnsi="Calibri" w:cs="Times New Roman"/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4126DB"/>
    <w:rPr>
      <w:vertAlign w:val="superscript"/>
    </w:rPr>
  </w:style>
  <w:style w:type="paragraph" w:customStyle="1" w:styleId="ConsPlusNormal">
    <w:name w:val="ConsPlusNormal"/>
    <w:rsid w:val="00FA6A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1756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A2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Обычный (веб) Знак"/>
    <w:link w:val="aa"/>
    <w:uiPriority w:val="99"/>
    <w:rsid w:val="0006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96D6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6D6E"/>
    <w:rPr>
      <w:rFonts w:ascii="Calibri" w:eastAsia="Times New Roman" w:hAnsi="Calibri" w:cs="Times New Roman"/>
      <w:sz w:val="16"/>
      <w:szCs w:val="16"/>
    </w:rPr>
  </w:style>
  <w:style w:type="paragraph" w:styleId="af6">
    <w:name w:val="No Spacing"/>
    <w:basedOn w:val="a"/>
    <w:uiPriority w:val="1"/>
    <w:qFormat/>
    <w:rsid w:val="00930C43"/>
    <w:pPr>
      <w:spacing w:after="0" w:line="240" w:lineRule="auto"/>
    </w:pPr>
    <w:rPr>
      <w:rFonts w:eastAsiaTheme="minorHAns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660A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8660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8660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786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FF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786"/>
    <w:rPr>
      <w:rFonts w:ascii="Calibri" w:eastAsia="Times New Roman" w:hAnsi="Calibri" w:cs="Times New Roman"/>
    </w:rPr>
  </w:style>
  <w:style w:type="paragraph" w:styleId="aa">
    <w:name w:val="Normal (Web)"/>
    <w:basedOn w:val="a"/>
    <w:link w:val="ab"/>
    <w:uiPriority w:val="99"/>
    <w:unhideWhenUsed/>
    <w:rsid w:val="005E0A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6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60577"/>
    <w:rPr>
      <w:rFonts w:ascii="Tahoma" w:eastAsia="Times New Roman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2C2247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8F345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F3457"/>
    <w:rPr>
      <w:rFonts w:ascii="Calibri" w:eastAsia="Times New Roman" w:hAnsi="Calibri" w:cs="Times New Roman"/>
      <w:sz w:val="20"/>
      <w:szCs w:val="20"/>
    </w:rPr>
  </w:style>
  <w:style w:type="character" w:styleId="af1">
    <w:name w:val="footnote reference"/>
    <w:basedOn w:val="a0"/>
    <w:uiPriority w:val="99"/>
    <w:unhideWhenUsed/>
    <w:rsid w:val="008F3457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4126DB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4126DB"/>
    <w:rPr>
      <w:rFonts w:ascii="Calibri" w:eastAsia="Times New Roman" w:hAnsi="Calibri" w:cs="Times New Roman"/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4126DB"/>
    <w:rPr>
      <w:vertAlign w:val="superscript"/>
    </w:rPr>
  </w:style>
  <w:style w:type="paragraph" w:customStyle="1" w:styleId="ConsPlusNormal">
    <w:name w:val="ConsPlusNormal"/>
    <w:rsid w:val="00FA6A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5">
    <w:name w:val="Revision"/>
    <w:hidden/>
    <w:uiPriority w:val="99"/>
    <w:semiHidden/>
    <w:rsid w:val="0017562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A2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Обычный (веб) Знак"/>
    <w:link w:val="aa"/>
    <w:uiPriority w:val="99"/>
    <w:rsid w:val="0006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96D6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6D6E"/>
    <w:rPr>
      <w:rFonts w:ascii="Calibri" w:eastAsia="Times New Roman" w:hAnsi="Calibri" w:cs="Times New Roman"/>
      <w:sz w:val="16"/>
      <w:szCs w:val="16"/>
    </w:rPr>
  </w:style>
  <w:style w:type="paragraph" w:styleId="af6">
    <w:name w:val="No Spacing"/>
    <w:basedOn w:val="a"/>
    <w:uiPriority w:val="1"/>
    <w:qFormat/>
    <w:rsid w:val="00930C43"/>
    <w:pPr>
      <w:spacing w:after="0" w:line="240" w:lineRule="auto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_____Microsoft_Excel2.xlsx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package" Target="embeddings/_____Microsoft_Excel4.xls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package" Target="embeddings/_____Microsoft_Excel1.xlsx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package" Target="embeddings/_____Microsoft_Excel3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0DE71-7557-42F0-A1B9-C59AB1EC3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19</Pages>
  <Words>6616</Words>
  <Characters>37713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Ржанникова И.В.</dc:creator>
  <cp:lastModifiedBy>Суворова Ю.О.</cp:lastModifiedBy>
  <cp:revision>7</cp:revision>
  <cp:lastPrinted>2016-04-29T10:00:00Z</cp:lastPrinted>
  <dcterms:created xsi:type="dcterms:W3CDTF">2016-04-28T11:24:00Z</dcterms:created>
  <dcterms:modified xsi:type="dcterms:W3CDTF">2016-05-06T12:55:00Z</dcterms:modified>
</cp:coreProperties>
</file>