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4F2B32" w:rsidRPr="00F46B26" w:rsidTr="00E82199">
        <w:tc>
          <w:tcPr>
            <w:tcW w:w="5920" w:type="dxa"/>
          </w:tcPr>
          <w:p w:rsidR="00D57638" w:rsidRPr="00F46B26" w:rsidRDefault="00D57638" w:rsidP="00884D58"/>
        </w:tc>
        <w:tc>
          <w:tcPr>
            <w:tcW w:w="3651" w:type="dxa"/>
          </w:tcPr>
          <w:p w:rsidR="00D57638" w:rsidRPr="00F46B26" w:rsidRDefault="003D1B73" w:rsidP="009549F0">
            <w:pPr>
              <w:spacing w:line="240" w:lineRule="auto"/>
              <w:ind w:left="34" w:right="0" w:firstLine="850"/>
              <w:jc w:val="center"/>
              <w:rPr>
                <w:sz w:val="24"/>
                <w:szCs w:val="24"/>
              </w:rPr>
            </w:pPr>
            <w:r w:rsidRPr="00F46B26">
              <w:rPr>
                <w:sz w:val="24"/>
                <w:szCs w:val="24"/>
              </w:rPr>
              <w:t xml:space="preserve">Приложение № </w:t>
            </w:r>
            <w:r w:rsidR="00D4460C">
              <w:rPr>
                <w:sz w:val="24"/>
                <w:szCs w:val="24"/>
              </w:rPr>
              <w:t>5</w:t>
            </w:r>
          </w:p>
          <w:p w:rsidR="00D57638" w:rsidRPr="00F46B26" w:rsidRDefault="003C3DAA" w:rsidP="009549F0">
            <w:pPr>
              <w:spacing w:line="240" w:lineRule="auto"/>
              <w:ind w:left="34" w:right="0" w:firstLine="850"/>
              <w:jc w:val="center"/>
              <w:rPr>
                <w:sz w:val="24"/>
                <w:szCs w:val="24"/>
              </w:rPr>
            </w:pPr>
            <w:r w:rsidRPr="00F46B26">
              <w:rPr>
                <w:sz w:val="24"/>
                <w:szCs w:val="24"/>
              </w:rPr>
              <w:t>к аналитической записке</w:t>
            </w:r>
          </w:p>
          <w:p w:rsidR="00E82199" w:rsidRPr="00F46B26" w:rsidRDefault="00E82199" w:rsidP="00E82199">
            <w:pPr>
              <w:spacing w:line="240" w:lineRule="auto"/>
              <w:ind w:left="34" w:right="0" w:firstLine="850"/>
              <w:jc w:val="right"/>
              <w:rPr>
                <w:sz w:val="24"/>
                <w:szCs w:val="24"/>
              </w:rPr>
            </w:pPr>
          </w:p>
        </w:tc>
      </w:tr>
    </w:tbl>
    <w:p w:rsidR="004E4DA2" w:rsidRPr="00F46B26" w:rsidRDefault="004E4DA2" w:rsidP="004E4DA2">
      <w:pPr>
        <w:spacing w:line="240" w:lineRule="auto"/>
        <w:ind w:left="34" w:right="0" w:firstLine="850"/>
        <w:jc w:val="right"/>
        <w:rPr>
          <w:sz w:val="24"/>
          <w:szCs w:val="24"/>
        </w:rPr>
      </w:pPr>
      <w:r w:rsidRPr="00F46B26">
        <w:rPr>
          <w:sz w:val="24"/>
          <w:szCs w:val="24"/>
        </w:rPr>
        <w:t>Таблица 1</w:t>
      </w:r>
    </w:p>
    <w:p w:rsidR="004E4DA2" w:rsidRPr="00F46B26" w:rsidRDefault="004E4DA2" w:rsidP="004E4DA2">
      <w:pPr>
        <w:spacing w:line="372" w:lineRule="auto"/>
        <w:ind w:left="0" w:right="0" w:firstLine="0"/>
        <w:jc w:val="right"/>
        <w:rPr>
          <w:sz w:val="24"/>
          <w:szCs w:val="24"/>
        </w:rPr>
      </w:pPr>
    </w:p>
    <w:p w:rsidR="004E4DA2" w:rsidRPr="00F46B26" w:rsidRDefault="004E4DA2" w:rsidP="004E4DA2">
      <w:pPr>
        <w:spacing w:line="240" w:lineRule="auto"/>
        <w:ind w:left="34" w:right="0" w:hanging="34"/>
        <w:jc w:val="center"/>
        <w:rPr>
          <w:b/>
          <w:sz w:val="24"/>
          <w:szCs w:val="24"/>
        </w:rPr>
      </w:pPr>
      <w:r w:rsidRPr="00F46B26">
        <w:rPr>
          <w:b/>
          <w:sz w:val="24"/>
          <w:szCs w:val="24"/>
        </w:rPr>
        <w:t>Информация об изменении бюджетных ассигнований на реализацию</w:t>
      </w:r>
      <w:r w:rsidRPr="00F46B26">
        <w:rPr>
          <w:b/>
        </w:rPr>
        <w:t xml:space="preserve"> </w:t>
      </w:r>
      <w:r w:rsidRPr="00F46B26">
        <w:rPr>
          <w:b/>
          <w:sz w:val="24"/>
          <w:szCs w:val="24"/>
        </w:rPr>
        <w:t xml:space="preserve">государственных программ Российской Федерации в 2020 году </w:t>
      </w:r>
    </w:p>
    <w:p w:rsidR="004E4DA2" w:rsidRPr="00F46B26" w:rsidRDefault="004E4DA2" w:rsidP="004E4DA2">
      <w:pPr>
        <w:spacing w:line="240" w:lineRule="auto"/>
        <w:ind w:left="34" w:right="0" w:hanging="34"/>
        <w:jc w:val="center"/>
        <w:rPr>
          <w:b/>
          <w:sz w:val="24"/>
          <w:szCs w:val="24"/>
        </w:rPr>
      </w:pPr>
      <w:r w:rsidRPr="00F46B26">
        <w:rPr>
          <w:b/>
          <w:sz w:val="24"/>
          <w:szCs w:val="24"/>
        </w:rPr>
        <w:t>(в части открытых расходов)</w:t>
      </w:r>
    </w:p>
    <w:p w:rsidR="004E4DA2" w:rsidRPr="00F46B26" w:rsidRDefault="004E4DA2" w:rsidP="004E4DA2">
      <w:pPr>
        <w:spacing w:line="240" w:lineRule="auto"/>
        <w:ind w:left="0" w:right="0" w:firstLine="0"/>
        <w:jc w:val="right"/>
        <w:rPr>
          <w:rFonts w:eastAsia="Times New Roman"/>
          <w:b/>
          <w:sz w:val="24"/>
        </w:rPr>
      </w:pPr>
    </w:p>
    <w:p w:rsidR="004E4DA2" w:rsidRPr="00F46B26" w:rsidRDefault="004E4DA2" w:rsidP="004E4DA2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  <w:r w:rsidRPr="00F46B26">
        <w:rPr>
          <w:rFonts w:eastAsia="Times New Roman"/>
          <w:sz w:val="24"/>
        </w:rPr>
        <w:t>(млн. рублей)</w:t>
      </w:r>
    </w:p>
    <w:tbl>
      <w:tblPr>
        <w:tblW w:w="10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339"/>
        <w:gridCol w:w="1658"/>
        <w:gridCol w:w="1483"/>
        <w:gridCol w:w="1837"/>
      </w:tblGrid>
      <w:tr w:rsidR="004E4DA2" w:rsidRPr="00F46B26" w:rsidTr="00106B5F">
        <w:trPr>
          <w:trHeight w:val="1020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4E4DA2" w:rsidRPr="00F46B26" w:rsidRDefault="004E4DA2" w:rsidP="00356264">
            <w:pPr>
              <w:overflowPunct/>
              <w:autoSpaceDE/>
              <w:autoSpaceDN/>
              <w:adjustRightInd/>
              <w:spacing w:line="240" w:lineRule="auto"/>
              <w:ind w:left="-45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Федеральный закон </w:t>
            </w: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№ 380-ФЗ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Федеральный закон </w:t>
            </w: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№ 52-ФЗ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Федеральный закон </w:t>
            </w: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 xml:space="preserve">№ 380-ФЗ </w:t>
            </w: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(с изменениями)</w:t>
            </w:r>
          </w:p>
        </w:tc>
      </w:tr>
      <w:tr w:rsidR="004E4DA2" w:rsidRPr="00F46B26" w:rsidTr="00106B5F">
        <w:trPr>
          <w:trHeight w:val="480"/>
        </w:trPr>
        <w:tc>
          <w:tcPr>
            <w:tcW w:w="56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18"/>
              </w:rPr>
              <w:t>Расходы на реализацию госпрограмм (открытая часть)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12 015 887,4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283 161,7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12 299 049,1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НОВОЕ КАЧЕСТВО ЖИЗНИ (10 госпрограмм)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3 147 688,6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283 161,7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3 430 850,3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ЗДРАВООХРАНЕНИЯ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847 476,7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847 476,7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ОБРАЗОВАНИЯ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214 069,4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69 900,0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283 969,4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СОЦИАЛЬНАЯ ПОДДЕРЖКА ГРАЖДАН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1 465 044,5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213 261,7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1 678 306,1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ДОСТУПНАЯ СРЕДА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59 340,3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59 340,3</w:t>
            </w:r>
          </w:p>
        </w:tc>
      </w:tr>
      <w:tr w:rsidR="004E4DA2" w:rsidRPr="00F46B26" w:rsidTr="00106B5F">
        <w:trPr>
          <w:trHeight w:val="67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ОБЕСПЕЧЕНИЕ ДОСТУПНЫМ И КОМФОРТНЫМ ЖИЛЬЕМ И КОММУНАЛЬНЫМИ УСЛУГАМИ ГРАЖДАН РОССИЙСКОЙ ФЕДЕРАЦИИ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202 166,5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202 166,5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СОДЕЙСТВИЕ ЗАНЯТОСТИ НАСЕЛЕНИЯ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67 836,0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67 836,0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КУЛЬТУРЫ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137 594,9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137 594,9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ОХРАНА ОКРУЖАЮЩЕЙ СРЕДЫ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81 380,8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81 380,8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ФИЗИЧЕСКОЙ КУЛЬТУРЫ И СПОРТА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69 958,4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69 958,4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РЕАЛИЗАЦИЯ ГОСУДАРСТВЕННОЙ НАЦИОНАЛЬНОЙ ПОЛИТИКИ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2 821,1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2 821,1</w:t>
            </w:r>
          </w:p>
        </w:tc>
      </w:tr>
      <w:tr w:rsidR="004E4DA2" w:rsidRPr="00F46B26" w:rsidTr="00106B5F">
        <w:trPr>
          <w:trHeight w:val="48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B26">
              <w:rPr>
                <w:rFonts w:eastAsia="Times New Roman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ИННОВАЦИОННОЕ РАЗВИТИЕ И МОДЕРНИЗАЦИЯ ЭКОНОМИКИ (19 госпрограмм)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3 611 046,3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3 611 046,3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НАУЧНО-ТЕХНОЛОГИЧЕСКОЕ РАЗВИТИЕ РОССИЙСКОЙ ФЕДЕРАЦИИ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777 752,6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777 752,6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ЭКОНОМИЧЕСКОЕ РАЗВИТИЕ И ИННОВАЦИОННАЯ ЭКОНОМИКА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180 110,3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180 110,3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ПРОМЫШЛЕННОСТИ И ПОВЫШЕНИЕ ЕЕ КОНКУРЕНТОСПОСОБНОСТИ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484 548,5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484 548,5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ОБОРОННО-ПРОМЫШЛЕННОГО КОМПЛЕКСА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8 980,5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8 980,5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АВИАЦИОННОЙ ПРОМЫШЛЕННОСТИ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83 263,4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83 263,4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СУДОСТРОЕНИЯ И ТЕХНИКИ ДЛЯ ОСВОЕНИЯ ШЕЛЬФОВЫХ МЕСТОРОЖДЕНИЙ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17 172,7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17 172,7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ЭЛЕКТРОННОЙ И РАДИОЭЛЕКТРОННОЙ ПРОМЫШЛЕННОСТИ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9 910,1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9 910,1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ФАРМАЦЕВТИЧЕСКОЙ И МЕДИЦИНСКОЙ ПРОМЫШЛЕННОСТИ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11 278,0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11 278,0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КОСМИЧЕСКАЯ ДЕЯТЕЛЬНОСТЬ РОССИИ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198 195,8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198 195,8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АТОМНОГО ЭНЕРГОПРОМЫШЛЕННОГО КОМПЛЕКСА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101 984,8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101 984,8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ИНФОРМАЦИОННОЕ ОБЩЕСТВО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236 338,1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236 338,1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ТРАНСПОРТНОЙ СИСТЕМЫ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956 147,4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956 147,4</w:t>
            </w:r>
          </w:p>
        </w:tc>
      </w:tr>
      <w:tr w:rsidR="004E4DA2" w:rsidRPr="00F46B26" w:rsidTr="00106B5F">
        <w:trPr>
          <w:trHeight w:val="82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283 591,7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283 591,7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РЫБОХОЗЯЙСТВЕННОГО КОМПЛЕКСА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20 826,7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20 826,7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КОМПЛЕКСНОЕ РАЗВИТИЕ СЕЛЬСКИХ ТЕРРИТОРИЙ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35 946,2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35 946,2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ВНЕШНЕЭКОНОМИЧЕСКОЙ ДЕЯТЕЛЬНОСТИ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88 346,7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88 346,7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ВОСПРОИЗВОДСТВО И ИСПОЛЬЗОВАНИЕ ПРИРОДНЫХ РЕСУРСОВ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52 413,2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52 413,2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ЛЕСНОГО ХОЗЯЙСТВА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41 514,3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41 514,3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ЭНЕРГЕТИКИ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22 725,3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22 725,3</w:t>
            </w:r>
          </w:p>
        </w:tc>
      </w:tr>
      <w:tr w:rsidR="004E4DA2" w:rsidRPr="00F46B26" w:rsidTr="00106B5F">
        <w:trPr>
          <w:trHeight w:val="48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B26">
              <w:rPr>
                <w:rFonts w:eastAsia="Times New Roman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ОБЕСПЕЧЕНИЕ НАЦИОНАЛЬНОЙ БЕЗОПАСНОСТИ (5 госпрограмм)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2 438 671,0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2 438 671,0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ОБЕСПЕЧЕНИЕ ОБОРОНОСПОСОБНОСТИ СТРАНЫ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 xml:space="preserve"> 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1 497 022,6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1 497 022,6</w:t>
            </w:r>
          </w:p>
        </w:tc>
      </w:tr>
      <w:tr w:rsidR="004E4DA2" w:rsidRPr="00F46B26" w:rsidTr="00106B5F">
        <w:trPr>
          <w:trHeight w:val="31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ОБЕСПЕЧЕНИЕ ГОСУДАРСТВЕННОЙ БЕЗОПАСНОСТИ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 xml:space="preserve"> 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1 655,8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1 655,8</w:t>
            </w:r>
          </w:p>
        </w:tc>
      </w:tr>
      <w:tr w:rsidR="004E4DA2" w:rsidRPr="00F46B26" w:rsidTr="00106B5F">
        <w:trPr>
          <w:trHeight w:val="69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210 015,2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210 015,2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ОБЕСПЕЧЕНИЕ ОБЩЕСТВЕННОГО ПОРЯДКА И ПРОТИВОДЕЙСТВИЕ ПРЕСТУПНОСТИ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717 860,7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717 860,7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УПРАВЛЕНИЕ ГОСУДАРСТВЕННЫМ МАТЕРИАЛЬНЫМ РЕЗЕРВОМ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 xml:space="preserve"> 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12 116,7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12 116,7</w:t>
            </w:r>
          </w:p>
        </w:tc>
      </w:tr>
      <w:tr w:rsidR="004E4DA2" w:rsidRPr="00F46B26" w:rsidTr="00106B5F">
        <w:trPr>
          <w:trHeight w:val="5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B26">
              <w:rPr>
                <w:rFonts w:eastAsia="Times New Roman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СБАЛАНСИРОВАННОЕ РЕГИОНАЛЬНОЕ РАЗВИТИЕ (6 госпрограмм)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1 174 770,1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1 174 770,1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СОЦИАЛЬНО-ЭКОНОМИЧЕСКОЕ РАЗВИТИЕ ДАЛЬНЕВОСТОЧНОГО ФЕДЕРАЛЬНОГО ОКРУГА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54 067,9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54 067,9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СЕВЕРО-КАВКАЗСКОГО ФЕДЕРАЛЬНОГО ОКРУГА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14 133,6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14 133,6</w:t>
            </w:r>
          </w:p>
        </w:tc>
      </w:tr>
      <w:tr w:rsidR="004E4DA2" w:rsidRPr="00F46B26" w:rsidTr="00106B5F">
        <w:trPr>
          <w:trHeight w:val="83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945 212,1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945 212,1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СОЦИАЛЬНО-ЭКОНОМИЧЕСКОЕ РАЗВИТИЕ АРКТИЧЕСКОЙ ЗОНЫ РОССИЙСКОЙ ФЕДЕРАЦИИ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 xml:space="preserve"> 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165,1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165,1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СОЦИАЛЬНО-ЭКОНОМИЧЕСКОЕ РАЗВИТИЕ РЕСПУБЛИКИ КРЫМ И Г. СЕВАСТОПОЛЯ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102 653,1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102 653,1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СОЦИАЛЬНО-ЭКОНОМИЧЕСКОЕ РАЗВИТИЕ КАЛИНИНГРАДСКОЙ ОБЛАСТИ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58 538,3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58 538,3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B26">
              <w:rPr>
                <w:rFonts w:eastAsia="Times New Roman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ЭФФЕКТИВНОЕ ГОСУДАРСТВО (3 госпрограммы)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1 643 711,4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1 643 711,4</w:t>
            </w:r>
          </w:p>
        </w:tc>
      </w:tr>
      <w:tr w:rsidR="004E4DA2" w:rsidRPr="00F46B26" w:rsidTr="00106B5F">
        <w:trPr>
          <w:trHeight w:val="45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УПРАВЛЕНИЕ ГОСУДАРСТВЕННЫМИ ФИНАНСАМИ И РЕГУЛИРОВАНИЕ ФИНАНСОВЫХ РЫНКОВ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1 219 690,7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1 219 690,7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ВНЕШНЕПОЛИТИЧЕСКАЯ ДЕЯТЕЛЬНОСТЬ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 xml:space="preserve"> 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123 526,2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123 526,2</w:t>
            </w:r>
          </w:p>
        </w:tc>
      </w:tr>
      <w:tr w:rsidR="004E4DA2" w:rsidRPr="00F46B26" w:rsidTr="00106B5F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339" w:type="dxa"/>
            <w:shd w:val="clear" w:color="auto" w:fill="auto"/>
            <w:vAlign w:val="center"/>
            <w:hideMark/>
          </w:tcPr>
          <w:p w:rsidR="004E4DA2" w:rsidRPr="00F46B26" w:rsidRDefault="001870C0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ascii="Times New Roman CYR" w:eastAsia="Times New Roman" w:hAnsi="Times New Roman CYR" w:cs="Times New Roman CYR"/>
                <w:sz w:val="16"/>
                <w:szCs w:val="16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«</w:t>
            </w:r>
            <w:r w:rsidR="004E4DA2"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ЮСТИЦИЯ</w:t>
            </w:r>
            <w:r w:rsidRPr="00F46B26">
              <w:rPr>
                <w:rFonts w:ascii="Times New Roman CYR" w:eastAsia="Times New Roman" w:hAnsi="Times New Roman CYR" w:cs="Times New Roman CYR"/>
                <w:sz w:val="16"/>
                <w:szCs w:val="16"/>
              </w:rPr>
              <w:t>»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300 494,5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37" w:type="dxa"/>
            <w:shd w:val="clear" w:color="auto" w:fill="auto"/>
            <w:vAlign w:val="center"/>
            <w:hideMark/>
          </w:tcPr>
          <w:p w:rsidR="004E4DA2" w:rsidRPr="00F46B26" w:rsidRDefault="004E4DA2" w:rsidP="004E4DA2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F46B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300 494,5</w:t>
            </w:r>
          </w:p>
        </w:tc>
      </w:tr>
    </w:tbl>
    <w:p w:rsidR="00010D2A" w:rsidRPr="00F46B26" w:rsidRDefault="00010D2A" w:rsidP="004E4DA2">
      <w:pPr>
        <w:spacing w:line="240" w:lineRule="auto"/>
        <w:ind w:left="34" w:right="0" w:firstLine="850"/>
        <w:jc w:val="right"/>
        <w:rPr>
          <w:sz w:val="24"/>
          <w:szCs w:val="24"/>
        </w:rPr>
      </w:pPr>
    </w:p>
    <w:p w:rsidR="004E4DA2" w:rsidRPr="00F46B26" w:rsidRDefault="004E4DA2" w:rsidP="004E4DA2">
      <w:pPr>
        <w:spacing w:line="240" w:lineRule="auto"/>
        <w:ind w:left="34" w:right="0" w:firstLine="850"/>
        <w:jc w:val="right"/>
        <w:rPr>
          <w:sz w:val="24"/>
          <w:szCs w:val="24"/>
        </w:rPr>
      </w:pPr>
      <w:r w:rsidRPr="00F46B26">
        <w:rPr>
          <w:sz w:val="24"/>
          <w:szCs w:val="24"/>
        </w:rPr>
        <w:t>Таблица 2</w:t>
      </w:r>
    </w:p>
    <w:p w:rsidR="004E4DA2" w:rsidRPr="00F46B26" w:rsidRDefault="004E4DA2" w:rsidP="001A59C6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</w:p>
    <w:p w:rsidR="005A16CE" w:rsidRPr="00F46B26" w:rsidRDefault="00B04587" w:rsidP="005A16CE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 w:rsidRPr="00F46B26">
        <w:rPr>
          <w:rFonts w:eastAsia="Times New Roman"/>
          <w:b/>
          <w:sz w:val="24"/>
        </w:rPr>
        <w:t>Н</w:t>
      </w:r>
      <w:r w:rsidR="00442674" w:rsidRPr="00F46B26">
        <w:rPr>
          <w:rFonts w:eastAsia="Times New Roman"/>
          <w:b/>
          <w:sz w:val="24"/>
        </w:rPr>
        <w:t xml:space="preserve">едостатки, выявленные при </w:t>
      </w:r>
      <w:r w:rsidRPr="00F46B26">
        <w:rPr>
          <w:rFonts w:eastAsia="Times New Roman"/>
          <w:b/>
          <w:sz w:val="24"/>
        </w:rPr>
        <w:t xml:space="preserve">реализации </w:t>
      </w:r>
      <w:r w:rsidR="005A16CE" w:rsidRPr="00F46B26">
        <w:rPr>
          <w:rFonts w:eastAsia="Times New Roman"/>
          <w:b/>
          <w:sz w:val="24"/>
          <w:szCs w:val="24"/>
        </w:rPr>
        <w:t>отдельных госпрограмм</w:t>
      </w:r>
    </w:p>
    <w:p w:rsidR="005A16CE" w:rsidRPr="00F46B26" w:rsidRDefault="005A16CE" w:rsidP="005A16CE">
      <w:pPr>
        <w:spacing w:line="240" w:lineRule="auto"/>
        <w:ind w:left="0" w:right="0" w:firstLine="0"/>
        <w:jc w:val="right"/>
        <w:rPr>
          <w:rFonts w:eastAsia="Times New Roman"/>
          <w:sz w:val="24"/>
          <w:szCs w:val="24"/>
        </w:rPr>
      </w:pPr>
    </w:p>
    <w:tbl>
      <w:tblPr>
        <w:tblStyle w:val="af0"/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8079"/>
      </w:tblGrid>
      <w:tr w:rsidR="00F46B26" w:rsidRPr="00F46B26" w:rsidTr="00307AC2">
        <w:trPr>
          <w:tblHeader/>
        </w:trPr>
        <w:tc>
          <w:tcPr>
            <w:tcW w:w="567" w:type="dxa"/>
          </w:tcPr>
          <w:p w:rsidR="005A16CE" w:rsidRPr="00F46B26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46B26">
              <w:rPr>
                <w:rFonts w:eastAsia="Times New Roman"/>
                <w:b/>
                <w:sz w:val="20"/>
                <w:szCs w:val="20"/>
              </w:rPr>
              <w:t>№ п</w:t>
            </w:r>
            <w:r w:rsidRPr="00F46B26">
              <w:rPr>
                <w:rFonts w:eastAsia="Times New Roman"/>
                <w:b/>
                <w:sz w:val="20"/>
                <w:szCs w:val="20"/>
                <w:lang w:val="en-US"/>
              </w:rPr>
              <w:t>/</w:t>
            </w:r>
            <w:r w:rsidRPr="00F46B26">
              <w:rPr>
                <w:rFonts w:eastAsia="Times New Roman"/>
                <w:b/>
                <w:sz w:val="20"/>
                <w:szCs w:val="20"/>
              </w:rPr>
              <w:t>п</w:t>
            </w:r>
          </w:p>
        </w:tc>
        <w:tc>
          <w:tcPr>
            <w:tcW w:w="2269" w:type="dxa"/>
          </w:tcPr>
          <w:p w:rsidR="002078B8" w:rsidRPr="00F46B26" w:rsidRDefault="005A16CE" w:rsidP="0035626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46B26">
              <w:rPr>
                <w:rFonts w:eastAsia="Times New Roman"/>
                <w:b/>
                <w:sz w:val="20"/>
                <w:szCs w:val="20"/>
              </w:rPr>
              <w:t xml:space="preserve">Наименование государственной программы </w:t>
            </w:r>
          </w:p>
          <w:p w:rsidR="005A16CE" w:rsidRPr="00F46B26" w:rsidRDefault="005A16CE" w:rsidP="0035626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46B26">
              <w:rPr>
                <w:rFonts w:eastAsia="Times New Roman"/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8079" w:type="dxa"/>
            <w:vAlign w:val="center"/>
          </w:tcPr>
          <w:p w:rsidR="00BA63AB" w:rsidRPr="00F46B26" w:rsidRDefault="005A16CE" w:rsidP="0035626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46B26">
              <w:rPr>
                <w:rFonts w:eastAsia="Times New Roman"/>
                <w:b/>
                <w:sz w:val="20"/>
                <w:szCs w:val="20"/>
              </w:rPr>
              <w:t>Недостатки, выявленные в ходе реализации государственной программы</w:t>
            </w:r>
          </w:p>
          <w:p w:rsidR="005A16CE" w:rsidRPr="00F46B26" w:rsidRDefault="005A16CE" w:rsidP="0035626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46B26">
              <w:rPr>
                <w:rFonts w:eastAsia="Times New Roman"/>
                <w:b/>
                <w:sz w:val="20"/>
                <w:szCs w:val="20"/>
              </w:rPr>
              <w:t>Российской Федерации</w:t>
            </w:r>
          </w:p>
        </w:tc>
      </w:tr>
      <w:tr w:rsidR="00F46B26" w:rsidRPr="00F46B26" w:rsidTr="00307AC2">
        <w:tc>
          <w:tcPr>
            <w:tcW w:w="567" w:type="dxa"/>
          </w:tcPr>
          <w:p w:rsidR="005A16CE" w:rsidRPr="00DF5056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F505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</w:tcPr>
          <w:p w:rsidR="005A16CE" w:rsidRPr="00DF5056" w:rsidRDefault="001870C0" w:rsidP="0079491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DF5056">
              <w:rPr>
                <w:sz w:val="20"/>
                <w:szCs w:val="20"/>
              </w:rPr>
              <w:t>«</w:t>
            </w:r>
            <w:r w:rsidR="005A16CE" w:rsidRPr="00DF5056">
              <w:rPr>
                <w:sz w:val="20"/>
                <w:szCs w:val="20"/>
              </w:rPr>
              <w:t>Развитие здравоохранения</w:t>
            </w:r>
            <w:r w:rsidRPr="00DF5056">
              <w:rPr>
                <w:sz w:val="20"/>
                <w:szCs w:val="20"/>
              </w:rPr>
              <w:t>»</w:t>
            </w:r>
          </w:p>
        </w:tc>
        <w:tc>
          <w:tcPr>
            <w:tcW w:w="8079" w:type="dxa"/>
          </w:tcPr>
          <w:p w:rsidR="008D1635" w:rsidRPr="00074598" w:rsidRDefault="00004EA1" w:rsidP="008D1635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По</w:t>
            </w:r>
            <w:r w:rsidR="005A16CE" w:rsidRPr="00074598">
              <w:rPr>
                <w:bCs/>
                <w:sz w:val="20"/>
                <w:szCs w:val="24"/>
              </w:rPr>
              <w:t xml:space="preserve"> госпрограмм</w:t>
            </w:r>
            <w:r w:rsidRPr="00074598">
              <w:rPr>
                <w:bCs/>
                <w:sz w:val="20"/>
                <w:szCs w:val="24"/>
              </w:rPr>
              <w:t>е</w:t>
            </w:r>
            <w:r w:rsidR="005A16CE" w:rsidRPr="00074598">
              <w:rPr>
                <w:bCs/>
                <w:sz w:val="20"/>
                <w:szCs w:val="24"/>
              </w:rPr>
              <w:t xml:space="preserve"> </w:t>
            </w:r>
            <w:r w:rsidR="001870C0" w:rsidRPr="00074598">
              <w:rPr>
                <w:b/>
                <w:bCs/>
                <w:sz w:val="20"/>
                <w:szCs w:val="24"/>
              </w:rPr>
              <w:t>«</w:t>
            </w:r>
            <w:r w:rsidR="005A16CE" w:rsidRPr="00074598">
              <w:rPr>
                <w:b/>
                <w:bCs/>
                <w:sz w:val="20"/>
                <w:szCs w:val="24"/>
              </w:rPr>
              <w:t>Развитие здравоохранения</w:t>
            </w:r>
            <w:r w:rsidR="001870C0" w:rsidRPr="00074598">
              <w:rPr>
                <w:b/>
                <w:bCs/>
                <w:sz w:val="20"/>
                <w:szCs w:val="24"/>
              </w:rPr>
              <w:t>»</w:t>
            </w:r>
            <w:r w:rsidR="005A16CE" w:rsidRPr="00074598">
              <w:rPr>
                <w:bCs/>
                <w:sz w:val="20"/>
                <w:szCs w:val="24"/>
              </w:rPr>
              <w:t xml:space="preserve"> </w:t>
            </w:r>
            <w:r w:rsidR="00835FCE" w:rsidRPr="00074598">
              <w:rPr>
                <w:bCs/>
                <w:sz w:val="20"/>
                <w:szCs w:val="24"/>
              </w:rPr>
              <w:t xml:space="preserve">исполнение расходов составило </w:t>
            </w:r>
            <w:r w:rsidR="008D1635" w:rsidRPr="00074598">
              <w:rPr>
                <w:bCs/>
                <w:sz w:val="20"/>
                <w:szCs w:val="24"/>
              </w:rPr>
              <w:t>72,4</w:t>
            </w:r>
            <w:r w:rsidR="00835FCE" w:rsidRPr="00074598">
              <w:rPr>
                <w:bCs/>
                <w:sz w:val="20"/>
                <w:szCs w:val="24"/>
              </w:rPr>
              <w:t> % показателя сводной росписи с изменениями</w:t>
            </w:r>
            <w:r w:rsidR="008D1635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(65,6</w:t>
            </w:r>
            <w:r w:rsidR="00CB202B" w:rsidRPr="00074598">
              <w:rPr>
                <w:bCs/>
                <w:sz w:val="20"/>
                <w:szCs w:val="24"/>
              </w:rPr>
              <w:t> </w:t>
            </w:r>
            <w:r w:rsidR="008D1635" w:rsidRPr="00074598">
              <w:rPr>
                <w:bCs/>
                <w:sz w:val="20"/>
                <w:szCs w:val="24"/>
              </w:rPr>
              <w:t xml:space="preserve">%). </w:t>
            </w:r>
          </w:p>
          <w:p w:rsidR="00847F2D" w:rsidRPr="00074598" w:rsidRDefault="00FE2699" w:rsidP="00847F2D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proofErr w:type="gramStart"/>
            <w:r w:rsidRPr="00074598">
              <w:rPr>
                <w:bCs/>
                <w:sz w:val="20"/>
                <w:szCs w:val="24"/>
              </w:rPr>
              <w:t>Наиболее низк</w:t>
            </w:r>
            <w:r w:rsidR="00AF6AA1" w:rsidRPr="00074598">
              <w:rPr>
                <w:bCs/>
                <w:sz w:val="20"/>
                <w:szCs w:val="24"/>
              </w:rPr>
              <w:t>ий</w:t>
            </w:r>
            <w:r w:rsidRPr="00074598">
              <w:rPr>
                <w:bCs/>
                <w:sz w:val="20"/>
                <w:szCs w:val="24"/>
              </w:rPr>
              <w:t xml:space="preserve"> </w:t>
            </w:r>
            <w:r w:rsidR="00AF6AA1" w:rsidRPr="00074598">
              <w:rPr>
                <w:bCs/>
                <w:sz w:val="20"/>
                <w:szCs w:val="24"/>
              </w:rPr>
              <w:t>уровень</w:t>
            </w:r>
            <w:r w:rsidRPr="00074598">
              <w:rPr>
                <w:bCs/>
                <w:sz w:val="20"/>
                <w:szCs w:val="24"/>
              </w:rPr>
              <w:t xml:space="preserve"> исполнени</w:t>
            </w:r>
            <w:r w:rsidR="00AF6AA1" w:rsidRPr="00074598">
              <w:rPr>
                <w:bCs/>
                <w:sz w:val="20"/>
                <w:szCs w:val="24"/>
              </w:rPr>
              <w:t>я</w:t>
            </w:r>
            <w:r w:rsidRPr="00074598">
              <w:rPr>
                <w:bCs/>
                <w:sz w:val="20"/>
                <w:szCs w:val="24"/>
              </w:rPr>
              <w:t xml:space="preserve"> сложил</w:t>
            </w:r>
            <w:r w:rsidR="00AF6AA1" w:rsidRPr="00074598">
              <w:rPr>
                <w:bCs/>
                <w:sz w:val="20"/>
                <w:szCs w:val="24"/>
              </w:rPr>
              <w:t>ся</w:t>
            </w:r>
            <w:r w:rsidRPr="00074598">
              <w:rPr>
                <w:bCs/>
                <w:sz w:val="20"/>
                <w:szCs w:val="24"/>
              </w:rPr>
              <w:t xml:space="preserve"> по подпрограмме </w:t>
            </w:r>
            <w:r w:rsidR="00847F2D" w:rsidRPr="00074598">
              <w:rPr>
                <w:bCs/>
                <w:sz w:val="20"/>
                <w:szCs w:val="24"/>
              </w:rPr>
              <w:t xml:space="preserve">«Информационные технологии и управление развитием отрасли» </w:t>
            </w:r>
            <w:r w:rsidR="00B8704D" w:rsidRPr="00074598">
              <w:rPr>
                <w:bCs/>
                <w:sz w:val="20"/>
                <w:szCs w:val="24"/>
              </w:rPr>
              <w:t>(</w:t>
            </w:r>
            <w:r w:rsidR="00847F2D" w:rsidRPr="00074598">
              <w:rPr>
                <w:bCs/>
                <w:sz w:val="20"/>
                <w:szCs w:val="24"/>
              </w:rPr>
              <w:t xml:space="preserve">41,3% </w:t>
            </w:r>
            <w:r w:rsidR="00B8704D" w:rsidRPr="00074598">
              <w:rPr>
                <w:bCs/>
                <w:sz w:val="20"/>
                <w:szCs w:val="24"/>
              </w:rPr>
              <w:t>показателя сводной росписи с изменениями)</w:t>
            </w:r>
            <w:r w:rsidR="00847F2D" w:rsidRPr="00074598">
              <w:rPr>
                <w:bCs/>
                <w:sz w:val="20"/>
                <w:szCs w:val="24"/>
              </w:rPr>
              <w:t xml:space="preserve">, что обусловлено низким уровнем исполнения расходов на предоставление </w:t>
            </w:r>
            <w:r w:rsidR="00847F2D" w:rsidRPr="00074598">
              <w:rPr>
                <w:bCs/>
                <w:sz w:val="20"/>
                <w:szCs w:val="24"/>
              </w:rPr>
              <w:lastRenderedPageBreak/>
              <w:t xml:space="preserve">субсидий, за исключением субсидий на </w:t>
            </w:r>
            <w:proofErr w:type="spellStart"/>
            <w:r w:rsidR="00847F2D" w:rsidRPr="00074598">
              <w:rPr>
                <w:bCs/>
                <w:sz w:val="20"/>
                <w:szCs w:val="24"/>
              </w:rPr>
              <w:t>софинансирование</w:t>
            </w:r>
            <w:proofErr w:type="spellEnd"/>
            <w:r w:rsidR="00847F2D" w:rsidRPr="00074598">
              <w:rPr>
                <w:bCs/>
                <w:sz w:val="20"/>
                <w:szCs w:val="24"/>
              </w:rPr>
              <w:t xml:space="preserve"> капитальных вложений в объекты государственной (муниципальной) собственности (35,4</w:t>
            </w:r>
            <w:r w:rsidR="00BC517B" w:rsidRPr="00074598">
              <w:rPr>
                <w:bCs/>
                <w:sz w:val="20"/>
                <w:szCs w:val="24"/>
              </w:rPr>
              <w:t> %</w:t>
            </w:r>
            <w:r w:rsidR="00847F2D" w:rsidRPr="00074598">
              <w:rPr>
                <w:bCs/>
                <w:sz w:val="20"/>
                <w:szCs w:val="24"/>
              </w:rPr>
              <w:t>), а также на закупку товаров, работ, услуг в сфере информационно-</w:t>
            </w:r>
            <w:r w:rsidR="00BC517B" w:rsidRPr="00074598">
              <w:rPr>
                <w:bCs/>
                <w:sz w:val="20"/>
                <w:szCs w:val="24"/>
              </w:rPr>
              <w:t>коммуникационных технологий (30 </w:t>
            </w:r>
            <w:r w:rsidR="00847F2D" w:rsidRPr="00074598">
              <w:rPr>
                <w:bCs/>
                <w:sz w:val="20"/>
                <w:szCs w:val="24"/>
              </w:rPr>
              <w:t>%).</w:t>
            </w:r>
            <w:proofErr w:type="gramEnd"/>
            <w:r w:rsidR="00BC517B" w:rsidRPr="00074598">
              <w:rPr>
                <w:bCs/>
                <w:sz w:val="20"/>
                <w:szCs w:val="24"/>
              </w:rPr>
              <w:t xml:space="preserve"> Это связано с</w:t>
            </w:r>
            <w:r w:rsidR="00847F2D" w:rsidRPr="00074598">
              <w:rPr>
                <w:bCs/>
                <w:sz w:val="20"/>
                <w:szCs w:val="24"/>
              </w:rPr>
              <w:t xml:space="preserve"> ситуаци</w:t>
            </w:r>
            <w:r w:rsidR="00BC517B" w:rsidRPr="00074598">
              <w:rPr>
                <w:bCs/>
                <w:sz w:val="20"/>
                <w:szCs w:val="24"/>
              </w:rPr>
              <w:t>ей</w:t>
            </w:r>
            <w:r w:rsidR="00847F2D" w:rsidRPr="00074598">
              <w:rPr>
                <w:bCs/>
                <w:sz w:val="20"/>
                <w:szCs w:val="24"/>
              </w:rPr>
              <w:t xml:space="preserve"> на внешнем рынке, существенны</w:t>
            </w:r>
            <w:r w:rsidR="00BC517B" w:rsidRPr="00074598">
              <w:rPr>
                <w:bCs/>
                <w:sz w:val="20"/>
                <w:szCs w:val="24"/>
              </w:rPr>
              <w:t>м</w:t>
            </w:r>
            <w:r w:rsidR="00847F2D" w:rsidRPr="00074598">
              <w:rPr>
                <w:bCs/>
                <w:sz w:val="20"/>
                <w:szCs w:val="24"/>
              </w:rPr>
              <w:t xml:space="preserve"> рост</w:t>
            </w:r>
            <w:r w:rsidR="00BC517B" w:rsidRPr="00074598">
              <w:rPr>
                <w:bCs/>
                <w:sz w:val="20"/>
                <w:szCs w:val="24"/>
              </w:rPr>
              <w:t>ом</w:t>
            </w:r>
            <w:r w:rsidR="00847F2D" w:rsidRPr="00074598">
              <w:rPr>
                <w:bCs/>
                <w:sz w:val="20"/>
                <w:szCs w:val="24"/>
              </w:rPr>
              <w:t xml:space="preserve"> курса валют, а также ограничения</w:t>
            </w:r>
            <w:r w:rsidR="00BC517B" w:rsidRPr="00074598">
              <w:rPr>
                <w:bCs/>
                <w:sz w:val="20"/>
                <w:szCs w:val="24"/>
              </w:rPr>
              <w:t>ми</w:t>
            </w:r>
            <w:r w:rsidR="00847F2D" w:rsidRPr="00074598">
              <w:rPr>
                <w:bCs/>
                <w:sz w:val="20"/>
                <w:szCs w:val="24"/>
              </w:rPr>
              <w:t xml:space="preserve">, </w:t>
            </w:r>
            <w:r w:rsidR="00BC517B" w:rsidRPr="00074598">
              <w:rPr>
                <w:bCs/>
                <w:sz w:val="20"/>
                <w:szCs w:val="24"/>
              </w:rPr>
              <w:t>в связи</w:t>
            </w:r>
            <w:r w:rsidR="00847F2D" w:rsidRPr="00074598">
              <w:rPr>
                <w:bCs/>
                <w:sz w:val="20"/>
                <w:szCs w:val="24"/>
              </w:rPr>
              <w:t xml:space="preserve"> с распространением новой </w:t>
            </w:r>
            <w:proofErr w:type="spellStart"/>
            <w:r w:rsidR="00847F2D" w:rsidRPr="00074598">
              <w:rPr>
                <w:bCs/>
                <w:sz w:val="20"/>
                <w:szCs w:val="24"/>
              </w:rPr>
              <w:t>короновирусной</w:t>
            </w:r>
            <w:proofErr w:type="spellEnd"/>
            <w:r w:rsidR="00847F2D" w:rsidRPr="00074598">
              <w:rPr>
                <w:bCs/>
                <w:sz w:val="20"/>
                <w:szCs w:val="24"/>
              </w:rPr>
              <w:t xml:space="preserve"> инфекции и влияние</w:t>
            </w:r>
            <w:r w:rsidR="00BC517B" w:rsidRPr="00074598">
              <w:rPr>
                <w:bCs/>
                <w:sz w:val="20"/>
                <w:szCs w:val="24"/>
              </w:rPr>
              <w:t>м</w:t>
            </w:r>
            <w:r w:rsidR="00847F2D" w:rsidRPr="00074598">
              <w:rPr>
                <w:bCs/>
                <w:sz w:val="20"/>
                <w:szCs w:val="24"/>
              </w:rPr>
              <w:t xml:space="preserve"> этих факторов, в том числе, на цену закупаемой компьютерной техники. Учитывая длительность закупочных процедур и их согласования, изменение порядка организации закупок в связи с пандемией новой </w:t>
            </w:r>
            <w:proofErr w:type="spellStart"/>
            <w:r w:rsidR="00847F2D" w:rsidRPr="00074598">
              <w:rPr>
                <w:bCs/>
                <w:sz w:val="20"/>
                <w:szCs w:val="24"/>
              </w:rPr>
              <w:t>коронавирусной</w:t>
            </w:r>
            <w:proofErr w:type="spellEnd"/>
            <w:r w:rsidR="00847F2D" w:rsidRPr="00074598">
              <w:rPr>
                <w:bCs/>
                <w:sz w:val="20"/>
                <w:szCs w:val="24"/>
              </w:rPr>
              <w:t xml:space="preserve"> инфекции, существует риск неисполнения </w:t>
            </w:r>
            <w:r w:rsidR="003A1A3B" w:rsidRPr="00074598">
              <w:rPr>
                <w:bCs/>
                <w:sz w:val="20"/>
                <w:szCs w:val="24"/>
              </w:rPr>
              <w:t xml:space="preserve">в полном объеме </w:t>
            </w:r>
            <w:r w:rsidR="00847F2D" w:rsidRPr="00074598">
              <w:rPr>
                <w:bCs/>
                <w:sz w:val="20"/>
                <w:szCs w:val="24"/>
              </w:rPr>
              <w:t xml:space="preserve">расходов по </w:t>
            </w:r>
            <w:r w:rsidR="00BC517B" w:rsidRPr="00074598">
              <w:rPr>
                <w:bCs/>
                <w:sz w:val="20"/>
                <w:szCs w:val="24"/>
              </w:rPr>
              <w:t>указа</w:t>
            </w:r>
            <w:r w:rsidR="00847F2D" w:rsidRPr="00074598">
              <w:rPr>
                <w:bCs/>
                <w:sz w:val="20"/>
                <w:szCs w:val="24"/>
              </w:rPr>
              <w:t>нной подпрограмм</w:t>
            </w:r>
            <w:r w:rsidR="00BC517B" w:rsidRPr="00074598">
              <w:rPr>
                <w:bCs/>
                <w:sz w:val="20"/>
                <w:szCs w:val="24"/>
              </w:rPr>
              <w:t>е.</w:t>
            </w:r>
          </w:p>
          <w:p w:rsidR="00583821" w:rsidRPr="00074598" w:rsidRDefault="00583821" w:rsidP="008E3FC0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Структура госпрограммы включает 8 подпрограмм, в рамках которых реализуются</w:t>
            </w:r>
            <w:r w:rsidR="008E3FC0" w:rsidRPr="00074598">
              <w:rPr>
                <w:bCs/>
                <w:sz w:val="20"/>
                <w:szCs w:val="24"/>
              </w:rPr>
              <w:t xml:space="preserve"> </w:t>
            </w:r>
            <w:r w:rsidRPr="00074598">
              <w:rPr>
                <w:bCs/>
                <w:sz w:val="20"/>
                <w:szCs w:val="24"/>
              </w:rPr>
              <w:t xml:space="preserve">28 ведомственных целевых программ. </w:t>
            </w:r>
          </w:p>
          <w:p w:rsidR="00583821" w:rsidRPr="00074598" w:rsidRDefault="00583821" w:rsidP="00583821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Цели </w:t>
            </w:r>
            <w:r w:rsidR="008E3FC0" w:rsidRPr="00074598">
              <w:rPr>
                <w:bCs/>
                <w:sz w:val="20"/>
                <w:szCs w:val="24"/>
              </w:rPr>
              <w:t>госпрограммы</w:t>
            </w:r>
            <w:r w:rsidRPr="00074598">
              <w:rPr>
                <w:bCs/>
                <w:sz w:val="20"/>
                <w:szCs w:val="24"/>
              </w:rPr>
              <w:t xml:space="preserve"> в основном соответствуют целям и приоритетам социально-экономического развития и обеспечения национальной безопасности Российской Федерации, содержащимся в документах стратегического планирования, разработанных на федеральном уровне, в том числе национальным целям развития Российской Федерации, предусмотренным 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 (далее - Указ № 204).</w:t>
            </w:r>
          </w:p>
          <w:p w:rsidR="00583821" w:rsidRPr="00074598" w:rsidRDefault="00583821" w:rsidP="00583821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Вместе с тем, согласно позиции Счетной палаты с 2019 года из указанной госпрограммы, как документа стратегического планирования, необоснованно исключены две цели: «Увеличение к 2025 году ожидаемой продолжительности жизни при рождении до 76 лет» и «Повышение к 2025 году удовлетворенности населения качеством медицинской помощи до 54 процентов». </w:t>
            </w:r>
          </w:p>
          <w:p w:rsidR="009B185A" w:rsidRPr="00074598" w:rsidRDefault="009B185A" w:rsidP="009B185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Кроме того, в паспорт национального проекта «Здравоохранение» не включены цели и показатели, отражающие смертность населения в целом (например, общий коэффициент смертности).  </w:t>
            </w:r>
          </w:p>
          <w:p w:rsidR="009B185A" w:rsidRPr="00074598" w:rsidRDefault="009B185A" w:rsidP="009B185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В паспорте национального проекта «Демография» предусмотрена цель «Увеличение ожидаемой продолжительности здоровой жизни до 67 лет» и показатель «Снижение смертности населения старше трудоспособного возраста (на 1 000 человек населения соответствующего возраста)», что свидетельствует о необходимости мониторинга указанных показателей и на уровне госпрограммы.</w:t>
            </w:r>
          </w:p>
          <w:p w:rsidR="009B185A" w:rsidRPr="00074598" w:rsidRDefault="009B185A" w:rsidP="009B185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proofErr w:type="gramStart"/>
            <w:r w:rsidRPr="00074598">
              <w:rPr>
                <w:bCs/>
                <w:sz w:val="20"/>
                <w:szCs w:val="24"/>
              </w:rPr>
              <w:t xml:space="preserve">Отсутствие таких показателей как смертность от всех причин, ожидаемая продолжительности жизни, уровень инвалидности, удовлетворенность населения качеством и доступностью медицинской помощи, а так же показателей </w:t>
            </w:r>
            <w:proofErr w:type="spellStart"/>
            <w:r w:rsidRPr="00074598">
              <w:rPr>
                <w:bCs/>
                <w:sz w:val="20"/>
                <w:szCs w:val="24"/>
              </w:rPr>
              <w:t>выявляемости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заболеваний на ранних стадиях в паспорте госпрограммы свидетельствует о неполном соответствии документам стратегического планирования, например Стратегии национальной безопасности Российской Федерации, где в рамках национального приоритета в здравоохранении определены увеличение продолжительности жизни, снижение уровня инвалидности и</w:t>
            </w:r>
            <w:proofErr w:type="gramEnd"/>
            <w:r w:rsidRPr="00074598">
              <w:rPr>
                <w:bCs/>
                <w:sz w:val="20"/>
                <w:szCs w:val="24"/>
              </w:rPr>
              <w:t xml:space="preserve"> смертности населения, увеличение численности населения, повышение доступности и качества медицинской помощи</w:t>
            </w:r>
            <w:r w:rsidR="007410BF">
              <w:rPr>
                <w:bCs/>
                <w:sz w:val="20"/>
                <w:szCs w:val="24"/>
              </w:rPr>
              <w:t>.</w:t>
            </w:r>
            <w:r w:rsidRPr="00074598">
              <w:rPr>
                <w:bCs/>
                <w:sz w:val="20"/>
                <w:szCs w:val="24"/>
              </w:rPr>
              <w:t xml:space="preserve"> </w:t>
            </w:r>
          </w:p>
          <w:p w:rsidR="00583821" w:rsidRPr="00074598" w:rsidRDefault="00583821" w:rsidP="009B185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Установленные значения показател</w:t>
            </w:r>
            <w:r w:rsidR="008E3FC0" w:rsidRPr="00074598">
              <w:rPr>
                <w:bCs/>
                <w:sz w:val="20"/>
                <w:szCs w:val="24"/>
              </w:rPr>
              <w:t>ей не в полной мере соответствую</w:t>
            </w:r>
            <w:r w:rsidRPr="00074598">
              <w:rPr>
                <w:bCs/>
                <w:sz w:val="20"/>
                <w:szCs w:val="24"/>
              </w:rPr>
              <w:t>т поставленным целям, что свидетельств</w:t>
            </w:r>
            <w:r w:rsidR="008E3FC0" w:rsidRPr="00074598">
              <w:rPr>
                <w:bCs/>
                <w:sz w:val="20"/>
                <w:szCs w:val="24"/>
              </w:rPr>
              <w:t>ует</w:t>
            </w:r>
            <w:r w:rsidRPr="00074598">
              <w:rPr>
                <w:bCs/>
                <w:sz w:val="20"/>
                <w:szCs w:val="24"/>
              </w:rPr>
              <w:t xml:space="preserve"> о формальном подходе к формированию целевых показателей госпрограммы.</w:t>
            </w:r>
          </w:p>
          <w:p w:rsidR="00583821" w:rsidRPr="00074598" w:rsidRDefault="00583821" w:rsidP="00583821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Предусмотренные пунктом 43 </w:t>
            </w:r>
            <w:r w:rsidR="00F637D4" w:rsidRPr="00074598">
              <w:rPr>
                <w:bCs/>
                <w:sz w:val="20"/>
                <w:szCs w:val="24"/>
              </w:rPr>
              <w:t xml:space="preserve">Методических указаний по разработке и реализации государственных программ Российской Федерации  (далее – Методические указания) </w:t>
            </w:r>
            <w:r w:rsidRPr="00074598">
              <w:rPr>
                <w:bCs/>
                <w:sz w:val="20"/>
                <w:szCs w:val="24"/>
              </w:rPr>
              <w:t>политические, международные, законодательные и иные риски, способные оказать решающее влияние на достижение целей госпрограммы и решение ее задач, в качестве рисков реализации не указаны. Данная ситуация может свидетельствовать о том, что в случае их наступления мероприятия по управлению рисковыми событиями ответственным исполнителем не предусмотрены</w:t>
            </w:r>
            <w:r w:rsidR="009B185A" w:rsidRPr="00074598">
              <w:rPr>
                <w:bCs/>
                <w:sz w:val="20"/>
                <w:szCs w:val="24"/>
              </w:rPr>
              <w:t>.</w:t>
            </w:r>
          </w:p>
          <w:p w:rsidR="009B185A" w:rsidRPr="00074598" w:rsidRDefault="009B185A" w:rsidP="009B185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Сложившаяся ситуация с вводимыми ограничительными мерами, в связи с распространением новой </w:t>
            </w:r>
            <w:proofErr w:type="spellStart"/>
            <w:r w:rsidRPr="00074598">
              <w:rPr>
                <w:bCs/>
                <w:sz w:val="20"/>
                <w:szCs w:val="24"/>
              </w:rPr>
              <w:t>коронавирусной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инфекции в 2020 году, которые привели к снижению объемов оказания плановой медицинской помощи, количества проводимых профилактических осмотров и диспансеризации, охвата пациентов диспансерным наблюдением, может привести к негативной динамике показателей смертности и заболеваемости населения.</w:t>
            </w:r>
          </w:p>
          <w:p w:rsidR="009B185A" w:rsidRPr="00074598" w:rsidRDefault="009B185A" w:rsidP="009B185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Учитывая оценку Счетной палаты по достижению целевых показателей в предыдущие </w:t>
            </w:r>
            <w:r w:rsidRPr="00074598">
              <w:rPr>
                <w:bCs/>
                <w:sz w:val="20"/>
                <w:szCs w:val="24"/>
              </w:rPr>
              <w:lastRenderedPageBreak/>
              <w:t xml:space="preserve">периоды, существуют значительные риски </w:t>
            </w:r>
            <w:proofErr w:type="spellStart"/>
            <w:r w:rsidRPr="00074598">
              <w:rPr>
                <w:bCs/>
                <w:sz w:val="20"/>
                <w:szCs w:val="24"/>
              </w:rPr>
              <w:t>недостижения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в 2020 году следующих показателей (индикаторов) госпрограммы:</w:t>
            </w:r>
          </w:p>
          <w:p w:rsidR="009B185A" w:rsidRPr="00074598" w:rsidRDefault="009B185A" w:rsidP="009B185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снижение к 2024 году смертности населения трудоспособного возраста до 350 случаев на 100 тыс. населения (факт 2018 года </w:t>
            </w:r>
            <w:r w:rsidR="002C1E0A">
              <w:rPr>
                <w:bCs/>
                <w:sz w:val="20"/>
                <w:szCs w:val="24"/>
              </w:rPr>
              <w:t xml:space="preserve">- </w:t>
            </w:r>
            <w:r w:rsidRPr="00074598">
              <w:rPr>
                <w:bCs/>
                <w:sz w:val="20"/>
                <w:szCs w:val="24"/>
              </w:rPr>
              <w:t>481,6, план – 493,2; факт 2019 года - 466,9, план - 437);</w:t>
            </w:r>
          </w:p>
          <w:p w:rsidR="009B185A" w:rsidRPr="00074598" w:rsidRDefault="009B185A" w:rsidP="009B185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снижение к 2024 году смертности от болезней системы кровообращения до 450 случаев на 100 тыс. населения (факт 2019 года - 573,7, план - 545,5);</w:t>
            </w:r>
          </w:p>
          <w:p w:rsidR="009B185A" w:rsidRPr="00074598" w:rsidRDefault="009B185A" w:rsidP="009B185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снижение к 2024 году смертности от новообразований, в том числе от злокачественных, до 185 случаев на 100 тыс. населения (факт 2019 года - 201,5, план - 192,5).</w:t>
            </w:r>
          </w:p>
          <w:p w:rsidR="009B185A" w:rsidRPr="00074598" w:rsidRDefault="00BB1F9D" w:rsidP="00BB1F9D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С</w:t>
            </w:r>
            <w:r w:rsidR="009B185A" w:rsidRPr="00074598">
              <w:rPr>
                <w:bCs/>
                <w:sz w:val="20"/>
                <w:szCs w:val="24"/>
              </w:rPr>
              <w:t xml:space="preserve">читаем целесообразным проработать вопрос о нивелировании рисков </w:t>
            </w:r>
            <w:proofErr w:type="spellStart"/>
            <w:r w:rsidR="009B185A" w:rsidRPr="00074598">
              <w:rPr>
                <w:bCs/>
                <w:sz w:val="20"/>
                <w:szCs w:val="24"/>
              </w:rPr>
              <w:t>недостижения</w:t>
            </w:r>
            <w:proofErr w:type="spellEnd"/>
            <w:r w:rsidR="009B185A" w:rsidRPr="00074598">
              <w:rPr>
                <w:bCs/>
                <w:sz w:val="20"/>
                <w:szCs w:val="24"/>
              </w:rPr>
              <w:t xml:space="preserve"> показателей </w:t>
            </w:r>
            <w:r w:rsidRPr="00074598">
              <w:rPr>
                <w:bCs/>
                <w:sz w:val="20"/>
                <w:szCs w:val="24"/>
              </w:rPr>
              <w:t>госпрограммы</w:t>
            </w:r>
            <w:r w:rsidR="009B185A" w:rsidRPr="00074598">
              <w:rPr>
                <w:bCs/>
                <w:sz w:val="20"/>
                <w:szCs w:val="24"/>
              </w:rPr>
              <w:t xml:space="preserve"> и разработ</w:t>
            </w:r>
            <w:r w:rsidRPr="00074598">
              <w:rPr>
                <w:bCs/>
                <w:sz w:val="20"/>
                <w:szCs w:val="24"/>
              </w:rPr>
              <w:t>ать пакет</w:t>
            </w:r>
            <w:r w:rsidR="009B185A" w:rsidRPr="00074598">
              <w:rPr>
                <w:bCs/>
                <w:sz w:val="20"/>
                <w:szCs w:val="24"/>
              </w:rPr>
              <w:t xml:space="preserve"> мер, позволяющих минимизировать риски с учетом сохраняющейся санитарн</w:t>
            </w:r>
            <w:r w:rsidRPr="00074598">
              <w:rPr>
                <w:bCs/>
                <w:sz w:val="20"/>
                <w:szCs w:val="24"/>
              </w:rPr>
              <w:t>о-эпидемиологической обстановки</w:t>
            </w:r>
          </w:p>
        </w:tc>
      </w:tr>
      <w:tr w:rsidR="00F46B26" w:rsidRPr="00F46B26" w:rsidTr="00307AC2">
        <w:tc>
          <w:tcPr>
            <w:tcW w:w="567" w:type="dxa"/>
          </w:tcPr>
          <w:p w:rsidR="005A16CE" w:rsidRPr="00DF5056" w:rsidRDefault="005A16CE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DF5056">
              <w:rPr>
                <w:rFonts w:eastAsia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69" w:type="dxa"/>
          </w:tcPr>
          <w:p w:rsidR="005A16CE" w:rsidRPr="00DF5056" w:rsidRDefault="001870C0" w:rsidP="0079491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DF5056">
              <w:rPr>
                <w:sz w:val="20"/>
                <w:szCs w:val="20"/>
              </w:rPr>
              <w:t>«</w:t>
            </w:r>
            <w:r w:rsidR="005A16CE" w:rsidRPr="00DF5056">
              <w:rPr>
                <w:sz w:val="20"/>
                <w:szCs w:val="20"/>
              </w:rPr>
              <w:t>Развитие образования</w:t>
            </w:r>
            <w:r w:rsidRPr="00DF5056">
              <w:rPr>
                <w:sz w:val="20"/>
                <w:szCs w:val="20"/>
              </w:rPr>
              <w:t>»</w:t>
            </w:r>
          </w:p>
        </w:tc>
        <w:tc>
          <w:tcPr>
            <w:tcW w:w="8079" w:type="dxa"/>
          </w:tcPr>
          <w:p w:rsidR="00CB202B" w:rsidRPr="00074598" w:rsidRDefault="008665AE" w:rsidP="00CB202B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</w:t>
            </w:r>
            <w:r w:rsidR="005A16CE" w:rsidRPr="00074598">
              <w:rPr>
                <w:bCs/>
                <w:sz w:val="20"/>
                <w:szCs w:val="20"/>
                <w:lang w:eastAsia="en-US"/>
              </w:rPr>
              <w:t xml:space="preserve"> госпрограмм</w:t>
            </w:r>
            <w:r w:rsidRPr="00074598">
              <w:rPr>
                <w:bCs/>
                <w:sz w:val="20"/>
                <w:szCs w:val="20"/>
                <w:lang w:eastAsia="en-US"/>
              </w:rPr>
              <w:t>е</w:t>
            </w:r>
            <w:r w:rsidR="005A16CE"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1870C0" w:rsidRPr="00074598">
              <w:rPr>
                <w:b/>
                <w:bCs/>
                <w:sz w:val="20"/>
                <w:szCs w:val="20"/>
                <w:lang w:eastAsia="en-US"/>
              </w:rPr>
              <w:t>«</w:t>
            </w:r>
            <w:r w:rsidR="005A16CE" w:rsidRPr="00074598">
              <w:rPr>
                <w:b/>
                <w:bCs/>
                <w:sz w:val="20"/>
                <w:szCs w:val="20"/>
                <w:lang w:eastAsia="en-US"/>
              </w:rPr>
              <w:t>Развитие образования</w:t>
            </w:r>
            <w:r w:rsidR="001870C0" w:rsidRPr="00074598">
              <w:rPr>
                <w:b/>
                <w:bCs/>
                <w:sz w:val="20"/>
                <w:szCs w:val="20"/>
                <w:lang w:eastAsia="en-US"/>
              </w:rPr>
              <w:t>»</w:t>
            </w:r>
            <w:r w:rsidR="005A16CE"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2608D5" w:rsidRPr="00074598">
              <w:rPr>
                <w:bCs/>
                <w:sz w:val="20"/>
                <w:szCs w:val="24"/>
              </w:rPr>
              <w:t xml:space="preserve">исполнение расходов составило </w:t>
            </w:r>
            <w:r w:rsidR="00CB202B" w:rsidRPr="00074598">
              <w:rPr>
                <w:bCs/>
                <w:sz w:val="20"/>
                <w:szCs w:val="24"/>
              </w:rPr>
              <w:t>45,9</w:t>
            </w:r>
            <w:r w:rsidR="002608D5" w:rsidRPr="00074598">
              <w:rPr>
                <w:bCs/>
                <w:sz w:val="20"/>
                <w:szCs w:val="24"/>
              </w:rPr>
              <w:t> % показателя сводной росписи с изменениями</w:t>
            </w:r>
            <w:r w:rsidR="00CB202B" w:rsidRPr="00074598">
              <w:rPr>
                <w:bCs/>
                <w:sz w:val="20"/>
                <w:szCs w:val="24"/>
              </w:rPr>
              <w:t>,</w:t>
            </w:r>
            <w:r w:rsidR="002608D5" w:rsidRPr="00074598">
              <w:rPr>
                <w:bCs/>
                <w:i/>
                <w:sz w:val="20"/>
                <w:szCs w:val="24"/>
              </w:rPr>
              <w:t xml:space="preserve"> </w:t>
            </w:r>
            <w:r w:rsidR="00CB202B" w:rsidRPr="00074598">
              <w:rPr>
                <w:bCs/>
                <w:sz w:val="20"/>
                <w:szCs w:val="24"/>
              </w:rPr>
              <w:t>что выше уровня исполнения за соответствующий период 2019 года (45,</w:t>
            </w:r>
            <w:r w:rsidR="00086594">
              <w:rPr>
                <w:bCs/>
                <w:sz w:val="20"/>
                <w:szCs w:val="24"/>
              </w:rPr>
              <w:t>4</w:t>
            </w:r>
            <w:r w:rsidR="00CB202B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8C491A" w:rsidRPr="00074598" w:rsidRDefault="00CB202B" w:rsidP="008C491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Сложившийся уровень исполнения расходов по госпрограмме, как и в предыдущие отчетные периоды, связан с низким исполнением расходов по подпрограмме «Развитие дошкольного и общего образования» (39,3 % 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показателя сводной росписи с изменениями). </w:t>
            </w:r>
            <w:r w:rsidRPr="00074598">
              <w:rPr>
                <w:bCs/>
                <w:sz w:val="20"/>
                <w:szCs w:val="24"/>
              </w:rPr>
              <w:t>Объем бюджетных ассигнований по указанной подпрограмме в общем объеме, утвержденном по госпрограмме, составляет 68,8 %.</w:t>
            </w:r>
          </w:p>
          <w:p w:rsidR="00CB202B" w:rsidRPr="00074598" w:rsidRDefault="00901545" w:rsidP="00CB202B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подпрограмме «Развитие дошкольного и общего образования» исполнение составило 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>39,3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% показателя сводной росписи с изменениями. 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 xml:space="preserve">Низкий уровень исполнения связан с уровнем исполнения расходов по межбюджетным трансфертам, предоставляемым бюджетам субъектов Российской Федерации на мероприятия по: созданию новых мест в общеобразовательных организациях, расположенных в сельской местности и поселках городского типа </w:t>
            </w:r>
            <w:r w:rsidR="009246D9" w:rsidRPr="00074598">
              <w:rPr>
                <w:bCs/>
                <w:sz w:val="20"/>
                <w:szCs w:val="20"/>
                <w:lang w:eastAsia="en-US"/>
              </w:rPr>
              <w:t xml:space="preserve">– 35,2 % 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>(02 2 Е</w:t>
            </w:r>
            <w:proofErr w:type="gramStart"/>
            <w:r w:rsidR="00CB202B" w:rsidRPr="00074598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="00CB202B" w:rsidRPr="00074598">
              <w:rPr>
                <w:bCs/>
                <w:sz w:val="20"/>
                <w:szCs w:val="20"/>
                <w:lang w:eastAsia="en-US"/>
              </w:rPr>
              <w:t xml:space="preserve"> 52300 523); созданию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</w:t>
            </w:r>
            <w:r w:rsidR="009246D9" w:rsidRPr="00074598">
              <w:rPr>
                <w:bCs/>
                <w:sz w:val="20"/>
                <w:szCs w:val="20"/>
                <w:lang w:eastAsia="en-US"/>
              </w:rPr>
              <w:t xml:space="preserve">– 26 % 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>(02 2 Е</w:t>
            </w:r>
            <w:proofErr w:type="gramStart"/>
            <w:r w:rsidR="00CB202B" w:rsidRPr="00074598">
              <w:rPr>
                <w:bCs/>
                <w:sz w:val="20"/>
                <w:szCs w:val="20"/>
                <w:lang w:eastAsia="en-US"/>
              </w:rPr>
              <w:t>1</w:t>
            </w:r>
            <w:proofErr w:type="gramEnd"/>
            <w:r w:rsidR="00CB202B" w:rsidRPr="00074598">
              <w:rPr>
                <w:bCs/>
                <w:sz w:val="20"/>
                <w:szCs w:val="20"/>
                <w:lang w:eastAsia="en-US"/>
              </w:rPr>
              <w:t xml:space="preserve"> 54900 523) в рамках федеральног</w:t>
            </w:r>
            <w:r w:rsidR="00E65D11" w:rsidRPr="00074598">
              <w:rPr>
                <w:bCs/>
                <w:sz w:val="20"/>
                <w:szCs w:val="20"/>
                <w:lang w:eastAsia="en-US"/>
              </w:rPr>
              <w:t xml:space="preserve">о проекта «Современная школа»; 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>благоустройству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  <w:r w:rsidR="009246D9" w:rsidRPr="00074598">
              <w:rPr>
                <w:bCs/>
                <w:sz w:val="20"/>
                <w:szCs w:val="20"/>
                <w:lang w:eastAsia="en-US"/>
              </w:rPr>
              <w:t xml:space="preserve"> – 25,4 %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 xml:space="preserve"> (02 2 02 52550 521); внедрению целевой модели цифровой образовательной среды в общеобразовательных организациях и профессиональных образовательных организациях в рамках федерального проекта «Цифровая образовательная среда» </w:t>
            </w:r>
            <w:r w:rsidR="009246D9" w:rsidRPr="00074598">
              <w:rPr>
                <w:bCs/>
                <w:sz w:val="20"/>
                <w:szCs w:val="20"/>
                <w:lang w:eastAsia="en-US"/>
              </w:rPr>
              <w:t xml:space="preserve">- 54,2 % 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>(02 2 Е</w:t>
            </w:r>
            <w:proofErr w:type="gramStart"/>
            <w:r w:rsidR="00CB202B" w:rsidRPr="00074598">
              <w:rPr>
                <w:bCs/>
                <w:sz w:val="20"/>
                <w:szCs w:val="20"/>
                <w:lang w:eastAsia="en-US"/>
              </w:rPr>
              <w:t>4</w:t>
            </w:r>
            <w:proofErr w:type="gramEnd"/>
            <w:r w:rsidR="00CB202B" w:rsidRPr="00074598">
              <w:rPr>
                <w:bCs/>
                <w:sz w:val="20"/>
                <w:szCs w:val="20"/>
                <w:lang w:eastAsia="en-US"/>
              </w:rPr>
              <w:t xml:space="preserve"> 52100 521). Причин</w:t>
            </w:r>
            <w:r w:rsidR="00E65D11" w:rsidRPr="00074598">
              <w:rPr>
                <w:bCs/>
                <w:sz w:val="20"/>
                <w:szCs w:val="20"/>
                <w:lang w:eastAsia="en-US"/>
              </w:rPr>
              <w:t>ами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 xml:space="preserve"> неисполнения</w:t>
            </w:r>
            <w:r w:rsidR="00E65D11" w:rsidRPr="00074598">
              <w:rPr>
                <w:bCs/>
                <w:sz w:val="20"/>
                <w:szCs w:val="20"/>
                <w:lang w:eastAsia="en-US"/>
              </w:rPr>
              <w:t xml:space="preserve"> являются: 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 xml:space="preserve">необходимость заключения дополнительных соглашений с субъектами Российской Федерации, в связи с новым требованием о </w:t>
            </w:r>
            <w:proofErr w:type="spellStart"/>
            <w:r w:rsidR="00CB202B" w:rsidRPr="00074598">
              <w:rPr>
                <w:bCs/>
                <w:sz w:val="20"/>
                <w:szCs w:val="20"/>
                <w:lang w:eastAsia="en-US"/>
              </w:rPr>
              <w:t>пообъектной</w:t>
            </w:r>
            <w:proofErr w:type="spellEnd"/>
            <w:r w:rsidR="00CB202B" w:rsidRPr="00074598">
              <w:rPr>
                <w:bCs/>
                <w:sz w:val="20"/>
                <w:szCs w:val="20"/>
                <w:lang w:eastAsia="en-US"/>
              </w:rPr>
              <w:t xml:space="preserve"> детализации мероприятий; заключение дополнительных соглашений субъектами Российской Федерации, в связи с перераспределением межбюджетных трансфертов между субъектами Российской Федерации на основании распоряжений Правительства Российской Федерации; </w:t>
            </w:r>
            <w:proofErr w:type="gramStart"/>
            <w:r w:rsidR="00CB202B" w:rsidRPr="00074598">
              <w:rPr>
                <w:bCs/>
                <w:sz w:val="20"/>
                <w:szCs w:val="20"/>
                <w:lang w:eastAsia="en-US"/>
              </w:rPr>
              <w:t xml:space="preserve">отказы части территориальных Управлений Федерального казначейства субъектов Российской Федерации в исполнении заявок на кассовый расход </w:t>
            </w:r>
            <w:r w:rsidR="00E65D11" w:rsidRPr="00074598">
              <w:rPr>
                <w:bCs/>
                <w:sz w:val="20"/>
                <w:szCs w:val="20"/>
                <w:lang w:eastAsia="en-US"/>
              </w:rPr>
              <w:t>в связи с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 xml:space="preserve"> отсутстви</w:t>
            </w:r>
            <w:r w:rsidR="00E65D11" w:rsidRPr="00074598">
              <w:rPr>
                <w:bCs/>
                <w:sz w:val="20"/>
                <w:szCs w:val="20"/>
                <w:lang w:eastAsia="en-US"/>
              </w:rPr>
              <w:t>ем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 xml:space="preserve"> графиков выполнения мероприятий по строительству объектов; невыполнения подрядными организациями объемов р</w:t>
            </w:r>
            <w:r w:rsidR="00E65D11" w:rsidRPr="00074598">
              <w:rPr>
                <w:bCs/>
                <w:sz w:val="20"/>
                <w:szCs w:val="20"/>
                <w:lang w:eastAsia="en-US"/>
              </w:rPr>
              <w:t>абот, запланированных на 2020 год</w:t>
            </w:r>
            <w:r w:rsidR="00CB202B" w:rsidRPr="00074598">
              <w:rPr>
                <w:bCs/>
                <w:sz w:val="20"/>
                <w:szCs w:val="20"/>
                <w:lang w:eastAsia="en-US"/>
              </w:rPr>
              <w:t>, а также перечисление межбюджетных трансфертов в пределах сумм, необходимых для оплаты денежных обязательств по расходам получателей средств бюджет</w:t>
            </w:r>
            <w:r w:rsidR="002C1E0A">
              <w:rPr>
                <w:bCs/>
                <w:sz w:val="20"/>
                <w:szCs w:val="20"/>
                <w:lang w:eastAsia="en-US"/>
              </w:rPr>
              <w:t>а субъекта Российской Федерации.</w:t>
            </w:r>
            <w:proofErr w:type="gramEnd"/>
          </w:p>
          <w:p w:rsidR="00E65D11" w:rsidRPr="00074598" w:rsidRDefault="00E65D11" w:rsidP="00E65D11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подпрограмме «Совершенствование управления системой образования» исполнение составило 35,1 % показателя сводной росписи с изменениями. </w:t>
            </w: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В рамках указанной подпрограммы по состоянию на 1 октября 2020 года не осуществлялись расходы на государственную поддержку разработки цифровых учебно-методических комплексов, учебных симуляторов, тренажеров, виртуальных лабораторий для реализации общеобразовательных и дополнительных общеобразовательных программ, программ среднего профессионального образования по предметным областям «Математика», «Информатика» и «Технология» федерального проекта «Кадры для цифровой экономики» (02 5 D3 67710 812).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Минпросвещения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России проводится процедура расторжения соглашения с АО «РОССИЙСКАЯ ВЕНЧУ</w:t>
            </w:r>
            <w:r w:rsidR="00ED60DF">
              <w:rPr>
                <w:bCs/>
                <w:sz w:val="20"/>
                <w:szCs w:val="20"/>
                <w:lang w:eastAsia="en-US"/>
              </w:rPr>
              <w:t>РНАЯ КОМПАНИЯ» от 9 апреля 2020 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г. </w:t>
            </w:r>
            <w:r w:rsidR="007410BF">
              <w:rPr>
                <w:bCs/>
                <w:sz w:val="20"/>
                <w:szCs w:val="20"/>
                <w:lang w:eastAsia="en-US"/>
              </w:rPr>
              <w:lastRenderedPageBreak/>
              <w:t>№ 073-11-2019-025/3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. </w:t>
            </w:r>
          </w:p>
          <w:p w:rsidR="00E65D11" w:rsidRPr="00074598" w:rsidRDefault="00E65D11" w:rsidP="00E65D11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На низком уровне (2,2 %) исполнены расходы на мероприятия информационно-разъяснительного и экспертно-социологического сопровождения результатов и мероприятий национальных проектов в средствах массовой информации и информационно-телекоммуникационной сети «Интернет» (02 5 </w:t>
            </w: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E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А 60508 632). </w:t>
            </w:r>
            <w:r w:rsidR="00DA271C" w:rsidRPr="00074598">
              <w:rPr>
                <w:bCs/>
                <w:sz w:val="20"/>
                <w:szCs w:val="20"/>
                <w:lang w:eastAsia="en-US"/>
              </w:rPr>
              <w:t>Управлением делами Президента Российской Федерации заключено соглашение н</w:t>
            </w:r>
            <w:r w:rsidRPr="00074598">
              <w:rPr>
                <w:bCs/>
                <w:sz w:val="20"/>
                <w:szCs w:val="20"/>
                <w:lang w:eastAsia="en-US"/>
              </w:rPr>
              <w:t>а осуществление мероприятий по информационно-разъяснительному и экспертно-социологическому сопровождению результатов и мероприятий национальных проектов в средствах массовой информации и информационно-телекоммуникационной сети «Интернет» с АНО «НАЦИОНАЛЬНЫЕ ПРИО</w:t>
            </w:r>
            <w:r w:rsidR="00DA271C" w:rsidRPr="00074598">
              <w:rPr>
                <w:bCs/>
                <w:sz w:val="20"/>
                <w:szCs w:val="20"/>
                <w:lang w:eastAsia="en-US"/>
              </w:rPr>
              <w:t xml:space="preserve">РИТЕТЫ» (от 28 июля 2020 г. </w:t>
            </w:r>
            <w:r w:rsidRPr="00074598">
              <w:rPr>
                <w:bCs/>
                <w:sz w:val="20"/>
                <w:szCs w:val="20"/>
                <w:lang w:eastAsia="en-US"/>
              </w:rPr>
              <w:t>№</w:t>
            </w:r>
            <w:r w:rsidR="00DA271C" w:rsidRPr="00074598">
              <w:rPr>
                <w:bCs/>
                <w:sz w:val="20"/>
                <w:szCs w:val="20"/>
                <w:lang w:eastAsia="en-US"/>
              </w:rPr>
              <w:t> 303-10-2020-004</w:t>
            </w:r>
            <w:r w:rsidR="002C1E0A">
              <w:rPr>
                <w:bCs/>
                <w:sz w:val="20"/>
                <w:szCs w:val="20"/>
                <w:lang w:eastAsia="en-US"/>
              </w:rPr>
              <w:t>)</w:t>
            </w:r>
            <w:r w:rsidRPr="00074598">
              <w:rPr>
                <w:bCs/>
                <w:sz w:val="20"/>
                <w:szCs w:val="20"/>
                <w:lang w:eastAsia="en-US"/>
              </w:rPr>
              <w:t>.</w:t>
            </w:r>
          </w:p>
          <w:p w:rsidR="00E65D11" w:rsidRPr="00074598" w:rsidRDefault="00DA271C" w:rsidP="00E65D11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</w:t>
            </w:r>
            <w:r w:rsidR="00E65D11" w:rsidRPr="00074598">
              <w:rPr>
                <w:bCs/>
                <w:sz w:val="20"/>
                <w:szCs w:val="20"/>
                <w:lang w:eastAsia="en-US"/>
              </w:rPr>
              <w:t xml:space="preserve"> отчетном периоде, в рамках указанной подпрограммы, на низком уровне исполнены расходы, связанные с проведением конкурсных процедур по закупке товаров, работ, услуг в сфере информационно-коммуникационных технологий, прочей закупке (31,9 %). Объем указанных бюджетных ассигнований составляет более 60 % в общем объеме расходов, утвержденных на подпрограмму</w:t>
            </w:r>
            <w:r w:rsidRPr="00074598">
              <w:rPr>
                <w:bCs/>
                <w:sz w:val="20"/>
                <w:szCs w:val="20"/>
                <w:lang w:eastAsia="en-US"/>
              </w:rPr>
              <w:t>.</w:t>
            </w:r>
          </w:p>
          <w:p w:rsidR="00DA271C" w:rsidRPr="00074598" w:rsidRDefault="00DA271C" w:rsidP="00DA271C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подпрограмме «Развитие дополнительного образования детей и реализация мероприятий молодежной политики» исполнение составило 56 % показателя сводной росписи с изменениями. </w:t>
            </w:r>
            <w:proofErr w:type="gramStart"/>
            <w:r w:rsidR="0002349D" w:rsidRPr="00074598">
              <w:rPr>
                <w:bCs/>
                <w:sz w:val="20"/>
                <w:szCs w:val="20"/>
                <w:lang w:eastAsia="en-US"/>
              </w:rPr>
              <w:t xml:space="preserve">В рамках указанной подпрограммы 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на низком уровне исполнены расходы по следующим мероприятиям: реализация проекта «Билет в будущее» (02 4 E2 60447 632) в рамках </w:t>
            </w:r>
            <w:r w:rsidR="0002349D" w:rsidRPr="00074598">
              <w:rPr>
                <w:bCs/>
                <w:sz w:val="20"/>
                <w:szCs w:val="20"/>
                <w:lang w:eastAsia="en-US"/>
              </w:rPr>
              <w:t>федерального проекта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«Успех каждого ребенка» - 29,4 %; создание и распространение контента в сети «Интернет», направленного на укрепление гражданской идентичности и духовно-нравственных ценностей среди молодежи (02 4 A3 60460 632) в рамках </w:t>
            </w:r>
            <w:r w:rsidR="0002349D" w:rsidRPr="00074598">
              <w:rPr>
                <w:bCs/>
                <w:sz w:val="20"/>
                <w:szCs w:val="20"/>
                <w:lang w:eastAsia="en-US"/>
              </w:rPr>
              <w:t>федерального проекта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«Цифровая культура» - 38,2 %;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 мероприятиям в рамках </w:t>
            </w:r>
            <w:r w:rsidR="0002349D" w:rsidRPr="00074598">
              <w:rPr>
                <w:bCs/>
                <w:sz w:val="20"/>
                <w:szCs w:val="20"/>
                <w:lang w:eastAsia="en-US"/>
              </w:rPr>
              <w:t>федерального проекта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«Социальная активность» (02 4 E8 00000) – 36,1 % (создание и эксплуатация образовательного центра «Машук» на 300 человек единовременного пребывания в Северо-Кавказском федеральном округе; создание и эксплуатация подмосковного образовательного молодежного центра).  </w:t>
            </w:r>
          </w:p>
          <w:p w:rsidR="00DA271C" w:rsidRPr="00074598" w:rsidRDefault="00DA271C" w:rsidP="00DA271C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Кроме того, в рамках указанной подпрограммы исполнение по бюджетным  инвестициям на 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(02 4 01 94009 414) составило порядка 40 % </w:t>
            </w:r>
            <w:r w:rsidR="0002349D" w:rsidRPr="00074598">
              <w:rPr>
                <w:bCs/>
                <w:sz w:val="20"/>
                <w:szCs w:val="20"/>
                <w:lang w:eastAsia="en-US"/>
              </w:rPr>
              <w:t>показателя сводной росписи с изменениями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. </w:t>
            </w:r>
          </w:p>
          <w:p w:rsidR="005A16CE" w:rsidRPr="00074598" w:rsidRDefault="00DA271C" w:rsidP="0002349D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0"/>
                <w:lang w:val="x-none"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Причинами крайне низкого уровня исполнения расходов являются: отсутствие готовой проектной документации, необходимость разработки обоснований инвестиций и прохождения технологического и ценового аудита с целью заключения муниципальных контрактов; сложившаяся эпидемиологическая ситуация, связанная с распространением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инфекции, в связи с чем, сроки проведения конкурсных процедур по закупке товаров, работ и услуг, а также поставка товаров, работ и услуг (и соответственно их оплата) были перенесены на более поздние сроки</w:t>
            </w:r>
          </w:p>
        </w:tc>
      </w:tr>
      <w:tr w:rsidR="004A2AEA" w:rsidRPr="00F46B26" w:rsidTr="00307AC2">
        <w:tc>
          <w:tcPr>
            <w:tcW w:w="567" w:type="dxa"/>
          </w:tcPr>
          <w:p w:rsidR="004A2AEA" w:rsidRPr="00D346EB" w:rsidRDefault="006406AA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9" w:type="dxa"/>
          </w:tcPr>
          <w:p w:rsidR="004A2AEA" w:rsidRPr="00D346EB" w:rsidRDefault="004A2AEA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D346EB">
              <w:rPr>
                <w:sz w:val="20"/>
                <w:szCs w:val="24"/>
              </w:rPr>
              <w:t>«Социальная поддержка граждан»</w:t>
            </w:r>
          </w:p>
        </w:tc>
        <w:tc>
          <w:tcPr>
            <w:tcW w:w="8079" w:type="dxa"/>
          </w:tcPr>
          <w:p w:rsidR="00086594" w:rsidRPr="00074598" w:rsidRDefault="004A2AEA" w:rsidP="00086594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госпрограмме </w:t>
            </w:r>
            <w:r w:rsidRPr="00074598">
              <w:rPr>
                <w:b/>
                <w:sz w:val="20"/>
                <w:szCs w:val="24"/>
              </w:rPr>
              <w:t>«Социальная поддержка граждан»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исполнение расходов составило </w:t>
            </w:r>
            <w:r w:rsidR="00B062DD" w:rsidRPr="00074598">
              <w:rPr>
                <w:bCs/>
                <w:sz w:val="20"/>
                <w:szCs w:val="20"/>
                <w:lang w:eastAsia="en-US"/>
              </w:rPr>
              <w:t>77</w:t>
            </w:r>
            <w:r w:rsidRPr="00074598">
              <w:rPr>
                <w:bCs/>
                <w:sz w:val="20"/>
                <w:szCs w:val="20"/>
                <w:lang w:eastAsia="en-US"/>
              </w:rPr>
              <w:t> % показателя сводной росписи с изменениями</w:t>
            </w:r>
            <w:r w:rsidR="00086594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 w:rsidR="00086594">
              <w:rPr>
                <w:bCs/>
                <w:sz w:val="20"/>
                <w:szCs w:val="24"/>
              </w:rPr>
              <w:t>73,7</w:t>
            </w:r>
            <w:r w:rsidR="00086594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4A2AEA" w:rsidRPr="00074598" w:rsidRDefault="00562E3E" w:rsidP="004A2AE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Н</w:t>
            </w:r>
            <w:r w:rsidR="004A2AEA" w:rsidRPr="00074598">
              <w:rPr>
                <w:bCs/>
                <w:sz w:val="20"/>
                <w:szCs w:val="20"/>
                <w:lang w:eastAsia="en-US"/>
              </w:rPr>
              <w:t>изк</w:t>
            </w:r>
            <w:r w:rsidRPr="00074598">
              <w:rPr>
                <w:bCs/>
                <w:sz w:val="20"/>
                <w:szCs w:val="20"/>
                <w:lang w:eastAsia="en-US"/>
              </w:rPr>
              <w:t>ий</w:t>
            </w:r>
            <w:r w:rsidR="004A2AEA"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074598">
              <w:rPr>
                <w:bCs/>
                <w:sz w:val="20"/>
                <w:szCs w:val="20"/>
                <w:lang w:eastAsia="en-US"/>
              </w:rPr>
              <w:t>уровень</w:t>
            </w:r>
            <w:r w:rsidR="004A2AEA" w:rsidRPr="00074598">
              <w:rPr>
                <w:bCs/>
                <w:sz w:val="20"/>
                <w:szCs w:val="20"/>
                <w:lang w:eastAsia="en-US"/>
              </w:rPr>
              <w:t xml:space="preserve"> исполнени</w:t>
            </w:r>
            <w:r w:rsidRPr="00074598">
              <w:rPr>
                <w:bCs/>
                <w:sz w:val="20"/>
                <w:szCs w:val="20"/>
                <w:lang w:eastAsia="en-US"/>
              </w:rPr>
              <w:t>я</w:t>
            </w:r>
            <w:r w:rsidR="004A2AEA" w:rsidRPr="00074598">
              <w:rPr>
                <w:bCs/>
                <w:sz w:val="20"/>
                <w:szCs w:val="20"/>
                <w:lang w:eastAsia="en-US"/>
              </w:rPr>
              <w:t xml:space="preserve"> сложил</w:t>
            </w:r>
            <w:r w:rsidRPr="00074598">
              <w:rPr>
                <w:bCs/>
                <w:sz w:val="20"/>
                <w:szCs w:val="20"/>
                <w:lang w:eastAsia="en-US"/>
              </w:rPr>
              <w:t>ся</w:t>
            </w:r>
            <w:r w:rsidR="004A2AEA" w:rsidRPr="00074598">
              <w:rPr>
                <w:bCs/>
                <w:sz w:val="20"/>
                <w:szCs w:val="20"/>
                <w:lang w:eastAsia="en-US"/>
              </w:rPr>
              <w:t xml:space="preserve"> по подпрограмме «Старшее поколение» (</w:t>
            </w:r>
            <w:r w:rsidR="00EC072E" w:rsidRPr="00074598">
              <w:rPr>
                <w:bCs/>
                <w:sz w:val="20"/>
                <w:szCs w:val="20"/>
                <w:lang w:eastAsia="en-US"/>
              </w:rPr>
              <w:t>57</w:t>
            </w:r>
            <w:r w:rsidR="002C1E0A">
              <w:rPr>
                <w:bCs/>
                <w:sz w:val="20"/>
                <w:szCs w:val="20"/>
                <w:lang w:eastAsia="en-US"/>
              </w:rPr>
              <w:t>,0</w:t>
            </w:r>
            <w:r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="004A2AEA" w:rsidRPr="00074598">
              <w:rPr>
                <w:bCs/>
                <w:sz w:val="20"/>
                <w:szCs w:val="20"/>
                <w:lang w:eastAsia="en-US"/>
              </w:rPr>
              <w:t>%), что связано с низким исполнением, в том числе, по федеральному проекту «Старшее поколение» национального проекта «Демография» (</w:t>
            </w:r>
            <w:r w:rsidR="00EC072E" w:rsidRPr="00074598">
              <w:rPr>
                <w:bCs/>
                <w:sz w:val="20"/>
                <w:szCs w:val="20"/>
                <w:lang w:eastAsia="en-US"/>
              </w:rPr>
              <w:t>54,9</w:t>
            </w:r>
            <w:r w:rsidR="004A2AEA" w:rsidRPr="00074598">
              <w:rPr>
                <w:bCs/>
                <w:sz w:val="20"/>
                <w:szCs w:val="20"/>
                <w:lang w:eastAsia="en-US"/>
              </w:rPr>
              <w:t xml:space="preserve"> %), в том числе</w:t>
            </w:r>
            <w:r w:rsidR="007F0D59" w:rsidRPr="00074598">
              <w:rPr>
                <w:bCs/>
                <w:sz w:val="20"/>
                <w:szCs w:val="20"/>
                <w:lang w:eastAsia="en-US"/>
              </w:rPr>
              <w:t>:</w:t>
            </w:r>
          </w:p>
          <w:p w:rsidR="00EC072E" w:rsidRPr="00074598" w:rsidRDefault="00EC072E" w:rsidP="00EC072E">
            <w:pPr>
              <w:widowControl w:val="0"/>
              <w:spacing w:line="240" w:lineRule="auto"/>
              <w:ind w:left="34" w:right="-1" w:firstLine="283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на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реализация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пилотного проекта по вовлечению частных медицинских организаций в оказание медико-социальных услуг лицам в возрасте 65 лет и старше – 8,8 % (КБК 149 1006 036P351090);</w:t>
            </w:r>
          </w:p>
          <w:p w:rsidR="00EC072E" w:rsidRPr="00074598" w:rsidRDefault="00EC072E" w:rsidP="00EC072E">
            <w:pPr>
              <w:widowControl w:val="0"/>
              <w:spacing w:line="240" w:lineRule="auto"/>
              <w:ind w:left="34" w:right="-1" w:firstLine="283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-</w:t>
            </w:r>
            <w:r w:rsidR="002C1E0A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074598">
              <w:rPr>
                <w:bCs/>
                <w:sz w:val="20"/>
                <w:szCs w:val="20"/>
                <w:lang w:eastAsia="en-US"/>
              </w:rPr>
              <w:t>54,4 % (КБК 149 1006 036P351210);</w:t>
            </w:r>
          </w:p>
          <w:p w:rsidR="00EC072E" w:rsidRPr="00074598" w:rsidRDefault="00EC072E" w:rsidP="00EC072E">
            <w:pPr>
              <w:widowControl w:val="0"/>
              <w:spacing w:line="240" w:lineRule="auto"/>
              <w:ind w:left="34" w:right="-1" w:firstLine="283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на создание системы долговременного ухода за гражданами пожилого возраста и инвалидами – 55,8 % (КБК 149 1006 036P351630)</w:t>
            </w:r>
          </w:p>
          <w:p w:rsidR="004A2AEA" w:rsidRPr="00074598" w:rsidRDefault="004A2AEA" w:rsidP="004A2AE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Счетная палата при проведении экспертизы указанной госпрограммы отмечала, что одной из целей госпрограммы является создание условий для роста благосостояния граждан – получателей мер социальной поддержки, государственных социальных и страховых гарантий. При этом Указом № 204 установлено требование об обеспечении </w:t>
            </w:r>
            <w:r w:rsidRPr="00074598">
              <w:rPr>
                <w:bCs/>
                <w:sz w:val="20"/>
                <w:szCs w:val="20"/>
                <w:lang w:eastAsia="en-US"/>
              </w:rPr>
              <w:lastRenderedPageBreak/>
              <w:t>устойчивого роста реальных доходов граждан и снижения в 2 раза уровня бедности.</w:t>
            </w:r>
          </w:p>
          <w:p w:rsidR="004A2AEA" w:rsidRPr="00074598" w:rsidRDefault="004A2AEA" w:rsidP="004A2AE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Вместе с тем включенные в госпрограмму показатели не в полной мере обеспечивают возможность проверки и подтверждения достижения данной цели госпрограммы, что не соответствует требованиям пункта 11 </w:t>
            </w:r>
            <w:r w:rsidR="00D346EB" w:rsidRPr="00074598">
              <w:rPr>
                <w:bCs/>
                <w:sz w:val="20"/>
                <w:szCs w:val="20"/>
                <w:lang w:eastAsia="en-US"/>
              </w:rPr>
              <w:t>Порядка разработки, реализации и оценки эффективности государственных программ Российской Федерации</w:t>
            </w:r>
            <w:r w:rsidR="00082693" w:rsidRPr="00074598">
              <w:rPr>
                <w:bCs/>
                <w:sz w:val="20"/>
                <w:szCs w:val="20"/>
                <w:lang w:eastAsia="en-US"/>
              </w:rPr>
              <w:t>, утвержденного постановлением Правительства Российской Федерации от 2 августа 2010 г. № 588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и пункта 23 Методических указаний.</w:t>
            </w:r>
          </w:p>
          <w:p w:rsidR="004A2AEA" w:rsidRPr="00074598" w:rsidRDefault="004A2AEA" w:rsidP="004A2AEA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 этой связи систему показателей госпрограммы на уровне госпрограммы необходимо дополнить соответст</w:t>
            </w:r>
            <w:r w:rsidR="00D346EB" w:rsidRPr="00074598">
              <w:rPr>
                <w:bCs/>
                <w:sz w:val="20"/>
                <w:szCs w:val="20"/>
                <w:lang w:eastAsia="en-US"/>
              </w:rPr>
              <w:t>вующим показателем</w:t>
            </w:r>
          </w:p>
        </w:tc>
      </w:tr>
      <w:tr w:rsidR="00F46B26" w:rsidRPr="00F46B26" w:rsidTr="00307AC2">
        <w:tc>
          <w:tcPr>
            <w:tcW w:w="567" w:type="dxa"/>
          </w:tcPr>
          <w:p w:rsidR="005A16CE" w:rsidRPr="006406AA" w:rsidRDefault="006406AA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269" w:type="dxa"/>
          </w:tcPr>
          <w:p w:rsidR="005A16CE" w:rsidRPr="00015E74" w:rsidRDefault="001870C0" w:rsidP="0079491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015E74">
              <w:rPr>
                <w:sz w:val="20"/>
                <w:szCs w:val="24"/>
              </w:rPr>
              <w:t>«</w:t>
            </w:r>
            <w:r w:rsidR="005A16CE" w:rsidRPr="00015E74">
              <w:rPr>
                <w:sz w:val="20"/>
                <w:szCs w:val="24"/>
              </w:rPr>
              <w:t>Обеспечение доступным и комфортным жильем и коммунальными услугами граждан Российской Федерации</w:t>
            </w:r>
            <w:r w:rsidRPr="00015E74">
              <w:rPr>
                <w:sz w:val="20"/>
                <w:szCs w:val="24"/>
              </w:rPr>
              <w:t>»</w:t>
            </w:r>
          </w:p>
        </w:tc>
        <w:tc>
          <w:tcPr>
            <w:tcW w:w="8079" w:type="dxa"/>
          </w:tcPr>
          <w:p w:rsidR="00086594" w:rsidRPr="00074598" w:rsidRDefault="005B2C58" w:rsidP="00086594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</w:t>
            </w:r>
            <w:r w:rsidR="002908A3" w:rsidRPr="00074598">
              <w:rPr>
                <w:bCs/>
                <w:sz w:val="20"/>
                <w:szCs w:val="20"/>
                <w:lang w:eastAsia="en-US"/>
              </w:rPr>
              <w:t xml:space="preserve"> госпрограмм</w:t>
            </w:r>
            <w:r w:rsidRPr="00074598">
              <w:rPr>
                <w:bCs/>
                <w:sz w:val="20"/>
                <w:szCs w:val="20"/>
                <w:lang w:eastAsia="en-US"/>
              </w:rPr>
              <w:t>е</w:t>
            </w:r>
            <w:r w:rsidR="00DA61E6" w:rsidRPr="00074598">
              <w:rPr>
                <w:bCs/>
                <w:sz w:val="20"/>
                <w:szCs w:val="24"/>
              </w:rPr>
              <w:t xml:space="preserve"> </w:t>
            </w:r>
            <w:r w:rsidR="001870C0" w:rsidRPr="00074598">
              <w:rPr>
                <w:b/>
                <w:sz w:val="20"/>
                <w:szCs w:val="24"/>
              </w:rPr>
              <w:t>«</w:t>
            </w:r>
            <w:r w:rsidR="00DA61E6" w:rsidRPr="00074598">
              <w:rPr>
                <w:b/>
                <w:sz w:val="20"/>
                <w:szCs w:val="24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1870C0" w:rsidRPr="00074598">
              <w:rPr>
                <w:b/>
                <w:sz w:val="20"/>
                <w:szCs w:val="24"/>
              </w:rPr>
              <w:t>»</w:t>
            </w:r>
            <w:r w:rsidR="00DA61E6" w:rsidRPr="00074598">
              <w:rPr>
                <w:bCs/>
                <w:sz w:val="20"/>
                <w:szCs w:val="24"/>
              </w:rPr>
              <w:t xml:space="preserve"> </w:t>
            </w:r>
            <w:r w:rsidR="00274FDF" w:rsidRPr="00074598">
              <w:rPr>
                <w:bCs/>
                <w:sz w:val="20"/>
                <w:szCs w:val="24"/>
              </w:rPr>
              <w:t xml:space="preserve">исполнение </w:t>
            </w:r>
            <w:r w:rsidR="002908A3" w:rsidRPr="00074598">
              <w:rPr>
                <w:bCs/>
                <w:sz w:val="20"/>
                <w:szCs w:val="24"/>
              </w:rPr>
              <w:t>расходов</w:t>
            </w:r>
            <w:r w:rsidR="00274FDF" w:rsidRPr="00074598">
              <w:rPr>
                <w:bCs/>
                <w:sz w:val="20"/>
                <w:szCs w:val="24"/>
              </w:rPr>
              <w:t xml:space="preserve"> составило </w:t>
            </w:r>
            <w:r w:rsidR="005B57EE" w:rsidRPr="00074598">
              <w:rPr>
                <w:bCs/>
                <w:sz w:val="20"/>
                <w:szCs w:val="24"/>
              </w:rPr>
              <w:t>66,4</w:t>
            </w:r>
            <w:r w:rsidR="00274FDF" w:rsidRPr="00074598">
              <w:rPr>
                <w:bCs/>
                <w:sz w:val="20"/>
                <w:szCs w:val="24"/>
              </w:rPr>
              <w:t xml:space="preserve"> % </w:t>
            </w:r>
            <w:r w:rsidR="002908A3" w:rsidRPr="00074598">
              <w:rPr>
                <w:bCs/>
                <w:sz w:val="20"/>
                <w:szCs w:val="24"/>
              </w:rPr>
              <w:t>показателя</w:t>
            </w:r>
            <w:r w:rsidR="00274FDF" w:rsidRPr="00074598">
              <w:rPr>
                <w:bCs/>
                <w:sz w:val="20"/>
                <w:szCs w:val="24"/>
              </w:rPr>
              <w:t xml:space="preserve"> сводной роспис</w:t>
            </w:r>
            <w:r w:rsidR="002908A3" w:rsidRPr="00074598">
              <w:rPr>
                <w:bCs/>
                <w:sz w:val="20"/>
                <w:szCs w:val="24"/>
              </w:rPr>
              <w:t>и с изменениями</w:t>
            </w:r>
            <w:r w:rsidR="00086594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 w:rsidR="00086594">
              <w:rPr>
                <w:bCs/>
                <w:sz w:val="20"/>
                <w:szCs w:val="24"/>
              </w:rPr>
              <w:t>46</w:t>
            </w:r>
            <w:r w:rsidR="00086594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9B1ECB" w:rsidRPr="00074598" w:rsidRDefault="009B1ECB" w:rsidP="009B1ECB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Наибольшую долю в объеме расходов по указанной госпрограмме составили межбюджетные трансферты бюджетам субъектов Российской Федерации (145 436,0 млн. рублей, или 53 % расходов по госпрограмме), а также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(64 610,0 млн. рублей, или 23,5 %). </w:t>
            </w:r>
          </w:p>
          <w:p w:rsidR="009B1ECB" w:rsidRPr="00074598" w:rsidRDefault="009B1ECB" w:rsidP="009B1ECB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Кассовое исполнение по межбюджетным трансфертам по указанной госпрограмме составило 76 160,9 млн. рублей, или 52,4 % показателя сводной росписи с изменениями.</w:t>
            </w:r>
          </w:p>
          <w:p w:rsidR="009B1ECB" w:rsidRPr="00074598" w:rsidRDefault="009B1ECB" w:rsidP="009B1ECB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сводной бюджетной росписью предусмотрены:</w:t>
            </w:r>
          </w:p>
          <w:p w:rsidR="009B1ECB" w:rsidRPr="00074598" w:rsidRDefault="009B1ECB" w:rsidP="009B1ECB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акционерному обществу «ДОМ</w:t>
            </w:r>
            <w:proofErr w:type="gramStart"/>
            <w:r w:rsidRPr="00074598">
              <w:rPr>
                <w:bCs/>
                <w:sz w:val="20"/>
                <w:szCs w:val="24"/>
              </w:rPr>
              <w:t>.Р</w:t>
            </w:r>
            <w:proofErr w:type="gramEnd"/>
            <w:r w:rsidRPr="00074598">
              <w:rPr>
                <w:bCs/>
                <w:sz w:val="20"/>
                <w:szCs w:val="24"/>
              </w:rPr>
              <w:t xml:space="preserve">Ф», г. Москва, в виде вклада в имущество, не увеличивающего его уставный капитал, на цели возмещения кредитным организациям недополученных доходов по кредитам, выданным в целях реализации проектов жилищного строительства, за счет средств резервного фонда Правительства Российской Федерации в объеме 12 000,0 млн. рублей, кассовое исполнение составило 10 934,4 млн. рублей, или </w:t>
            </w:r>
            <w:r w:rsidR="00ED0638" w:rsidRPr="00074598">
              <w:rPr>
                <w:bCs/>
                <w:sz w:val="20"/>
                <w:szCs w:val="24"/>
              </w:rPr>
              <w:t>91,1 %</w:t>
            </w:r>
            <w:r w:rsidRPr="00074598">
              <w:rPr>
                <w:bCs/>
                <w:sz w:val="20"/>
                <w:szCs w:val="24"/>
              </w:rPr>
              <w:t>;</w:t>
            </w:r>
          </w:p>
          <w:p w:rsidR="009B1ECB" w:rsidRPr="00074598" w:rsidRDefault="009B1ECB" w:rsidP="009B1ECB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российским кредитным организациям и акционерному обществу «ДОМ</w:t>
            </w:r>
            <w:proofErr w:type="gramStart"/>
            <w:r w:rsidRPr="00074598">
              <w:rPr>
                <w:bCs/>
                <w:sz w:val="20"/>
                <w:szCs w:val="24"/>
              </w:rPr>
              <w:t>.Р</w:t>
            </w:r>
            <w:proofErr w:type="gramEnd"/>
            <w:r w:rsidRPr="00074598">
              <w:rPr>
                <w:bCs/>
                <w:sz w:val="20"/>
                <w:szCs w:val="24"/>
              </w:rPr>
              <w:t>Ф», г.</w:t>
            </w:r>
            <w:r w:rsidR="002C1E0A">
              <w:rPr>
                <w:bCs/>
                <w:sz w:val="20"/>
                <w:szCs w:val="24"/>
              </w:rPr>
              <w:t> </w:t>
            </w:r>
            <w:r w:rsidRPr="00074598">
              <w:rPr>
                <w:bCs/>
                <w:sz w:val="20"/>
                <w:szCs w:val="24"/>
              </w:rPr>
              <w:t>Москва, на возмещение недополученных доходов по выданным (приобретенным) жилищным (ипотечным) кредитам (займам) в объеме 11 621,5 млн. рублей</w:t>
            </w:r>
            <w:r w:rsidR="00ED0638" w:rsidRPr="00074598">
              <w:rPr>
                <w:bCs/>
                <w:sz w:val="20"/>
                <w:szCs w:val="24"/>
              </w:rPr>
              <w:t xml:space="preserve">, </w:t>
            </w:r>
            <w:r w:rsidRPr="00074598">
              <w:rPr>
                <w:bCs/>
                <w:sz w:val="20"/>
                <w:szCs w:val="24"/>
              </w:rPr>
              <w:t>кассовое исполнение составило 3 653</w:t>
            </w:r>
            <w:r w:rsidR="00ED0638" w:rsidRPr="00074598">
              <w:rPr>
                <w:bCs/>
                <w:sz w:val="20"/>
                <w:szCs w:val="24"/>
              </w:rPr>
              <w:t>,3 млн. рублей, или 31,4 %</w:t>
            </w:r>
            <w:r w:rsidRPr="00074598">
              <w:rPr>
                <w:bCs/>
                <w:sz w:val="20"/>
                <w:szCs w:val="24"/>
              </w:rPr>
              <w:t>;</w:t>
            </w:r>
          </w:p>
          <w:p w:rsidR="009B1ECB" w:rsidRPr="00074598" w:rsidRDefault="009B1ECB" w:rsidP="009B1ECB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акционерному обществу «ДОМ</w:t>
            </w:r>
            <w:proofErr w:type="gramStart"/>
            <w:r w:rsidRPr="00074598">
              <w:rPr>
                <w:bCs/>
                <w:sz w:val="20"/>
                <w:szCs w:val="24"/>
              </w:rPr>
              <w:t>.Р</w:t>
            </w:r>
            <w:proofErr w:type="gramEnd"/>
            <w:r w:rsidRPr="00074598">
              <w:rPr>
                <w:bCs/>
                <w:sz w:val="20"/>
                <w:szCs w:val="24"/>
              </w:rPr>
              <w:t>Ф» в виде вклада в имущество, не увеличивающего его уставный капитал, на цели возмещения кредитным и иным организациям недополученных доходов по жилищным (ипотечным) кредитам (займам), выданным гражданам Российской Федерации в 2020 году по ставке до 6,5 процента годовых, за счет средств резервного фонда Правительства Российской Федерации в объеме 6 000,0 млн. рублей</w:t>
            </w:r>
            <w:r w:rsidR="00ED0638" w:rsidRPr="00074598">
              <w:rPr>
                <w:bCs/>
                <w:sz w:val="20"/>
                <w:szCs w:val="24"/>
              </w:rPr>
              <w:t xml:space="preserve">, </w:t>
            </w:r>
            <w:r w:rsidRPr="00074598">
              <w:rPr>
                <w:bCs/>
                <w:sz w:val="20"/>
                <w:szCs w:val="24"/>
              </w:rPr>
              <w:t>кассовое исполнени</w:t>
            </w:r>
            <w:r w:rsidR="00ED0638" w:rsidRPr="00074598">
              <w:rPr>
                <w:bCs/>
                <w:sz w:val="20"/>
                <w:szCs w:val="24"/>
              </w:rPr>
              <w:t>е составило 5 024,2 млн. рублей, или 83,7 %</w:t>
            </w:r>
            <w:r w:rsidRPr="00074598">
              <w:rPr>
                <w:bCs/>
                <w:sz w:val="20"/>
                <w:szCs w:val="24"/>
              </w:rPr>
              <w:t>;</w:t>
            </w:r>
          </w:p>
          <w:p w:rsidR="009B1ECB" w:rsidRPr="00074598" w:rsidRDefault="009B1ECB" w:rsidP="009B1ECB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акционерному обществу «ДОМ</w:t>
            </w:r>
            <w:proofErr w:type="gramStart"/>
            <w:r w:rsidRPr="00074598">
              <w:rPr>
                <w:bCs/>
                <w:sz w:val="20"/>
                <w:szCs w:val="24"/>
              </w:rPr>
              <w:t>.Р</w:t>
            </w:r>
            <w:proofErr w:type="gramEnd"/>
            <w:r w:rsidRPr="00074598">
              <w:rPr>
                <w:bCs/>
                <w:sz w:val="20"/>
                <w:szCs w:val="24"/>
              </w:rPr>
              <w:t>Ф», г. Москва, на возмещение недополученных доходов и затрат в связи с реализацией программы дополнительных мер государственной поддержки граждан Российской Федерации, получивших жилищный (ипотечный) кредит (заем) для приобретения жилья, при рождении у них третьего ребенка или последующих детей в объеме 13 600,0 млн. рублей (кассовое исполнение составило 100 %);</w:t>
            </w:r>
          </w:p>
          <w:p w:rsidR="005E1631" w:rsidRPr="00074598" w:rsidRDefault="009B1ECB" w:rsidP="00ED0638">
            <w:pPr>
              <w:widowControl w:val="0"/>
              <w:spacing w:line="240" w:lineRule="auto"/>
              <w:ind w:left="34" w:right="-1" w:firstLine="318"/>
              <w:rPr>
                <w:rFonts w:eastAsia="Times New Roman"/>
                <w:sz w:val="20"/>
                <w:szCs w:val="20"/>
              </w:rPr>
            </w:pPr>
            <w:r w:rsidRPr="00074598">
              <w:rPr>
                <w:bCs/>
                <w:sz w:val="20"/>
                <w:szCs w:val="24"/>
              </w:rPr>
              <w:t>акционерному обществу «ДОМ</w:t>
            </w:r>
            <w:proofErr w:type="gramStart"/>
            <w:r w:rsidRPr="00074598">
              <w:rPr>
                <w:bCs/>
                <w:sz w:val="20"/>
                <w:szCs w:val="24"/>
              </w:rPr>
              <w:t>.Р</w:t>
            </w:r>
            <w:proofErr w:type="gramEnd"/>
            <w:r w:rsidRPr="00074598">
              <w:rPr>
                <w:bCs/>
                <w:sz w:val="20"/>
                <w:szCs w:val="24"/>
              </w:rPr>
              <w:t>Ф»,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за счет средств резервного фонда Правительства Российской Федерации в объеме 21 388,5 млн. рублей</w:t>
            </w:r>
            <w:r w:rsidR="00ED0638" w:rsidRPr="00074598">
              <w:rPr>
                <w:bCs/>
                <w:sz w:val="20"/>
                <w:szCs w:val="24"/>
              </w:rPr>
              <w:t xml:space="preserve">, </w:t>
            </w:r>
            <w:r w:rsidRPr="00074598">
              <w:rPr>
                <w:bCs/>
                <w:sz w:val="20"/>
                <w:szCs w:val="24"/>
              </w:rPr>
              <w:t>кассовое исполнение составило 15 587,1 млн. рублей</w:t>
            </w:r>
            <w:r w:rsidR="00ED0638" w:rsidRPr="00074598">
              <w:rPr>
                <w:bCs/>
                <w:sz w:val="20"/>
                <w:szCs w:val="24"/>
              </w:rPr>
              <w:t>, или 72,9 %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3E0D33" w:rsidRDefault="006406AA" w:rsidP="001278FF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</w:tcPr>
          <w:p w:rsidR="00614DEE" w:rsidRPr="003E0D33" w:rsidRDefault="00614DEE" w:rsidP="001278FF">
            <w:pPr>
              <w:spacing w:line="240" w:lineRule="auto"/>
              <w:ind w:left="0" w:right="0" w:firstLine="0"/>
              <w:rPr>
                <w:iCs/>
                <w:sz w:val="20"/>
                <w:szCs w:val="24"/>
              </w:rPr>
            </w:pPr>
            <w:r w:rsidRPr="003E0D33">
              <w:rPr>
                <w:iCs/>
                <w:sz w:val="20"/>
                <w:szCs w:val="24"/>
              </w:rPr>
              <w:t>«Содействие занятости населения»</w:t>
            </w:r>
          </w:p>
        </w:tc>
        <w:tc>
          <w:tcPr>
            <w:tcW w:w="8079" w:type="dxa"/>
          </w:tcPr>
          <w:p w:rsidR="00086594" w:rsidRPr="00074598" w:rsidRDefault="00614DEE" w:rsidP="00086594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госпрограмме </w:t>
            </w:r>
            <w:r w:rsidRPr="00074598">
              <w:rPr>
                <w:b/>
                <w:bCs/>
                <w:sz w:val="20"/>
                <w:szCs w:val="20"/>
                <w:lang w:eastAsia="en-US"/>
              </w:rPr>
              <w:t>«Содействие занятости населения»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исполнение расходов составило </w:t>
            </w:r>
            <w:r w:rsidR="00C64080" w:rsidRPr="00074598">
              <w:rPr>
                <w:bCs/>
                <w:sz w:val="20"/>
                <w:szCs w:val="20"/>
                <w:lang w:eastAsia="en-US"/>
              </w:rPr>
              <w:t>83,5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% показателя сводной росписи с изменениями</w:t>
            </w:r>
            <w:r w:rsidR="00086594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 w:rsidR="00086594">
              <w:rPr>
                <w:bCs/>
                <w:sz w:val="20"/>
                <w:szCs w:val="24"/>
              </w:rPr>
              <w:t>66,7</w:t>
            </w:r>
            <w:r w:rsidR="00086594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55388B" w:rsidRPr="00074598" w:rsidRDefault="0055388B" w:rsidP="00FD6D1B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86594">
              <w:rPr>
                <w:bCs/>
                <w:sz w:val="20"/>
                <w:szCs w:val="20"/>
                <w:lang w:eastAsia="en-US"/>
              </w:rPr>
              <w:t>В отчетном периоде не осуществлялось исполнение расходов по подпрограмме «Безопасный труд» (бюджетные ассигнования предусмотрены в сумме 68,0 млн. рублей).</w:t>
            </w:r>
          </w:p>
          <w:p w:rsidR="00C64080" w:rsidRPr="00074598" w:rsidRDefault="00C64080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Внесение изменений в сводную бюджетную роспись расходов на реализацию госпрограммы за 9 месяцев 2020 года производилось по 6 кодам видов изменений.</w:t>
            </w:r>
          </w:p>
          <w:p w:rsidR="00C64080" w:rsidRPr="00074598" w:rsidRDefault="00C64080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lastRenderedPageBreak/>
              <w:t xml:space="preserve">Наибольшее увеличение бюджетных ассигнований произведено по коду вида изменений 122 </w:t>
            </w:r>
            <w:r w:rsidR="007410BF">
              <w:rPr>
                <w:bCs/>
                <w:sz w:val="20"/>
                <w:szCs w:val="20"/>
                <w:lang w:eastAsia="en-US"/>
              </w:rPr>
              <w:t>«</w:t>
            </w:r>
            <w:r w:rsidR="007410BF" w:rsidRPr="007410BF">
              <w:rPr>
                <w:bCs/>
                <w:sz w:val="20"/>
                <w:szCs w:val="20"/>
                <w:lang w:eastAsia="en-US"/>
              </w:rPr>
              <w:t>Изменения, вносимые в случае использования (перераспределения) средств резервного фонда Правительства Российской Федерации</w:t>
            </w:r>
            <w:r w:rsidR="007410BF">
              <w:rPr>
                <w:bCs/>
                <w:sz w:val="20"/>
                <w:szCs w:val="20"/>
                <w:lang w:eastAsia="en-US"/>
              </w:rPr>
              <w:t xml:space="preserve">» </w:t>
            </w:r>
            <w:r w:rsidRPr="00074598">
              <w:rPr>
                <w:bCs/>
                <w:sz w:val="20"/>
                <w:szCs w:val="20"/>
                <w:lang w:eastAsia="en-US"/>
              </w:rPr>
              <w:t>на общую сумму 115</w:t>
            </w:r>
            <w:r w:rsidR="007410BF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>6</w:t>
            </w:r>
            <w:r w:rsidR="007410BF">
              <w:rPr>
                <w:bCs/>
                <w:sz w:val="20"/>
                <w:szCs w:val="20"/>
                <w:lang w:eastAsia="en-US"/>
              </w:rPr>
              <w:t>98,7 млн. рублей, из них на 111 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507,3 млн. рублей увеличены бюджетные ассигнования на осуществление социальных выплат гражданам, потерявшим работу в период пандемии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коронавируса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>. Общая сумма средств на 1 октября 2020 год, предусмотренная на осуществление социальных выплат гражданам, признанным безработными, составляет 165 774,8 млн. рублей, что в 3 раза превышает объемы, утвержденные Федеральным законом № 380-ФЗ (с изменениями) (54 267,5 млн. рублей).</w:t>
            </w:r>
          </w:p>
          <w:p w:rsidR="00C64080" w:rsidRPr="00074598" w:rsidRDefault="00C64080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 связи с пандемией с апреля 2020 года был предпринят ряд мер поддержки граждан, потерявших работу</w:t>
            </w:r>
            <w:r w:rsidR="0043539D" w:rsidRPr="00074598">
              <w:rPr>
                <w:bCs/>
                <w:sz w:val="20"/>
                <w:szCs w:val="20"/>
                <w:lang w:eastAsia="en-US"/>
              </w:rPr>
              <w:t>:</w:t>
            </w:r>
          </w:p>
          <w:p w:rsidR="00C64080" w:rsidRPr="00074598" w:rsidRDefault="0043539D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н</w:t>
            </w:r>
            <w:r w:rsidR="00C64080" w:rsidRPr="00074598">
              <w:rPr>
                <w:bCs/>
                <w:sz w:val="20"/>
                <w:szCs w:val="20"/>
                <w:lang w:eastAsia="en-US"/>
              </w:rPr>
              <w:t xml:space="preserve">а 2020 год повышен максимальный размер пособия по безработице, он приравнен </w:t>
            </w:r>
            <w:proofErr w:type="gramStart"/>
            <w:r w:rsidR="00C64080" w:rsidRPr="00074598">
              <w:rPr>
                <w:bCs/>
                <w:sz w:val="20"/>
                <w:szCs w:val="20"/>
                <w:lang w:eastAsia="en-US"/>
              </w:rPr>
              <w:t>к</w:t>
            </w:r>
            <w:proofErr w:type="gramEnd"/>
            <w:r w:rsidR="00C64080" w:rsidRPr="00074598">
              <w:rPr>
                <w:bCs/>
                <w:sz w:val="20"/>
                <w:szCs w:val="20"/>
                <w:lang w:eastAsia="en-US"/>
              </w:rPr>
              <w:t xml:space="preserve"> МРОТ и составляет 12 130 рублей. По данным </w:t>
            </w:r>
            <w:proofErr w:type="spellStart"/>
            <w:r w:rsidR="00C64080" w:rsidRPr="00074598">
              <w:rPr>
                <w:bCs/>
                <w:sz w:val="20"/>
                <w:szCs w:val="20"/>
                <w:lang w:eastAsia="en-US"/>
              </w:rPr>
              <w:t>Роструда</w:t>
            </w:r>
            <w:proofErr w:type="spellEnd"/>
            <w:r w:rsidR="00C64080" w:rsidRPr="00074598">
              <w:rPr>
                <w:bCs/>
                <w:sz w:val="20"/>
                <w:szCs w:val="20"/>
                <w:lang w:eastAsia="en-US"/>
              </w:rPr>
              <w:t xml:space="preserve"> по состоянию на 5 октября указанную вы</w:t>
            </w:r>
            <w:r w:rsidRPr="00074598">
              <w:rPr>
                <w:bCs/>
                <w:sz w:val="20"/>
                <w:szCs w:val="20"/>
                <w:lang w:eastAsia="en-US"/>
              </w:rPr>
              <w:t>плату получают 1,2 млн. человек;</w:t>
            </w:r>
          </w:p>
          <w:p w:rsidR="00C64080" w:rsidRPr="00074598" w:rsidRDefault="0043539D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г</w:t>
            </w:r>
            <w:r w:rsidR="00C64080" w:rsidRPr="00074598">
              <w:rPr>
                <w:bCs/>
                <w:sz w:val="20"/>
                <w:szCs w:val="20"/>
                <w:lang w:eastAsia="en-US"/>
              </w:rPr>
              <w:t>ражданам, которые потеряли работу с 1 марта 2020 года, размер пособия по безработице устанавливается в максимальном размере вне зависимости от стажа и уровня заработка на прошлом месте работы, при этом гражданам, имеющим детей в возрасте до 18 лет, предусмотрено увеличение данного пособия в апреле - сентябре на 3 000 рублей на каждого ребенка одному из родителей.</w:t>
            </w:r>
            <w:proofErr w:type="gramEnd"/>
            <w:r w:rsidR="00C64080" w:rsidRPr="00074598">
              <w:rPr>
                <w:bCs/>
                <w:sz w:val="20"/>
                <w:szCs w:val="20"/>
                <w:lang w:eastAsia="en-US"/>
              </w:rPr>
              <w:t xml:space="preserve"> Всего за период действия этой меры выплату получили 1</w:t>
            </w:r>
            <w:r w:rsidRPr="00074598">
              <w:rPr>
                <w:bCs/>
                <w:sz w:val="20"/>
                <w:szCs w:val="20"/>
                <w:lang w:eastAsia="en-US"/>
              </w:rPr>
              <w:t>,8 млн. семей на 3,3 млн. детей;</w:t>
            </w:r>
          </w:p>
          <w:p w:rsidR="00C64080" w:rsidRPr="00074598" w:rsidRDefault="0043539D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г</w:t>
            </w:r>
            <w:r w:rsidR="00C64080" w:rsidRPr="00074598">
              <w:rPr>
                <w:bCs/>
                <w:sz w:val="20"/>
                <w:szCs w:val="20"/>
                <w:lang w:eastAsia="en-US"/>
              </w:rPr>
              <w:t>ражданам, потерявши</w:t>
            </w:r>
            <w:r w:rsidR="007410BF">
              <w:rPr>
                <w:bCs/>
                <w:sz w:val="20"/>
                <w:szCs w:val="20"/>
                <w:lang w:eastAsia="en-US"/>
              </w:rPr>
              <w:t>м</w:t>
            </w:r>
            <w:r w:rsidR="00C64080" w:rsidRPr="00074598">
              <w:rPr>
                <w:bCs/>
                <w:sz w:val="20"/>
                <w:szCs w:val="20"/>
                <w:lang w:eastAsia="en-US"/>
              </w:rPr>
              <w:t xml:space="preserve"> работу до начала ограничительных мер (до 1 марта 2020 года), у которых в ближайшие месяцы будет истекать установленный срок назначения им пособия по безработице, выплата пособия по безработице продлевается на срок, не превышающий 3 месяцев, но не позднее 1 октября 2020 года). Пособие получи</w:t>
            </w:r>
            <w:r w:rsidRPr="00074598">
              <w:rPr>
                <w:bCs/>
                <w:sz w:val="20"/>
                <w:szCs w:val="20"/>
                <w:lang w:eastAsia="en-US"/>
              </w:rPr>
              <w:t>ли 1,6 млн. безработных граждан;</w:t>
            </w:r>
          </w:p>
          <w:p w:rsidR="00C64080" w:rsidRPr="00074598" w:rsidRDefault="0043539D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</w:t>
            </w:r>
            <w:r w:rsidR="00C64080" w:rsidRPr="00074598">
              <w:rPr>
                <w:bCs/>
                <w:sz w:val="20"/>
                <w:szCs w:val="20"/>
                <w:lang w:eastAsia="en-US"/>
              </w:rPr>
              <w:t>ведена в действие упрощенная дистанционная регистрация граждан в качестве безработных в личном кабинете информационно-аналитической системы «Работа в России» либо в личном кабинете федеральной государственной информационной системы «Единый портал государственных и муниципальных услуг (функций)», сокращен перечень предоставляемых в этих целях документов (соответствующая информ</w:t>
            </w:r>
            <w:r w:rsidRPr="00074598">
              <w:rPr>
                <w:bCs/>
                <w:sz w:val="20"/>
                <w:szCs w:val="20"/>
                <w:lang w:eastAsia="en-US"/>
              </w:rPr>
              <w:t>ация формируется по данным ПФР);</w:t>
            </w:r>
            <w:r w:rsidR="00C64080"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C64080" w:rsidRPr="00074598" w:rsidRDefault="0043539D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у</w:t>
            </w:r>
            <w:r w:rsidR="00C64080" w:rsidRPr="00074598">
              <w:rPr>
                <w:bCs/>
                <w:sz w:val="20"/>
                <w:szCs w:val="20"/>
                <w:lang w:eastAsia="en-US"/>
              </w:rPr>
              <w:t>величен минимальный размер пособия по безработице с 1 500 рублей до 4 500 рублей (срок действия меры - с мая до сентября 2020 года). Численность граждан, получивших пособие в размере 4 500 рублей, составил</w:t>
            </w:r>
            <w:r w:rsidRPr="00074598">
              <w:rPr>
                <w:bCs/>
                <w:sz w:val="20"/>
                <w:szCs w:val="20"/>
                <w:lang w:eastAsia="en-US"/>
              </w:rPr>
              <w:t>а 2,3 млн. человек;</w:t>
            </w:r>
            <w:r w:rsidR="00C64080"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C64080" w:rsidRPr="00074598" w:rsidRDefault="0043539D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и</w:t>
            </w:r>
            <w:r w:rsidR="00C64080" w:rsidRPr="00074598">
              <w:rPr>
                <w:bCs/>
                <w:sz w:val="20"/>
                <w:szCs w:val="20"/>
                <w:lang w:eastAsia="en-US"/>
              </w:rPr>
              <w:t>ндивидуальным предпринимателям, которые остались без работы после 1 марта 2020 года, выплачивается пособие по безработице в размере 12 130 рублей в течение трех месяцев, но не позднее 1 октября 2020 года. Данную поддержку получили 39,7 тыс. индивидуальных предпринимателей.</w:t>
            </w:r>
          </w:p>
          <w:p w:rsidR="00C64080" w:rsidRPr="00074598" w:rsidRDefault="00C64080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По состоянию на 4 октября 2020 года численность безработных граждан, зарегистрированных в органах службы занятости, составила 3 679 618 человек (на 1 сентября 2020 года – 3 633 001 человек, на 9 сентября 2020 года – 3 655 921 человека на 17 сентября 2020 года – 3 674 561 человек, 21 сентября 2020 года -3 688 174 человека, на 28 сентября 2020 года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– </w:t>
            </w: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 xml:space="preserve">3 701 394 человека). </w:t>
            </w:r>
            <w:proofErr w:type="gramEnd"/>
          </w:p>
          <w:p w:rsidR="00C64080" w:rsidRPr="00074598" w:rsidRDefault="00C64080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Рост численности безработных вызван упрощенным порядком регистрации в качестве безработного, а также повышением максимального размера пособия по безработице </w:t>
            </w: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до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МРОТ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- 12 130 рублей, минимального размера - до 4,5 тыс. рублей. Изначально размеры пособий были 8 тыс. рублей и 1,5 тыс. рублей соответственно. </w:t>
            </w:r>
          </w:p>
          <w:p w:rsidR="00C64080" w:rsidRPr="00074598" w:rsidRDefault="00C64080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Следует отметить, что по данным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Роструда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за неделю – с 4 по 11 октября 2020 года наблюдается небольшое снижение (на 45 394 человека, или </w:t>
            </w:r>
            <w:r w:rsidR="007410BF">
              <w:rPr>
                <w:bCs/>
                <w:sz w:val="20"/>
                <w:szCs w:val="20"/>
                <w:lang w:eastAsia="en-US"/>
              </w:rPr>
              <w:t xml:space="preserve">на 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1,2 %) численности безработных– с 3 679 618 человек до 3 634 224 человек. </w:t>
            </w:r>
          </w:p>
          <w:p w:rsidR="00C64080" w:rsidRPr="00074598" w:rsidRDefault="00C64080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Кассовое исполнение субвенций на выплаты безработным гражданам по состоянию на 6 октября 2020 года составило 145 957,4 млн. рублей, или 88 % показателя сводной росписи</w:t>
            </w:r>
            <w:r w:rsidR="002C1E0A">
              <w:rPr>
                <w:bCs/>
                <w:sz w:val="20"/>
                <w:szCs w:val="20"/>
                <w:lang w:eastAsia="en-US"/>
              </w:rPr>
              <w:t xml:space="preserve"> с изменениями</w:t>
            </w:r>
            <w:r w:rsidRPr="00074598">
              <w:rPr>
                <w:bCs/>
                <w:sz w:val="20"/>
                <w:szCs w:val="20"/>
                <w:lang w:eastAsia="en-US"/>
              </w:rPr>
              <w:t>.</w:t>
            </w:r>
          </w:p>
          <w:p w:rsidR="00C64080" w:rsidRPr="00074598" w:rsidRDefault="00C64080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 xml:space="preserve">В связи с поручением Председателя Правительства Российской Федерации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М.В.Мишустина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и письмом Заместителя Председателя Правительства Рос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 xml:space="preserve">сийской Федерации </w:t>
            </w:r>
            <w:proofErr w:type="spellStart"/>
            <w:r w:rsidR="00EC33D3" w:rsidRPr="00074598">
              <w:rPr>
                <w:bCs/>
                <w:sz w:val="20"/>
                <w:szCs w:val="20"/>
                <w:lang w:eastAsia="en-US"/>
              </w:rPr>
              <w:t>Т.А.Голиковой</w:t>
            </w:r>
            <w:proofErr w:type="spellEnd"/>
            <w:r w:rsidR="00EC33D3"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074598">
              <w:rPr>
                <w:bCs/>
                <w:sz w:val="20"/>
                <w:szCs w:val="20"/>
                <w:lang w:eastAsia="en-US"/>
              </w:rPr>
              <w:t>о перераспределении части средств в резервный фонд Правительства Российской Федерации (на реализаци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ю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принимаемых Правительством </w:t>
            </w:r>
            <w:r w:rsidRPr="00074598">
              <w:rPr>
                <w:bCs/>
                <w:sz w:val="20"/>
                <w:szCs w:val="20"/>
                <w:lang w:eastAsia="en-US"/>
              </w:rPr>
              <w:lastRenderedPageBreak/>
              <w:t>Российской Федерации мер по противодействию распространения COVID-19 и поддержке экономики) существенно сокращены расходы в части реализации мероприятий по обучению, переобучению сотрудников предприятий;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женщин </w:t>
            </w: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в период отпуска по уходу за ребенком в возрасте до трех лет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, а также женщин, имеющих детей дошкольного возраста, не состоящих в трудовых отношениях и обратившихся в органы службы занятости, и граждан в возрасте 50 лет и старше, а также лиц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предпенсионного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возраста при содействии органов служб занятости.</w:t>
            </w:r>
          </w:p>
          <w:p w:rsidR="00C64080" w:rsidRPr="00074598" w:rsidRDefault="00C64080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В настоящее время регионами 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проводи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тся работа по изменению договоров (контрактов) до уменьшенных объемов финансирования согласно заключенным дополнительным соглашениям. Так, расходы, предусмотренные 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Федеральным з</w:t>
            </w:r>
            <w:r w:rsidRPr="00074598">
              <w:rPr>
                <w:bCs/>
                <w:sz w:val="20"/>
                <w:szCs w:val="20"/>
                <w:lang w:eastAsia="en-US"/>
              </w:rPr>
              <w:t>аконом №</w:t>
            </w:r>
            <w:r w:rsidR="007410BF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>380-ФЗ в сумме 930,6 млн. рублей на обучение, переобучение сотрудников предприятий, сводной бюджетной росписью уменьшены в 5,2 раза и составили 180,6 млн. рублей. По состоянию на 1 октября 2020 года кассовое исполнение составило 133,9 млн. рублей, или 83,5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% 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показателя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сводной росписи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 xml:space="preserve"> с изменениями</w:t>
            </w:r>
            <w:r w:rsidRPr="00074598">
              <w:rPr>
                <w:bCs/>
                <w:sz w:val="20"/>
                <w:szCs w:val="20"/>
                <w:lang w:eastAsia="en-US"/>
              </w:rPr>
              <w:t>.</w:t>
            </w:r>
          </w:p>
          <w:p w:rsidR="00C64080" w:rsidRPr="00074598" w:rsidRDefault="00C64080" w:rsidP="00C64080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 xml:space="preserve">Расходы, предусмотренные 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Федеральным законом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№ 380-ФЗ 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 xml:space="preserve">(с изменениями) </w:t>
            </w:r>
            <w:r w:rsidRPr="00074598">
              <w:rPr>
                <w:bCs/>
                <w:sz w:val="20"/>
                <w:szCs w:val="20"/>
                <w:lang w:eastAsia="en-US"/>
              </w:rPr>
              <w:t>на обучение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 в сумме 1 884,8 млн. рублей, уменьшены сводной бюджетной росписью в 2,5 раза и составили 753,9 млн. рублей.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За январь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>-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>сентябрь 2020 года кассовое исполнение составило 587,3 млн. рублей, или 77,9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% 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 xml:space="preserve">показателя </w:t>
            </w:r>
            <w:r w:rsidRPr="00074598">
              <w:rPr>
                <w:bCs/>
                <w:sz w:val="20"/>
                <w:szCs w:val="20"/>
                <w:lang w:eastAsia="en-US"/>
              </w:rPr>
              <w:t>сводной росписи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 xml:space="preserve"> с изменениями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. По данным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Роструда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по состоянию на 1 сентября 2020 года заключены договоры с 29,8 тыс. женщин, или 74,6 % программной численности (40,0 тыс. женщин); направлены на переобучение и повышение квалификации 26,3 тыс. женщин, в том числе дистанционно – 14,6 тыс. женщин.</w:t>
            </w:r>
          </w:p>
          <w:p w:rsidR="00614DEE" w:rsidRPr="00074598" w:rsidRDefault="00C64080" w:rsidP="001C6EB8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Расходы, предусмотренные 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Федеральным законом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№ 380-ФЗ 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 xml:space="preserve">(с изменениями) 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на обучение граждан в возрасте 50 лет и старше, а также лиц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предпенсионного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возраста (при содействии органов служб занятости) в сумме 3 399,5 млн. рублей уменьшены в 2,5 раза и составили 1 359,8 млн. рублей. За январь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>-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>сентябрь 2020 года кассовое исполнение составило 1 104,3 млн. рублей, или 81,2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% 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показателя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сводной росписи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 xml:space="preserve"> с изменениями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. </w:t>
            </w: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 xml:space="preserve">По данным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Роструда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, по состоянию на 1 сентября 2020 года заключены, а также находятся в стадии заключения (оформления) договоры на участие в мероприятии 58,3 тыс. граждан 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(</w:t>
            </w:r>
            <w:r w:rsidRPr="00074598">
              <w:rPr>
                <w:bCs/>
                <w:sz w:val="20"/>
                <w:szCs w:val="20"/>
                <w:lang w:eastAsia="en-US"/>
              </w:rPr>
              <w:t>58,3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% программного показателя (100 тыс. человек), направлены на переобучение и повышение квалификации 52,4 тыс. граждан (52,4 % </w:t>
            </w:r>
            <w:r w:rsidR="00EC33D3" w:rsidRPr="00074598">
              <w:rPr>
                <w:bCs/>
                <w:sz w:val="20"/>
                <w:szCs w:val="20"/>
                <w:lang w:eastAsia="en-US"/>
              </w:rPr>
              <w:t>программного показателя)</w:t>
            </w:r>
            <w:proofErr w:type="gramEnd"/>
          </w:p>
        </w:tc>
      </w:tr>
      <w:tr w:rsidR="00E6523A" w:rsidRPr="00F46B26" w:rsidTr="00307AC2">
        <w:tc>
          <w:tcPr>
            <w:tcW w:w="567" w:type="dxa"/>
          </w:tcPr>
          <w:p w:rsidR="00E6523A" w:rsidRDefault="006406AA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69" w:type="dxa"/>
          </w:tcPr>
          <w:p w:rsidR="00E6523A" w:rsidRPr="00F46B26" w:rsidRDefault="00E6523A" w:rsidP="00794911">
            <w:pPr>
              <w:spacing w:line="240" w:lineRule="auto"/>
              <w:ind w:left="0" w:right="0" w:firstLine="0"/>
              <w:rPr>
                <w:iCs/>
                <w:sz w:val="20"/>
                <w:szCs w:val="24"/>
              </w:rPr>
            </w:pPr>
            <w:r w:rsidRPr="00E6523A">
              <w:rPr>
                <w:iCs/>
                <w:sz w:val="20"/>
                <w:szCs w:val="24"/>
              </w:rPr>
              <w:t>«Развитие культуры»</w:t>
            </w:r>
          </w:p>
        </w:tc>
        <w:tc>
          <w:tcPr>
            <w:tcW w:w="8079" w:type="dxa"/>
          </w:tcPr>
          <w:p w:rsidR="000E2399" w:rsidRPr="00074598" w:rsidRDefault="00E6523A" w:rsidP="000E2399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sz w:val="20"/>
                <w:szCs w:val="20"/>
              </w:rPr>
              <w:t xml:space="preserve"> </w:t>
            </w:r>
            <w:r w:rsidRPr="00074598">
              <w:rPr>
                <w:b/>
                <w:sz w:val="20"/>
                <w:szCs w:val="20"/>
              </w:rPr>
              <w:t>«Развитие культуры»</w:t>
            </w:r>
            <w:r w:rsidRPr="00074598">
              <w:rPr>
                <w:sz w:val="20"/>
                <w:szCs w:val="20"/>
              </w:rPr>
              <w:t xml:space="preserve">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исполнение расходов составило </w:t>
            </w:r>
            <w:r w:rsidR="00F74C14" w:rsidRPr="00074598">
              <w:rPr>
                <w:rFonts w:eastAsia="Times New Roman"/>
                <w:sz w:val="20"/>
                <w:szCs w:val="20"/>
              </w:rPr>
              <w:t>59,4</w:t>
            </w:r>
            <w:r w:rsidRPr="00074598">
              <w:rPr>
                <w:rFonts w:eastAsia="Times New Roman"/>
                <w:sz w:val="20"/>
                <w:szCs w:val="20"/>
              </w:rPr>
              <w:t> % показателя сводной росписи с изменениями</w:t>
            </w:r>
            <w:r w:rsidR="000E2399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 w:rsidR="000E2399">
              <w:rPr>
                <w:bCs/>
                <w:sz w:val="20"/>
                <w:szCs w:val="24"/>
              </w:rPr>
              <w:t>50,9</w:t>
            </w:r>
            <w:r w:rsidR="000E2399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E6523A" w:rsidRPr="00074598" w:rsidRDefault="005D0D84" w:rsidP="00E6523A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Уровень и</w:t>
            </w:r>
            <w:r w:rsidR="00BD0E38" w:rsidRPr="00074598">
              <w:rPr>
                <w:bCs/>
                <w:sz w:val="20"/>
                <w:szCs w:val="20"/>
                <w:lang w:eastAsia="en-US"/>
              </w:rPr>
              <w:t>сполнени</w:t>
            </w:r>
            <w:r w:rsidRPr="00074598">
              <w:rPr>
                <w:bCs/>
                <w:sz w:val="20"/>
                <w:szCs w:val="20"/>
                <w:lang w:eastAsia="en-US"/>
              </w:rPr>
              <w:t>я</w:t>
            </w:r>
            <w:r w:rsidR="00BD0E38" w:rsidRPr="00074598">
              <w:rPr>
                <w:bCs/>
                <w:sz w:val="20"/>
                <w:szCs w:val="20"/>
                <w:lang w:eastAsia="en-US"/>
              </w:rPr>
              <w:t xml:space="preserve"> расходов </w:t>
            </w:r>
            <w:r w:rsidRPr="00074598">
              <w:rPr>
                <w:bCs/>
                <w:sz w:val="20"/>
                <w:szCs w:val="20"/>
                <w:lang w:eastAsia="en-US"/>
              </w:rPr>
              <w:t>по госпрограмме обусловлен</w:t>
            </w:r>
            <w:r w:rsidR="00BD0E38" w:rsidRPr="00074598">
              <w:rPr>
                <w:bCs/>
                <w:sz w:val="20"/>
                <w:szCs w:val="20"/>
                <w:lang w:eastAsia="en-US"/>
              </w:rPr>
              <w:t xml:space="preserve">, в том числе: </w:t>
            </w:r>
            <w:r w:rsidR="00070EE3">
              <w:rPr>
                <w:bCs/>
                <w:sz w:val="20"/>
                <w:szCs w:val="20"/>
                <w:lang w:eastAsia="en-US"/>
              </w:rPr>
              <w:t xml:space="preserve">проведением </w:t>
            </w:r>
            <w:r w:rsidR="00BD0E38" w:rsidRPr="00074598">
              <w:rPr>
                <w:bCs/>
                <w:sz w:val="20"/>
                <w:szCs w:val="20"/>
                <w:lang w:eastAsia="en-US"/>
              </w:rPr>
              <w:t xml:space="preserve">мероприятий, связанных с профилактикой и устранением последствий распространения </w:t>
            </w:r>
            <w:proofErr w:type="spellStart"/>
            <w:r w:rsidR="00BD0E38" w:rsidRPr="00074598">
              <w:rPr>
                <w:bCs/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="00BD0E38" w:rsidRPr="00074598">
              <w:rPr>
                <w:bCs/>
                <w:sz w:val="20"/>
                <w:szCs w:val="20"/>
                <w:lang w:eastAsia="en-US"/>
              </w:rPr>
              <w:t xml:space="preserve"> инфекции; длительностью подготовки и проведения конкурсных процедур по размещению заказов на поставки товаров, выполнение работ, оказание услуг; сложившейся практикой оплаты работ на основании принятых государственным заказчиком актов выполненных работ по государственным контрактам;</w:t>
            </w:r>
            <w:proofErr w:type="gramEnd"/>
            <w:r w:rsidR="00BD0E38" w:rsidRPr="00074598">
              <w:rPr>
                <w:bCs/>
                <w:sz w:val="20"/>
                <w:szCs w:val="20"/>
                <w:lang w:eastAsia="en-US"/>
              </w:rPr>
              <w:t xml:space="preserve"> перечислением межбюджетных трансфертов в пределах сумм, необходимых для оплаты денежных обязательств по расходам получателей средств бюджета субъекта Российской Федерации; заявительным характером субсидирования организаций, производителей товаров, работ и услуг.</w:t>
            </w:r>
          </w:p>
          <w:p w:rsidR="00BD0E38" w:rsidRPr="00074598" w:rsidRDefault="00BD0E38" w:rsidP="00BD0E38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Счетная палата при проведении экспертизы госпрограммы отмечала, что перевод целевых и дополнительных показателей национального проекта «Культура» и входящих в него федеральных проектов в статус контрольных событий плана реализации госпрограммы не позволит оценивать динамику и результаты интегрированных в госпрограмму мероприятий федеральных проектов.</w:t>
            </w:r>
          </w:p>
          <w:p w:rsidR="00BD0E38" w:rsidRPr="00074598" w:rsidRDefault="00BD0E38" w:rsidP="00DA04B5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Вместе с тем данная рекомендация не была учтена, </w:t>
            </w:r>
            <w:r w:rsidR="00DA04B5" w:rsidRPr="00074598">
              <w:rPr>
                <w:bCs/>
                <w:sz w:val="20"/>
                <w:szCs w:val="20"/>
                <w:lang w:eastAsia="en-US"/>
              </w:rPr>
              <w:t>госпрограмма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не содержит показателей (индикаторов), характеризующих решени</w:t>
            </w:r>
            <w:r w:rsidR="00DA04B5" w:rsidRPr="00074598">
              <w:rPr>
                <w:bCs/>
                <w:sz w:val="20"/>
                <w:szCs w:val="20"/>
                <w:lang w:eastAsia="en-US"/>
              </w:rPr>
              <w:t>е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следующих задач Указа № 204: обеспечение детских музыкальных, художественных, хореографических школ, училищ и школ искусств необходимыми инструментами, оборудованием и материалами; продвижение талантливой молодежи в сфере музыкального искусства, в том числе посредством создания национального молодежного симфонического оркестра; создание </w:t>
            </w:r>
            <w:r w:rsidRPr="00074598">
              <w:rPr>
                <w:bCs/>
                <w:sz w:val="20"/>
                <w:szCs w:val="20"/>
                <w:lang w:eastAsia="en-US"/>
              </w:rPr>
              <w:lastRenderedPageBreak/>
              <w:t>условий для показа национальных кинофильмов в кинозалах, расположенных в населенных пунктах с численностью населения до 500 тыс. человек; подготовка кадров для организаций культуры; модернизация региональных и муниципальных театров юного зрителя и кукольных театров путем их реконструкции и капитального ремонта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0B1E88" w:rsidRDefault="006406AA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269" w:type="dxa"/>
          </w:tcPr>
          <w:p w:rsidR="00614DEE" w:rsidRPr="000B1E88" w:rsidRDefault="00614DEE" w:rsidP="0079491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0B1E88">
              <w:rPr>
                <w:iCs/>
                <w:sz w:val="20"/>
                <w:szCs w:val="24"/>
              </w:rPr>
              <w:t xml:space="preserve">«Охрана окружающей среды» </w:t>
            </w:r>
          </w:p>
        </w:tc>
        <w:tc>
          <w:tcPr>
            <w:tcW w:w="8079" w:type="dxa"/>
          </w:tcPr>
          <w:p w:rsidR="000E2399" w:rsidRPr="00074598" w:rsidRDefault="00614DEE" w:rsidP="000E2399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sz w:val="20"/>
                <w:szCs w:val="20"/>
              </w:rPr>
              <w:t xml:space="preserve"> </w:t>
            </w:r>
            <w:r w:rsidRPr="00074598">
              <w:rPr>
                <w:b/>
                <w:sz w:val="20"/>
                <w:szCs w:val="20"/>
              </w:rPr>
              <w:t>«Охрана окружающей среды»</w:t>
            </w:r>
            <w:r w:rsidRPr="00074598">
              <w:rPr>
                <w:sz w:val="20"/>
                <w:szCs w:val="20"/>
              </w:rPr>
              <w:t xml:space="preserve">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исполнение расходов составило </w:t>
            </w:r>
            <w:r w:rsidR="00833CFC" w:rsidRPr="00074598">
              <w:rPr>
                <w:rFonts w:eastAsia="Times New Roman"/>
                <w:sz w:val="20"/>
                <w:szCs w:val="20"/>
              </w:rPr>
              <w:t>49,5</w:t>
            </w:r>
            <w:r w:rsidRPr="00074598">
              <w:rPr>
                <w:rFonts w:eastAsia="Times New Roman"/>
                <w:sz w:val="20"/>
                <w:szCs w:val="20"/>
              </w:rPr>
              <w:t> % показател</w:t>
            </w:r>
            <w:r w:rsidR="00157C8A" w:rsidRPr="00074598">
              <w:rPr>
                <w:rFonts w:eastAsia="Times New Roman"/>
                <w:sz w:val="20"/>
                <w:szCs w:val="20"/>
              </w:rPr>
              <w:t>я сводной росписи с изменениями</w:t>
            </w:r>
            <w:r w:rsidR="000E2399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 w:rsidR="000E2399">
              <w:rPr>
                <w:bCs/>
                <w:sz w:val="20"/>
                <w:szCs w:val="24"/>
              </w:rPr>
              <w:t>48,1</w:t>
            </w:r>
            <w:r w:rsidR="000E2399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706C1E" w:rsidRPr="00074598" w:rsidRDefault="00706C1E" w:rsidP="00706C1E">
            <w:pPr>
              <w:widowControl w:val="0"/>
              <w:spacing w:line="240" w:lineRule="auto"/>
              <w:ind w:left="0" w:right="0" w:firstLine="425"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 xml:space="preserve">Низкий </w:t>
            </w:r>
            <w:r w:rsidR="00235ABA" w:rsidRPr="00074598">
              <w:rPr>
                <w:rFonts w:eastAsia="Times New Roman"/>
                <w:sz w:val="20"/>
                <w:szCs w:val="20"/>
              </w:rPr>
              <w:t>уровень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исполнения отмечается по ФЦП «Охрана озера Байкал и социально-экономическое развитие Байкальской природной территории на 2012 - 2020 годы» (далее – ФЦП «Байкал») – 33,8 % </w:t>
            </w:r>
            <w:r w:rsidR="00235ABA" w:rsidRPr="00074598">
              <w:rPr>
                <w:rFonts w:eastAsia="Times New Roman"/>
                <w:sz w:val="20"/>
                <w:szCs w:val="20"/>
              </w:rPr>
              <w:t xml:space="preserve">показателя сводной росписи с изменениями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и подпрограмме «Регулирование качества окружающей среды» </w:t>
            </w:r>
            <w:r w:rsidR="00235ABA" w:rsidRPr="00074598">
              <w:rPr>
                <w:rFonts w:eastAsia="Times New Roman"/>
                <w:sz w:val="20"/>
                <w:szCs w:val="20"/>
              </w:rPr>
              <w:t>– 34,5 %</w:t>
            </w:r>
            <w:r w:rsidRPr="00074598">
              <w:rPr>
                <w:rFonts w:eastAsia="Times New Roman"/>
                <w:sz w:val="20"/>
                <w:szCs w:val="20"/>
              </w:rPr>
              <w:t>.</w:t>
            </w:r>
          </w:p>
          <w:p w:rsidR="00706C1E" w:rsidRPr="00074598" w:rsidRDefault="00235ABA" w:rsidP="00706C1E">
            <w:pPr>
              <w:widowControl w:val="0"/>
              <w:spacing w:line="240" w:lineRule="auto"/>
              <w:ind w:left="0" w:right="0" w:firstLine="425"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В рамках ФЦП «Байкал» по федеральному проекту «Сохранение озера Байкал» на низком уровне – 16,5 %</w:t>
            </w:r>
            <w:r w:rsidR="00706C1E" w:rsidRPr="00074598">
              <w:rPr>
                <w:rFonts w:eastAsia="Times New Roman"/>
                <w:sz w:val="20"/>
                <w:szCs w:val="20"/>
              </w:rPr>
              <w:t xml:space="preserve"> освоена субсидия на снижение общей площади территорий, подвергшихся высокому и экстремально высокому загрязнению и оказывающих воздействие на озеро Байкал (КБК 051 0602 12 6 G7 50940 521). </w:t>
            </w:r>
            <w:proofErr w:type="gramStart"/>
            <w:r w:rsidR="00706C1E" w:rsidRPr="00074598">
              <w:rPr>
                <w:rFonts w:eastAsia="Times New Roman"/>
                <w:sz w:val="20"/>
                <w:szCs w:val="20"/>
              </w:rPr>
              <w:t>В связи с отсутствием положительного заключения экспертизы на проектную документацию Минприроды Р</w:t>
            </w:r>
            <w:r w:rsidR="00A122F2" w:rsidRPr="00074598">
              <w:rPr>
                <w:rFonts w:eastAsia="Times New Roman"/>
                <w:sz w:val="20"/>
                <w:szCs w:val="20"/>
              </w:rPr>
              <w:t xml:space="preserve">оссии подготовлено предложение </w:t>
            </w:r>
            <w:r w:rsidR="00706C1E" w:rsidRPr="00074598">
              <w:rPr>
                <w:rFonts w:eastAsia="Times New Roman"/>
                <w:sz w:val="20"/>
                <w:szCs w:val="20"/>
              </w:rPr>
              <w:t>о перераспределении финанс</w:t>
            </w:r>
            <w:r w:rsidRPr="00074598">
              <w:rPr>
                <w:rFonts w:eastAsia="Times New Roman"/>
                <w:sz w:val="20"/>
                <w:szCs w:val="20"/>
              </w:rPr>
              <w:t>ового обеспечения</w:t>
            </w:r>
            <w:r w:rsidR="00706C1E" w:rsidRPr="00074598">
              <w:rPr>
                <w:rFonts w:eastAsia="Times New Roman"/>
                <w:sz w:val="20"/>
                <w:szCs w:val="20"/>
              </w:rPr>
              <w:t xml:space="preserve"> мероприятия по ликвидации экологических последствий </w:t>
            </w:r>
            <w:proofErr w:type="spellStart"/>
            <w:r w:rsidR="00706C1E" w:rsidRPr="00074598">
              <w:rPr>
                <w:rFonts w:eastAsia="Times New Roman"/>
                <w:sz w:val="20"/>
                <w:szCs w:val="20"/>
              </w:rPr>
              <w:t>Джидинского</w:t>
            </w:r>
            <w:proofErr w:type="spellEnd"/>
            <w:r w:rsidR="00706C1E" w:rsidRPr="00074598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="00706C1E" w:rsidRPr="00074598">
              <w:rPr>
                <w:rFonts w:eastAsia="Times New Roman"/>
                <w:sz w:val="20"/>
                <w:szCs w:val="20"/>
              </w:rPr>
              <w:t>вольфрамо</w:t>
            </w:r>
            <w:proofErr w:type="spellEnd"/>
            <w:r w:rsidR="00706C1E" w:rsidRPr="00074598">
              <w:rPr>
                <w:rFonts w:eastAsia="Times New Roman"/>
                <w:sz w:val="20"/>
                <w:szCs w:val="20"/>
              </w:rPr>
              <w:t>-молибденово</w:t>
            </w:r>
            <w:r w:rsidR="00D10647" w:rsidRPr="00074598">
              <w:rPr>
                <w:rFonts w:eastAsia="Times New Roman"/>
                <w:sz w:val="20"/>
                <w:szCs w:val="20"/>
              </w:rPr>
              <w:t>го комбината (339,7 млн. рублей, или</w:t>
            </w:r>
            <w:r w:rsidR="00706C1E" w:rsidRPr="00074598">
              <w:rPr>
                <w:rFonts w:eastAsia="Times New Roman"/>
                <w:sz w:val="20"/>
                <w:szCs w:val="20"/>
              </w:rPr>
              <w:t xml:space="preserve"> 72,8 % предусмотренного </w:t>
            </w:r>
            <w:r w:rsidRPr="00074598">
              <w:rPr>
                <w:rFonts w:eastAsia="Times New Roman"/>
                <w:sz w:val="20"/>
                <w:szCs w:val="20"/>
              </w:rPr>
              <w:t>сводной росписью</w:t>
            </w:r>
            <w:r w:rsidR="00706C1E" w:rsidRPr="00074598">
              <w:rPr>
                <w:rFonts w:eastAsia="Times New Roman"/>
                <w:sz w:val="20"/>
                <w:szCs w:val="20"/>
              </w:rPr>
              <w:t xml:space="preserve"> объема) на реализуемые Минстроем России модернизацию и строительство очистных сооружений для очистки поступающих в озеро загрязненных сточных вод (КБК 069 0605 12 9 G7 50250 523). </w:t>
            </w:r>
            <w:proofErr w:type="gramEnd"/>
          </w:p>
          <w:p w:rsidR="00706C1E" w:rsidRPr="00074598" w:rsidRDefault="00706C1E" w:rsidP="00706C1E">
            <w:pPr>
              <w:widowControl w:val="0"/>
              <w:spacing w:line="240" w:lineRule="auto"/>
              <w:ind w:left="0" w:right="0" w:firstLine="425"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Минприроды России с Правительством Республики Бурятия заключено дополнительное соглашение от 29 сентября 2020 г. № 051-09-2020-016/1 о соответствующем уменьшении объема финансирования и планового значения резуль</w:t>
            </w:r>
            <w:r w:rsidR="00A122F2" w:rsidRPr="00074598">
              <w:rPr>
                <w:rFonts w:eastAsia="Times New Roman"/>
                <w:sz w:val="20"/>
                <w:szCs w:val="20"/>
              </w:rPr>
              <w:t xml:space="preserve">тата проекта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в 2020 году (с 151 до 143 га), сформирован запрос на </w:t>
            </w:r>
            <w:r w:rsidR="00D10647" w:rsidRPr="00074598">
              <w:rPr>
                <w:rFonts w:eastAsia="Times New Roman"/>
                <w:sz w:val="20"/>
                <w:szCs w:val="20"/>
              </w:rPr>
              <w:t xml:space="preserve">изменение паспорта проекта (от 2 октября </w:t>
            </w:r>
            <w:r w:rsidRPr="00074598">
              <w:rPr>
                <w:rFonts w:eastAsia="Times New Roman"/>
                <w:sz w:val="20"/>
                <w:szCs w:val="20"/>
              </w:rPr>
              <w:t>2020</w:t>
            </w:r>
            <w:r w:rsidR="00D10647" w:rsidRPr="00074598">
              <w:rPr>
                <w:rFonts w:eastAsia="Times New Roman"/>
                <w:sz w:val="20"/>
                <w:szCs w:val="20"/>
              </w:rPr>
              <w:t xml:space="preserve"> г.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№ G7-2020/035).</w:t>
            </w:r>
          </w:p>
          <w:p w:rsidR="00706C1E" w:rsidRPr="00074598" w:rsidRDefault="00706C1E" w:rsidP="00706C1E">
            <w:pPr>
              <w:widowControl w:val="0"/>
              <w:spacing w:line="240" w:lineRule="auto"/>
              <w:ind w:left="0" w:right="0" w:firstLine="425"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 xml:space="preserve">В рамках подпрограммы </w:t>
            </w:r>
            <w:r w:rsidR="00D10647" w:rsidRPr="00074598">
              <w:rPr>
                <w:rFonts w:eastAsia="Times New Roman"/>
                <w:sz w:val="20"/>
                <w:szCs w:val="20"/>
              </w:rPr>
              <w:t>«Регулирование качества окружающей среды»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на низком уровне исполнены бюджетные ассигнования на реализацию </w:t>
            </w:r>
            <w:r w:rsidR="00D10647" w:rsidRPr="00074598">
              <w:rPr>
                <w:rFonts w:eastAsia="Times New Roman"/>
                <w:sz w:val="20"/>
                <w:szCs w:val="20"/>
              </w:rPr>
              <w:t>федерального проекта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«Комплексная система обращения с ТКО» - </w:t>
            </w:r>
            <w:r w:rsidR="00D10647" w:rsidRPr="00074598">
              <w:rPr>
                <w:rFonts w:eastAsia="Times New Roman"/>
                <w:sz w:val="20"/>
                <w:szCs w:val="20"/>
              </w:rPr>
              <w:t>22,1 %</w:t>
            </w:r>
            <w:r w:rsidRPr="00074598">
              <w:rPr>
                <w:rFonts w:eastAsia="Times New Roman"/>
                <w:sz w:val="20"/>
                <w:szCs w:val="20"/>
              </w:rPr>
              <w:t>.</w:t>
            </w:r>
          </w:p>
          <w:p w:rsidR="00706C1E" w:rsidRPr="00074598" w:rsidRDefault="00706C1E" w:rsidP="00706C1E">
            <w:pPr>
              <w:widowControl w:val="0"/>
              <w:spacing w:line="240" w:lineRule="auto"/>
              <w:ind w:left="0" w:right="0" w:firstLine="425"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 xml:space="preserve">Минприроды России </w:t>
            </w:r>
            <w:r w:rsidR="001D76C3" w:rsidRPr="00074598">
              <w:rPr>
                <w:rFonts w:eastAsia="Times New Roman"/>
                <w:sz w:val="20"/>
                <w:szCs w:val="20"/>
              </w:rPr>
              <w:t xml:space="preserve">в рамках указанной подпрограммы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не осуществлялось: </w:t>
            </w:r>
          </w:p>
          <w:p w:rsidR="00706C1E" w:rsidRPr="00074598" w:rsidRDefault="00706C1E" w:rsidP="00706C1E">
            <w:pPr>
              <w:widowControl w:val="0"/>
              <w:spacing w:line="240" w:lineRule="auto"/>
              <w:ind w:left="0" w:right="0" w:firstLine="425"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 xml:space="preserve">финансирование мероприятий по созданию инфраструктуры для утилизации ТКО путем их использования в производстве тепловой и электрической энергии </w:t>
            </w:r>
            <w:r w:rsidR="00E719F2" w:rsidRPr="00074598">
              <w:rPr>
                <w:rFonts w:eastAsia="Times New Roman"/>
                <w:sz w:val="20"/>
                <w:szCs w:val="20"/>
              </w:rPr>
              <w:t>в связи с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отсутстви</w:t>
            </w:r>
            <w:r w:rsidR="00E719F2" w:rsidRPr="00074598">
              <w:rPr>
                <w:rFonts w:eastAsia="Times New Roman"/>
                <w:sz w:val="20"/>
                <w:szCs w:val="20"/>
              </w:rPr>
              <w:t>ем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утвержденных правил (2 838,8 млн. рублей, КБК 051 0605 12 1 G2 68890</w:t>
            </w:r>
            <w:r w:rsidR="00AF3F89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822);</w:t>
            </w:r>
          </w:p>
          <w:p w:rsidR="00706C1E" w:rsidRPr="00074598" w:rsidRDefault="00706C1E" w:rsidP="00706C1E">
            <w:pPr>
              <w:widowControl w:val="0"/>
              <w:spacing w:line="240" w:lineRule="auto"/>
              <w:ind w:left="0" w:right="0" w:firstLine="425"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возмещение уполномоченным банкам недополученных доходов по льготным кредитам, выданным рег</w:t>
            </w:r>
            <w:r w:rsidR="00A122F2" w:rsidRPr="00074598">
              <w:rPr>
                <w:rFonts w:eastAsia="Times New Roman"/>
                <w:sz w:val="20"/>
                <w:szCs w:val="20"/>
              </w:rPr>
              <w:t xml:space="preserve">иональным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операторам по обращению с ТКО (824,9 млн. рублей) </w:t>
            </w:r>
            <w:r w:rsidR="00E719F2" w:rsidRPr="00074598">
              <w:rPr>
                <w:rFonts w:eastAsia="Times New Roman"/>
                <w:sz w:val="20"/>
                <w:szCs w:val="20"/>
              </w:rPr>
              <w:t>в связи с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представлени</w:t>
            </w:r>
            <w:r w:rsidR="00E719F2" w:rsidRPr="00074598">
              <w:rPr>
                <w:rFonts w:eastAsia="Times New Roman"/>
                <w:sz w:val="20"/>
                <w:szCs w:val="20"/>
              </w:rPr>
              <w:t>ем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заявителями документов в объеме, недостаточном для принятия решения о субсидировании (отказе в субсидировании), и возвратом их кредитным организациям на доработку (КБК 051 0502 12 1 G2</w:t>
            </w:r>
            <w:r w:rsidR="00AF3F89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 xml:space="preserve">65310 811). В системе «Электронный бюджет» сформировано предложение о перераспределении в резервный фонд Правительства Российской Федерации бюджетных ассигнований в объеме 330,4 млн. рублей (40,1 % утвержденного </w:t>
            </w:r>
            <w:r w:rsidR="00E719F2" w:rsidRPr="00074598">
              <w:rPr>
                <w:rFonts w:eastAsia="Times New Roman"/>
                <w:sz w:val="20"/>
                <w:szCs w:val="20"/>
              </w:rPr>
              <w:t>сводной росписью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объема) в связи</w:t>
            </w:r>
            <w:r w:rsidR="00E719F2" w:rsidRPr="00074598">
              <w:rPr>
                <w:rFonts w:eastAsia="Times New Roman"/>
                <w:sz w:val="20"/>
                <w:szCs w:val="20"/>
              </w:rPr>
              <w:t xml:space="preserve"> с отсутствием заявок от банков</w:t>
            </w:r>
            <w:r w:rsidRPr="00074598">
              <w:rPr>
                <w:rFonts w:eastAsia="Times New Roman"/>
                <w:sz w:val="20"/>
                <w:szCs w:val="20"/>
              </w:rPr>
              <w:t>.</w:t>
            </w:r>
          </w:p>
          <w:p w:rsidR="00614DEE" w:rsidRPr="00074598" w:rsidRDefault="00E719F2" w:rsidP="00E719F2">
            <w:pPr>
              <w:widowControl w:val="0"/>
              <w:spacing w:line="240" w:lineRule="auto"/>
              <w:ind w:left="0" w:right="0" w:firstLine="425"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Кроме того, на низком уровне (</w:t>
            </w:r>
            <w:r w:rsidR="00706C1E" w:rsidRPr="00074598">
              <w:rPr>
                <w:rFonts w:eastAsia="Times New Roman"/>
                <w:sz w:val="20"/>
                <w:szCs w:val="20"/>
              </w:rPr>
              <w:t>15,5 %</w:t>
            </w:r>
            <w:r w:rsidRPr="00074598">
              <w:rPr>
                <w:rFonts w:eastAsia="Times New Roman"/>
                <w:sz w:val="20"/>
                <w:szCs w:val="20"/>
              </w:rPr>
              <w:t xml:space="preserve">) </w:t>
            </w:r>
            <w:r w:rsidR="00706C1E" w:rsidRPr="00074598">
              <w:rPr>
                <w:rFonts w:eastAsia="Times New Roman"/>
                <w:sz w:val="20"/>
                <w:szCs w:val="20"/>
              </w:rPr>
              <w:t xml:space="preserve">исполнена субсидия на обеспечение функционирования публично-правовой компании по формированию комплексной системы обращения с ТКО «Российский экологический оператор» (КБК 051 0605 12 1 G2 68818 822). </w:t>
            </w:r>
            <w:r w:rsidRPr="00074598">
              <w:rPr>
                <w:rFonts w:eastAsia="Times New Roman"/>
                <w:sz w:val="20"/>
                <w:szCs w:val="20"/>
              </w:rPr>
              <w:t>В связи с</w:t>
            </w:r>
            <w:r w:rsidR="00706C1E" w:rsidRPr="00074598">
              <w:rPr>
                <w:rFonts w:eastAsia="Times New Roman"/>
                <w:sz w:val="20"/>
                <w:szCs w:val="20"/>
              </w:rPr>
              <w:t xml:space="preserve"> отсутстви</w:t>
            </w:r>
            <w:r w:rsidRPr="00074598">
              <w:rPr>
                <w:rFonts w:eastAsia="Times New Roman"/>
                <w:sz w:val="20"/>
                <w:szCs w:val="20"/>
              </w:rPr>
              <w:t>ем</w:t>
            </w:r>
            <w:r w:rsidR="00706C1E" w:rsidRPr="00074598">
              <w:rPr>
                <w:rFonts w:eastAsia="Times New Roman"/>
                <w:sz w:val="20"/>
                <w:szCs w:val="20"/>
              </w:rPr>
              <w:t xml:space="preserve"> инвестиционных проектов, заинтересованных в мерах данной финансовой поддержки (участие ППК «РЭО» в уставных капиталах инвесторов, представление поручительства по кредитам, займам и другим обязательствам инвесторов), Минприроды России подготовлено предложение о перераспределении в резервный фонд Правительства Российской Федерации 3 005,1 млн. рублей (70,8 % </w:t>
            </w:r>
            <w:r w:rsidRPr="00074598">
              <w:rPr>
                <w:rFonts w:eastAsia="Times New Roman"/>
                <w:sz w:val="20"/>
                <w:szCs w:val="20"/>
              </w:rPr>
              <w:t>утвержденного сводной росписью объема)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AA5E61" w:rsidRDefault="006406AA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</w:tcPr>
          <w:p w:rsidR="00614DEE" w:rsidRPr="00AA5E61" w:rsidRDefault="00614DEE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AA5E61">
              <w:rPr>
                <w:sz w:val="20"/>
                <w:szCs w:val="24"/>
              </w:rPr>
              <w:t>«Развитие физической культуры и спорта»</w:t>
            </w:r>
          </w:p>
        </w:tc>
        <w:tc>
          <w:tcPr>
            <w:tcW w:w="8079" w:type="dxa"/>
          </w:tcPr>
          <w:p w:rsidR="00035DD3" w:rsidRPr="00074598" w:rsidRDefault="00614DEE" w:rsidP="00035DD3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sz w:val="20"/>
                <w:szCs w:val="24"/>
              </w:rPr>
            </w:pPr>
            <w:r w:rsidRPr="00074598">
              <w:rPr>
                <w:rFonts w:eastAsia="Times New Roman"/>
                <w:spacing w:val="-2"/>
                <w:sz w:val="20"/>
                <w:szCs w:val="20"/>
              </w:rPr>
              <w:t xml:space="preserve">По госпрограмме </w:t>
            </w:r>
            <w:r w:rsidRPr="00074598">
              <w:rPr>
                <w:rFonts w:eastAsia="Times New Roman"/>
                <w:b/>
                <w:spacing w:val="-2"/>
                <w:sz w:val="20"/>
                <w:szCs w:val="20"/>
              </w:rPr>
              <w:t>«Развитие физической культуры и спорта»</w:t>
            </w:r>
            <w:r w:rsidRPr="00074598">
              <w:rPr>
                <w:rFonts w:eastAsia="Times New Roman"/>
                <w:spacing w:val="-2"/>
                <w:sz w:val="20"/>
                <w:szCs w:val="20"/>
              </w:rPr>
              <w:t xml:space="preserve"> исполнение расходов составило </w:t>
            </w:r>
            <w:r w:rsidR="00035DD3" w:rsidRPr="00074598">
              <w:rPr>
                <w:rFonts w:eastAsia="Times New Roman"/>
                <w:spacing w:val="-2"/>
                <w:sz w:val="20"/>
                <w:szCs w:val="20"/>
              </w:rPr>
              <w:t>54,6</w:t>
            </w:r>
            <w:r w:rsidRPr="00074598">
              <w:rPr>
                <w:rFonts w:eastAsia="Times New Roman"/>
                <w:spacing w:val="-2"/>
                <w:sz w:val="20"/>
                <w:szCs w:val="20"/>
              </w:rPr>
              <w:t xml:space="preserve"> % показателя</w:t>
            </w:r>
            <w:r w:rsidR="00035DD3" w:rsidRPr="00074598">
              <w:rPr>
                <w:rFonts w:eastAsia="Times New Roman"/>
                <w:spacing w:val="-2"/>
                <w:sz w:val="20"/>
                <w:szCs w:val="20"/>
              </w:rPr>
              <w:t xml:space="preserve"> сводной росписи с изменениями, </w:t>
            </w:r>
            <w:r w:rsidR="00035DD3" w:rsidRPr="00074598">
              <w:rPr>
                <w:sz w:val="20"/>
                <w:szCs w:val="24"/>
              </w:rPr>
              <w:t>что выше уровня исполнения за соответствующий период 2019 года (</w:t>
            </w:r>
            <w:r w:rsidR="000E2399">
              <w:rPr>
                <w:sz w:val="20"/>
                <w:szCs w:val="24"/>
              </w:rPr>
              <w:t>41,8</w:t>
            </w:r>
            <w:r w:rsidR="00035DD3" w:rsidRPr="00074598">
              <w:rPr>
                <w:sz w:val="20"/>
                <w:szCs w:val="24"/>
              </w:rPr>
              <w:t xml:space="preserve"> %). </w:t>
            </w:r>
          </w:p>
          <w:p w:rsidR="00AC654A" w:rsidRPr="00074598" w:rsidRDefault="00AC654A" w:rsidP="0083726B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rFonts w:eastAsia="Times New Roman"/>
                <w:spacing w:val="-2"/>
                <w:sz w:val="20"/>
                <w:szCs w:val="20"/>
              </w:rPr>
            </w:pPr>
            <w:proofErr w:type="gramStart"/>
            <w:r w:rsidRPr="00074598">
              <w:rPr>
                <w:rFonts w:eastAsia="Times New Roman"/>
                <w:spacing w:val="-2"/>
                <w:sz w:val="20"/>
                <w:szCs w:val="20"/>
              </w:rPr>
              <w:t xml:space="preserve">Низкое кассовое исполнение обусловлено сложившейся практикой оплаты работ на основании принятых государственным заказчиком актов выполненных работ по </w:t>
            </w:r>
            <w:r w:rsidRPr="00074598">
              <w:rPr>
                <w:rFonts w:eastAsia="Times New Roman"/>
                <w:spacing w:val="-2"/>
                <w:sz w:val="20"/>
                <w:szCs w:val="20"/>
              </w:rPr>
              <w:lastRenderedPageBreak/>
              <w:t xml:space="preserve">государственным контрактам; перечислением межбюджетных трансфертов в пределах сумм, необходимых для оплаты денежных обязательств по расходам получателей средств бюджета субъекта Российской Федерации; приостановлением в истекшем периоде текущего года реализации отдельных мероприятий в области физической культуры в связи с распространением новой </w:t>
            </w:r>
            <w:proofErr w:type="spellStart"/>
            <w:r w:rsidRPr="00074598">
              <w:rPr>
                <w:rFonts w:eastAsia="Times New Roman"/>
                <w:spacing w:val="-2"/>
                <w:sz w:val="20"/>
                <w:szCs w:val="20"/>
              </w:rPr>
              <w:t>коронавирусной</w:t>
            </w:r>
            <w:proofErr w:type="spellEnd"/>
            <w:r w:rsidRPr="00074598">
              <w:rPr>
                <w:rFonts w:eastAsia="Times New Roman"/>
                <w:spacing w:val="-2"/>
                <w:sz w:val="20"/>
                <w:szCs w:val="20"/>
              </w:rPr>
              <w:t xml:space="preserve"> инфекции (COVID-19).</w:t>
            </w:r>
            <w:proofErr w:type="gramEnd"/>
          </w:p>
          <w:p w:rsidR="00AC654A" w:rsidRPr="00074598" w:rsidRDefault="00AC654A" w:rsidP="00AC654A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sz w:val="20"/>
              </w:rPr>
            </w:pPr>
            <w:r w:rsidRPr="00074598">
              <w:rPr>
                <w:sz w:val="20"/>
              </w:rPr>
              <w:t xml:space="preserve">Следует отметить, что доля основных мероприятий </w:t>
            </w:r>
            <w:r w:rsidR="000A3C82" w:rsidRPr="00074598">
              <w:rPr>
                <w:sz w:val="20"/>
              </w:rPr>
              <w:t>госпрограммы</w:t>
            </w:r>
            <w:r w:rsidRPr="00074598">
              <w:rPr>
                <w:sz w:val="20"/>
              </w:rPr>
              <w:t xml:space="preserve">, срок реализации которых совпадает со сроком ее реализации (2013 - 2024 годы), составляет 30 %, что не способствует проведению объективной оценки хода ее реализации. </w:t>
            </w:r>
          </w:p>
          <w:p w:rsidR="00AC654A" w:rsidRPr="00074598" w:rsidRDefault="00AC654A" w:rsidP="00AC654A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sz w:val="20"/>
              </w:rPr>
            </w:pPr>
            <w:r w:rsidRPr="00074598">
              <w:rPr>
                <w:sz w:val="20"/>
              </w:rPr>
              <w:t xml:space="preserve">Задачи </w:t>
            </w:r>
            <w:r w:rsidR="000A3C82" w:rsidRPr="00074598">
              <w:rPr>
                <w:sz w:val="20"/>
              </w:rPr>
              <w:t>госпрограммы</w:t>
            </w:r>
            <w:r w:rsidRPr="00074598">
              <w:rPr>
                <w:sz w:val="20"/>
              </w:rPr>
              <w:t xml:space="preserve"> не в полной мере соответствуют </w:t>
            </w:r>
            <w:r w:rsidR="000A3C82" w:rsidRPr="00074598">
              <w:rPr>
                <w:sz w:val="20"/>
              </w:rPr>
              <w:t>ее структуре</w:t>
            </w:r>
            <w:r w:rsidRPr="00074598">
              <w:rPr>
                <w:sz w:val="20"/>
              </w:rPr>
              <w:t>. Так, решение задачи «Развитие инфраструктуры физической культуры и спорта, в том числе для лиц с ограниченными возможностями здоровья и инвалидов» не обеспечивается реализацией отдельной подпрограммы, что не соответствует положению пункта 17 Методи</w:t>
            </w:r>
            <w:r w:rsidR="00F637D4" w:rsidRPr="00074598">
              <w:rPr>
                <w:sz w:val="20"/>
              </w:rPr>
              <w:t>ческих указаний</w:t>
            </w:r>
            <w:r w:rsidRPr="00074598">
              <w:rPr>
                <w:sz w:val="20"/>
              </w:rPr>
              <w:t>, согласно которому решение одной задачи государственной программы обеспечивается реализацией одной подпрограммы, не направленной на решение иных задач государственной программы.</w:t>
            </w:r>
          </w:p>
          <w:p w:rsidR="00AC654A" w:rsidRPr="00074598" w:rsidRDefault="00AC654A" w:rsidP="00AC654A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sz w:val="20"/>
              </w:rPr>
            </w:pPr>
            <w:r w:rsidRPr="00074598">
              <w:rPr>
                <w:sz w:val="20"/>
              </w:rPr>
              <w:t>Решение данной задач</w:t>
            </w:r>
            <w:r w:rsidR="00A64543" w:rsidRPr="00074598">
              <w:rPr>
                <w:sz w:val="20"/>
              </w:rPr>
              <w:t>и предусмотрено подпрограммой</w:t>
            </w:r>
            <w:r w:rsidRPr="00074598">
              <w:rPr>
                <w:sz w:val="20"/>
              </w:rPr>
              <w:t xml:space="preserve"> «Развитие физической культуры и массового спорта»  и ФЦП «Развитие физической культуры и спорта Российской Федерации на 2016 - 2020 годы»).  </w:t>
            </w:r>
          </w:p>
          <w:p w:rsidR="00AC654A" w:rsidRPr="00074598" w:rsidRDefault="00AC654A" w:rsidP="00AC654A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sz w:val="20"/>
              </w:rPr>
            </w:pPr>
            <w:r w:rsidRPr="00074598">
              <w:rPr>
                <w:sz w:val="20"/>
              </w:rPr>
              <w:t xml:space="preserve">Цели </w:t>
            </w:r>
            <w:r w:rsidR="000A3C82" w:rsidRPr="00074598">
              <w:rPr>
                <w:sz w:val="20"/>
              </w:rPr>
              <w:t>госпрограммы</w:t>
            </w:r>
            <w:r w:rsidRPr="00074598">
              <w:rPr>
                <w:sz w:val="20"/>
              </w:rPr>
              <w:t xml:space="preserve"> не в полной мере соответствуют положениям, определенным в пункте 16 Методических указаний, в части конкретности (размытые (нечеткие) формулировки, допускающие произвольное или неоднозначное толкование) и измеримости (достижение цели можно проверить). </w:t>
            </w:r>
          </w:p>
          <w:p w:rsidR="00AC654A" w:rsidRPr="00074598" w:rsidRDefault="00AC654A" w:rsidP="00AC654A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sz w:val="20"/>
              </w:rPr>
            </w:pPr>
            <w:r w:rsidRPr="00074598">
              <w:rPr>
                <w:sz w:val="20"/>
              </w:rPr>
              <w:t xml:space="preserve">Анализ связи целей и задач госпрограммы с целевыми показателями (индикаторами) показал, что ответственным исполнителем </w:t>
            </w:r>
            <w:r w:rsidR="000A3C82" w:rsidRPr="00074598">
              <w:rPr>
                <w:sz w:val="20"/>
              </w:rPr>
              <w:t>госпрограммы</w:t>
            </w:r>
            <w:r w:rsidRPr="00074598">
              <w:rPr>
                <w:sz w:val="20"/>
              </w:rPr>
              <w:t xml:space="preserve"> не отражена связь показателей «Доля сельского населения, систематически занимающегося физической культурой и спортом, в общей численности населения Российской Федерации в возрасте 3 - 79 лет» и «Количество отобранных допинг-проб по программе тестирования «РУСАДА» с целями и задачами госпрограммы и входящих в нее подпрограмм, что не соответствует требованиям пункта 20 Методических указаний.</w:t>
            </w:r>
          </w:p>
          <w:p w:rsidR="00AC654A" w:rsidRPr="00074598" w:rsidRDefault="00AC654A" w:rsidP="000A3C82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sz w:val="20"/>
              </w:rPr>
            </w:pPr>
            <w:r w:rsidRPr="00074598">
              <w:rPr>
                <w:sz w:val="20"/>
              </w:rPr>
              <w:t xml:space="preserve">Показатели </w:t>
            </w:r>
            <w:r w:rsidR="000A3C82" w:rsidRPr="00074598">
              <w:rPr>
                <w:sz w:val="20"/>
              </w:rPr>
              <w:t>госпрограммы</w:t>
            </w:r>
            <w:r w:rsidRPr="00074598">
              <w:rPr>
                <w:sz w:val="20"/>
              </w:rPr>
              <w:t xml:space="preserve"> и их значения не в полной мере соответствуют показателям документов стратегического планирования в соо</w:t>
            </w:r>
            <w:r w:rsidR="000A3C82" w:rsidRPr="00074598">
              <w:rPr>
                <w:sz w:val="20"/>
              </w:rPr>
              <w:t>тветствующей сфере деятельности</w:t>
            </w:r>
            <w:r w:rsidR="005D683D" w:rsidRPr="00074598">
              <w:rPr>
                <w:sz w:val="20"/>
              </w:rPr>
              <w:t>.</w:t>
            </w:r>
          </w:p>
          <w:p w:rsidR="005D683D" w:rsidRPr="00074598" w:rsidRDefault="005D683D" w:rsidP="005D683D">
            <w:pPr>
              <w:overflowPunct/>
              <w:autoSpaceDE/>
              <w:autoSpaceDN/>
              <w:adjustRightInd/>
              <w:spacing w:line="240" w:lineRule="auto"/>
              <w:ind w:left="0" w:right="0" w:firstLine="425"/>
              <w:textAlignment w:val="auto"/>
              <w:rPr>
                <w:sz w:val="20"/>
              </w:rPr>
            </w:pPr>
            <w:r w:rsidRPr="00074598">
              <w:rPr>
                <w:sz w:val="20"/>
              </w:rPr>
              <w:t>Состав и значения целевых показателей (индикаторов) в госпрограмме, ее подпрограммах и ФЦП не позволяют оценить их достаточность для достижения целей и решения задач</w:t>
            </w:r>
          </w:p>
        </w:tc>
      </w:tr>
      <w:tr w:rsidR="002E4F13" w:rsidRPr="00F46B26" w:rsidTr="00307AC2">
        <w:tc>
          <w:tcPr>
            <w:tcW w:w="567" w:type="dxa"/>
          </w:tcPr>
          <w:p w:rsidR="002E4F13" w:rsidRDefault="006406AA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269" w:type="dxa"/>
          </w:tcPr>
          <w:p w:rsidR="002E4F13" w:rsidRPr="002B5221" w:rsidRDefault="002E4F13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2B5221">
              <w:rPr>
                <w:sz w:val="20"/>
                <w:szCs w:val="24"/>
              </w:rPr>
              <w:t>«Экономическое развитие и инновационная экономика»</w:t>
            </w:r>
          </w:p>
        </w:tc>
        <w:tc>
          <w:tcPr>
            <w:tcW w:w="8079" w:type="dxa"/>
          </w:tcPr>
          <w:p w:rsidR="000E2399" w:rsidRPr="00074598" w:rsidRDefault="002E4F13" w:rsidP="000E2399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госпрограмме </w:t>
            </w:r>
            <w:r w:rsidRPr="00074598">
              <w:rPr>
                <w:b/>
                <w:bCs/>
                <w:sz w:val="20"/>
                <w:szCs w:val="20"/>
                <w:lang w:eastAsia="en-US"/>
              </w:rPr>
              <w:t>«</w:t>
            </w:r>
            <w:r w:rsidRPr="00074598">
              <w:rPr>
                <w:b/>
                <w:sz w:val="20"/>
                <w:szCs w:val="24"/>
              </w:rPr>
              <w:t>Экономическое развитие и инновационная экономика»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исполнение расходов составило </w:t>
            </w:r>
            <w:r w:rsidR="00CD6A9F" w:rsidRPr="00074598">
              <w:rPr>
                <w:bCs/>
                <w:sz w:val="20"/>
                <w:szCs w:val="20"/>
                <w:lang w:eastAsia="en-US"/>
              </w:rPr>
              <w:t>59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% показателя сводной росписи с изменениями</w:t>
            </w:r>
            <w:r w:rsidR="000E2399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 w:rsidR="000E2399">
              <w:rPr>
                <w:bCs/>
                <w:sz w:val="20"/>
                <w:szCs w:val="24"/>
              </w:rPr>
              <w:t>57,4</w:t>
            </w:r>
            <w:r w:rsidR="000E2399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CD6A9F" w:rsidRPr="00074598" w:rsidRDefault="00CD6A9F" w:rsidP="002E4F13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Низкий уровень исполнения расходов сложился по подпрограммам «Энергосбережение и повышение энергетической эффективности» – 6,3 %, «Инвестиционный климат» – 9,3 % и ФЦП «Развитие единой государственной системы регистрации прав и кадастрового учета недвижимости (2014 - 2020 годы)» - 22,9 %.</w:t>
            </w:r>
          </w:p>
          <w:p w:rsidR="002E4F13" w:rsidRPr="00074598" w:rsidRDefault="00CD6A9F" w:rsidP="002E4F13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На низком уровне исполнены расходы Ростуризмом - 16,1 %, Минсельхозом России – 22,5 %, Управлением делами Президента Российской Федерации – 32,1 %, Минэкономразвития России (ответственный исполнитель) – 38,6 %.</w:t>
            </w:r>
          </w:p>
          <w:p w:rsidR="00955D4F" w:rsidRPr="00074598" w:rsidRDefault="00955D4F" w:rsidP="00955D4F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Бюджетные ассигнования, предусмотренные федеральным законом о федеральном бюджете на реализацию госпрограммы «Экономическое развитие и инновационная экономика», по состоянию на 1 апреля 2020 года не соответствовали объемам финансового обеспечения, предусмотренным в новой редакции госпрограммы на 2020 - 2022 годы. Бюджетные ассигнования, утвержденные Федеральным законом № 380-ФЗ на реализацию указанной госпрограммы в 2020 году, меньше финансового обеспечения, предусмотренного ее новой редакцией</w:t>
            </w:r>
            <w:r w:rsidR="00083AB0" w:rsidRPr="00074598">
              <w:rPr>
                <w:bCs/>
                <w:sz w:val="20"/>
                <w:szCs w:val="20"/>
                <w:lang w:eastAsia="en-US"/>
              </w:rPr>
              <w:t>,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на 115,2 млн. рублей.</w:t>
            </w:r>
          </w:p>
          <w:p w:rsidR="002E4F13" w:rsidRPr="00074598" w:rsidRDefault="00955D4F" w:rsidP="002A55CC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Согласно пояснительной записке указанное расхождение обусловлено включением в финансовое обеспечение  госпрограммы расходов на реализацию государственных заданий на оказание услуг по повышению квалификации и профессиональной переподготовке федеральных госслужащих, предусмотренных распоряжением Правительства Российской Федерации от 13 января 2020 г. № 11-р, которые зарезервированы в соответствии с подпунктом 15 пункта 1 статьи 21 Федерального закона № 380-ФЗ</w:t>
            </w:r>
            <w:r w:rsidR="00E416F7">
              <w:rPr>
                <w:bCs/>
                <w:sz w:val="20"/>
                <w:szCs w:val="20"/>
                <w:lang w:eastAsia="en-US"/>
              </w:rPr>
              <w:t>.</w:t>
            </w:r>
            <w:proofErr w:type="gramEnd"/>
            <w:r w:rsidR="00E416F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947077">
              <w:rPr>
                <w:bCs/>
                <w:sz w:val="20"/>
                <w:szCs w:val="20"/>
                <w:lang w:eastAsia="en-US"/>
              </w:rPr>
              <w:t xml:space="preserve">По состоянию на </w:t>
            </w:r>
            <w:r w:rsidR="00947077">
              <w:rPr>
                <w:bCs/>
                <w:sz w:val="20"/>
                <w:szCs w:val="20"/>
                <w:lang w:eastAsia="en-US"/>
              </w:rPr>
              <w:lastRenderedPageBreak/>
              <w:t xml:space="preserve">1 октября 2020 года </w:t>
            </w:r>
            <w:r w:rsidR="002A55CC">
              <w:rPr>
                <w:bCs/>
                <w:sz w:val="20"/>
                <w:szCs w:val="20"/>
                <w:lang w:eastAsia="en-US"/>
              </w:rPr>
              <w:t xml:space="preserve">бюджетные ассигнования </w:t>
            </w:r>
            <w:r w:rsidR="002A55CC" w:rsidRPr="00074598">
              <w:rPr>
                <w:bCs/>
                <w:sz w:val="20"/>
                <w:szCs w:val="20"/>
                <w:lang w:eastAsia="en-US"/>
              </w:rPr>
              <w:t>на реализацию государственных заданий на оказание услуг по повышению квалификации и профессиональной переподготовке федеральных госслужащих</w:t>
            </w:r>
            <w:r w:rsidR="002A55CC">
              <w:rPr>
                <w:bCs/>
                <w:sz w:val="20"/>
                <w:szCs w:val="20"/>
                <w:lang w:eastAsia="en-US"/>
              </w:rPr>
              <w:t xml:space="preserve"> распределены в полном объеме 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AA4B97" w:rsidRDefault="006406AA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69" w:type="dxa"/>
          </w:tcPr>
          <w:p w:rsidR="00614DEE" w:rsidRPr="00AA4B97" w:rsidRDefault="00614DEE" w:rsidP="00794911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AA4B97">
              <w:rPr>
                <w:sz w:val="20"/>
                <w:szCs w:val="24"/>
              </w:rPr>
              <w:t xml:space="preserve">«Развитие промышленности и повышение ее </w:t>
            </w:r>
            <w:proofErr w:type="spellStart"/>
            <w:proofErr w:type="gramStart"/>
            <w:r w:rsidRPr="00AA4B97">
              <w:rPr>
                <w:sz w:val="20"/>
                <w:szCs w:val="24"/>
              </w:rPr>
              <w:t>конкурентоспособ</w:t>
            </w:r>
            <w:r w:rsidR="00FA5774">
              <w:rPr>
                <w:sz w:val="20"/>
                <w:szCs w:val="24"/>
              </w:rPr>
              <w:t>-</w:t>
            </w:r>
            <w:r w:rsidRPr="00AA4B97">
              <w:rPr>
                <w:sz w:val="20"/>
                <w:szCs w:val="24"/>
              </w:rPr>
              <w:t>ности</w:t>
            </w:r>
            <w:proofErr w:type="spellEnd"/>
            <w:proofErr w:type="gramEnd"/>
            <w:r w:rsidRPr="00AA4B97">
              <w:rPr>
                <w:sz w:val="20"/>
                <w:szCs w:val="24"/>
              </w:rPr>
              <w:t>»</w:t>
            </w:r>
          </w:p>
        </w:tc>
        <w:tc>
          <w:tcPr>
            <w:tcW w:w="8079" w:type="dxa"/>
          </w:tcPr>
          <w:p w:rsidR="000E2399" w:rsidRPr="00074598" w:rsidRDefault="00614DEE" w:rsidP="000E2399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sz w:val="20"/>
                <w:szCs w:val="24"/>
              </w:rPr>
              <w:t xml:space="preserve"> </w:t>
            </w:r>
            <w:r w:rsidRPr="00074598">
              <w:rPr>
                <w:b/>
                <w:sz w:val="20"/>
                <w:szCs w:val="24"/>
              </w:rPr>
              <w:t>«Развитие промышленности и повышение ее конкурентоспособности»</w:t>
            </w:r>
            <w:r w:rsidRPr="00074598">
              <w:rPr>
                <w:sz w:val="20"/>
                <w:szCs w:val="24"/>
              </w:rPr>
              <w:t xml:space="preserve"> </w:t>
            </w:r>
            <w:r w:rsidRPr="00074598">
              <w:rPr>
                <w:bCs/>
                <w:sz w:val="20"/>
                <w:szCs w:val="20"/>
              </w:rPr>
              <w:t>исполнение расходов составило</w:t>
            </w:r>
            <w:r w:rsidRPr="00074598">
              <w:rPr>
                <w:bCs/>
                <w:sz w:val="20"/>
                <w:szCs w:val="24"/>
              </w:rPr>
              <w:t xml:space="preserve"> </w:t>
            </w:r>
            <w:r w:rsidR="00925CD5" w:rsidRPr="00074598">
              <w:rPr>
                <w:bCs/>
                <w:sz w:val="20"/>
                <w:szCs w:val="24"/>
              </w:rPr>
              <w:t>57,6</w:t>
            </w:r>
            <w:r w:rsidRPr="00074598">
              <w:rPr>
                <w:bCs/>
                <w:sz w:val="20"/>
                <w:szCs w:val="24"/>
              </w:rPr>
              <w:t> % показателя сводной росписи с изменениями</w:t>
            </w:r>
            <w:r w:rsidR="000E2399" w:rsidRPr="00074598">
              <w:rPr>
                <w:bCs/>
                <w:sz w:val="20"/>
                <w:szCs w:val="24"/>
              </w:rPr>
              <w:t xml:space="preserve">, что </w:t>
            </w:r>
            <w:r w:rsidR="000E2399">
              <w:rPr>
                <w:bCs/>
                <w:sz w:val="20"/>
                <w:szCs w:val="24"/>
              </w:rPr>
              <w:t>ниже</w:t>
            </w:r>
            <w:r w:rsidR="000E2399" w:rsidRPr="00074598">
              <w:rPr>
                <w:bCs/>
                <w:sz w:val="20"/>
                <w:szCs w:val="24"/>
              </w:rPr>
              <w:t xml:space="preserve"> уровня исполнения за соответствующий период 2019 года (6</w:t>
            </w:r>
            <w:r w:rsidR="000E2399">
              <w:rPr>
                <w:bCs/>
                <w:sz w:val="20"/>
                <w:szCs w:val="24"/>
              </w:rPr>
              <w:t>6</w:t>
            </w:r>
            <w:r w:rsidR="000E2399" w:rsidRPr="00074598">
              <w:rPr>
                <w:bCs/>
                <w:sz w:val="20"/>
                <w:szCs w:val="24"/>
              </w:rPr>
              <w:t>,</w:t>
            </w:r>
            <w:r w:rsidR="000E2399">
              <w:rPr>
                <w:bCs/>
                <w:sz w:val="20"/>
                <w:szCs w:val="24"/>
              </w:rPr>
              <w:t>3</w:t>
            </w:r>
            <w:r w:rsidR="000E2399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925CD5" w:rsidRPr="00074598" w:rsidRDefault="00C35DD7" w:rsidP="00C35DD7">
            <w:pPr>
              <w:widowControl w:val="0"/>
              <w:spacing w:line="240" w:lineRule="auto"/>
              <w:ind w:left="0" w:right="0" w:firstLine="425"/>
              <w:textAlignment w:val="auto"/>
              <w:rPr>
                <w:bCs/>
                <w:sz w:val="20"/>
                <w:szCs w:val="24"/>
              </w:rPr>
            </w:pPr>
            <w:proofErr w:type="gramStart"/>
            <w:r>
              <w:rPr>
                <w:bCs/>
                <w:sz w:val="20"/>
                <w:szCs w:val="24"/>
              </w:rPr>
              <w:t>В отчетном периоде н</w:t>
            </w:r>
            <w:r w:rsidR="002677A5" w:rsidRPr="00074598">
              <w:rPr>
                <w:bCs/>
                <w:sz w:val="20"/>
                <w:szCs w:val="24"/>
              </w:rPr>
              <w:t xml:space="preserve">е </w:t>
            </w:r>
            <w:r w:rsidR="00037B55" w:rsidRPr="00074598">
              <w:rPr>
                <w:bCs/>
                <w:sz w:val="20"/>
                <w:szCs w:val="24"/>
              </w:rPr>
              <w:t>осуществлялись</w:t>
            </w:r>
            <w:r w:rsidR="002677A5" w:rsidRPr="00074598">
              <w:rPr>
                <w:bCs/>
                <w:sz w:val="20"/>
                <w:szCs w:val="24"/>
              </w:rPr>
              <w:t xml:space="preserve"> расходы по подпрограмме «Развитие производства традиционных и новых материалов» </w:t>
            </w:r>
            <w:r w:rsidRPr="00C35DD7">
              <w:rPr>
                <w:bCs/>
                <w:sz w:val="20"/>
                <w:szCs w:val="20"/>
                <w:lang w:eastAsia="en-US"/>
              </w:rPr>
              <w:t>(бюджетные ассигнования предусмотрены в сумме 460,0 млн. рублей)</w:t>
            </w: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925CD5" w:rsidRPr="00074598">
              <w:rPr>
                <w:bCs/>
                <w:sz w:val="20"/>
                <w:szCs w:val="24"/>
              </w:rPr>
              <w:t>в связи с отсутствием заявок на предоставление субсидии российским организациям на компенсацию процентных ставок по инвестиционным кредитам в сфере производства редких и редкоземельных металлов и субсидии российским кредитным организациям на возмещение выпадающих доходов по кредитам, выданным на приобретение</w:t>
            </w:r>
            <w:proofErr w:type="gramEnd"/>
            <w:r w:rsidR="00925CD5" w:rsidRPr="00074598">
              <w:rPr>
                <w:bCs/>
                <w:sz w:val="20"/>
                <w:szCs w:val="24"/>
              </w:rPr>
              <w:t xml:space="preserve"> специализированной техники и деревянных домов.</w:t>
            </w:r>
          </w:p>
          <w:p w:rsidR="00925CD5" w:rsidRPr="00074598" w:rsidRDefault="00925CD5" w:rsidP="00925CD5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В целях снижения рисков кассового не</w:t>
            </w:r>
            <w:r w:rsidR="00286D2B" w:rsidRPr="00074598">
              <w:rPr>
                <w:bCs/>
                <w:sz w:val="20"/>
                <w:szCs w:val="24"/>
              </w:rPr>
              <w:t>исполнения 75 </w:t>
            </w:r>
            <w:r w:rsidRPr="00074598">
              <w:rPr>
                <w:bCs/>
                <w:sz w:val="20"/>
                <w:szCs w:val="24"/>
              </w:rPr>
              <w:t xml:space="preserve">% бюджетных ассигнований на предоставление субсидии российским организациям на компенсацию процентных ставок по инвестиционным кредитам в сфере производства редких и редкоземельных металлов (300,0 млн. рублей) направлены на увеличение объема резервного фонда Правительства Российской Федерации. По субсидии российским кредитным организациям на возмещение выпадающих доходов по </w:t>
            </w:r>
            <w:proofErr w:type="gramStart"/>
            <w:r w:rsidRPr="00074598">
              <w:rPr>
                <w:bCs/>
                <w:sz w:val="20"/>
                <w:szCs w:val="24"/>
              </w:rPr>
              <w:t>кредитам, выданным на приобретение специализированной техники и деревянных домов планируется</w:t>
            </w:r>
            <w:proofErr w:type="gramEnd"/>
            <w:r w:rsidRPr="00074598">
              <w:rPr>
                <w:bCs/>
                <w:sz w:val="20"/>
                <w:szCs w:val="24"/>
              </w:rPr>
              <w:t xml:space="preserve"> сбалансированное перераспределение средств на другие меры поддержки.</w:t>
            </w:r>
          </w:p>
          <w:p w:rsidR="00286D2B" w:rsidRPr="00074598" w:rsidRDefault="00286D2B" w:rsidP="00286D2B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Низкий уровень исполнения расходов по подпрограмме «Развитие производства сре</w:t>
            </w:r>
            <w:proofErr w:type="gramStart"/>
            <w:r w:rsidRPr="00074598">
              <w:rPr>
                <w:bCs/>
                <w:sz w:val="20"/>
                <w:szCs w:val="24"/>
              </w:rPr>
              <w:t>дств пр</w:t>
            </w:r>
            <w:proofErr w:type="gramEnd"/>
            <w:r w:rsidRPr="00074598">
              <w:rPr>
                <w:bCs/>
                <w:sz w:val="20"/>
                <w:szCs w:val="24"/>
              </w:rPr>
              <w:t xml:space="preserve">оизводства» (11,1 %) обусловлен следующими причинами. </w:t>
            </w:r>
            <w:proofErr w:type="spellStart"/>
            <w:r w:rsidRPr="00074598">
              <w:rPr>
                <w:bCs/>
                <w:sz w:val="20"/>
                <w:szCs w:val="24"/>
              </w:rPr>
              <w:t>Госкорпорацией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«</w:t>
            </w:r>
            <w:proofErr w:type="spellStart"/>
            <w:r w:rsidRPr="00074598">
              <w:rPr>
                <w:bCs/>
                <w:sz w:val="20"/>
                <w:szCs w:val="24"/>
              </w:rPr>
              <w:t>Росатом</w:t>
            </w:r>
            <w:proofErr w:type="spellEnd"/>
            <w:r w:rsidRPr="00074598">
              <w:rPr>
                <w:bCs/>
                <w:sz w:val="20"/>
                <w:szCs w:val="24"/>
              </w:rPr>
              <w:t>» не осуществлен взнос в уставный капитал АО «НИИЭФА им. Д.В. Ефремова» в сумме 1 350,0 млн. рублей (32,1 % бюджетных ассигнований, предусмотренных по подпрограмме).</w:t>
            </w:r>
          </w:p>
          <w:p w:rsidR="00286D2B" w:rsidRPr="00074598" w:rsidRDefault="00286D2B" w:rsidP="00286D2B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По субсидии российским организациям на финансовое обеспечение части затрат на проведение научно-исследовательских, опытно-конструкторских и технологических работ в рамках создания производства газовых турбин большой мощности </w:t>
            </w:r>
            <w:proofErr w:type="spellStart"/>
            <w:r w:rsidRPr="00074598">
              <w:rPr>
                <w:bCs/>
                <w:sz w:val="20"/>
                <w:szCs w:val="24"/>
              </w:rPr>
              <w:t>Минпромторгом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России выставлены аккредитивы на полную сумму субсидии (1 394,8 млн. рублей). Получателями представлены документы, подтверждающие произведенные расходы, на сумму 464,5 млн. рублей. </w:t>
            </w:r>
          </w:p>
          <w:p w:rsidR="00286D2B" w:rsidRPr="00074598" w:rsidRDefault="00286D2B" w:rsidP="00286D2B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В части субсидии российским организациям на компенсацию части затрат на производство и реализацию пилотных партий сре</w:t>
            </w:r>
            <w:proofErr w:type="gramStart"/>
            <w:r w:rsidRPr="00074598">
              <w:rPr>
                <w:bCs/>
                <w:sz w:val="20"/>
                <w:szCs w:val="24"/>
              </w:rPr>
              <w:t>дств пр</w:t>
            </w:r>
            <w:proofErr w:type="gramEnd"/>
            <w:r w:rsidRPr="00074598">
              <w:rPr>
                <w:bCs/>
                <w:sz w:val="20"/>
                <w:szCs w:val="24"/>
              </w:rPr>
              <w:t>оизводства потребителям (763,7</w:t>
            </w:r>
            <w:r w:rsidR="00553DAB" w:rsidRPr="00074598">
              <w:rPr>
                <w:bCs/>
                <w:sz w:val="20"/>
                <w:szCs w:val="24"/>
              </w:rPr>
              <w:t> </w:t>
            </w:r>
            <w:r w:rsidRPr="00074598">
              <w:rPr>
                <w:bCs/>
                <w:sz w:val="20"/>
                <w:szCs w:val="24"/>
              </w:rPr>
              <w:t xml:space="preserve">млн. рублей) рассматривался вопрос об изменении механизма их предоставления. По обращению </w:t>
            </w:r>
            <w:proofErr w:type="spellStart"/>
            <w:r w:rsidRPr="00074598">
              <w:rPr>
                <w:bCs/>
                <w:sz w:val="20"/>
                <w:szCs w:val="24"/>
              </w:rPr>
              <w:t>Минпромторга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России Правительством Российской Федерации (письмо от 19 июня 2020</w:t>
            </w:r>
            <w:r w:rsidR="00553DAB" w:rsidRPr="00074598">
              <w:rPr>
                <w:bCs/>
                <w:sz w:val="20"/>
                <w:szCs w:val="24"/>
              </w:rPr>
              <w:t xml:space="preserve"> г.</w:t>
            </w:r>
            <w:r w:rsidRPr="00074598">
              <w:rPr>
                <w:bCs/>
                <w:sz w:val="20"/>
                <w:szCs w:val="24"/>
              </w:rPr>
              <w:t xml:space="preserve"> № П9-36468) принято решение о возобновлении проведения отборов в рамках постановления Правительства Российской Федерации от 25 мая 2017 г. № 634. В соответствии с приказом </w:t>
            </w:r>
            <w:proofErr w:type="spellStart"/>
            <w:r w:rsidRPr="00074598">
              <w:rPr>
                <w:bCs/>
                <w:sz w:val="20"/>
                <w:szCs w:val="24"/>
              </w:rPr>
              <w:t>Минпромторга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России от 21 июля 2020 г. № 2324 с июля по сентябрь</w:t>
            </w:r>
            <w:r w:rsidR="00553DAB" w:rsidRPr="00074598">
              <w:rPr>
                <w:bCs/>
                <w:sz w:val="20"/>
                <w:szCs w:val="24"/>
              </w:rPr>
              <w:t xml:space="preserve"> текущего года</w:t>
            </w:r>
            <w:r w:rsidRPr="00074598">
              <w:rPr>
                <w:bCs/>
                <w:sz w:val="20"/>
                <w:szCs w:val="24"/>
              </w:rPr>
              <w:t xml:space="preserve"> проведен отбор на право получения субсидии. Протоколом Межведомственной комиссии по отбору получателей субсидии от 24 сентября 2020 г. №</w:t>
            </w:r>
            <w:r w:rsidR="00553DAB" w:rsidRPr="00074598">
              <w:rPr>
                <w:bCs/>
                <w:sz w:val="20"/>
                <w:szCs w:val="24"/>
              </w:rPr>
              <w:t> </w:t>
            </w:r>
            <w:r w:rsidRPr="00074598">
              <w:rPr>
                <w:bCs/>
                <w:sz w:val="20"/>
                <w:szCs w:val="24"/>
              </w:rPr>
              <w:t>47-ИМ/05 определены организации, прошедшие отбор. В настоящее время осуществляются мероприятия по предоставлению субсидии указанным организациям.</w:t>
            </w:r>
          </w:p>
          <w:p w:rsidR="00286D2B" w:rsidRPr="00074598" w:rsidRDefault="00286D2B" w:rsidP="00286D2B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Исполнение расходов по подпрограмме «Содействие проведению научных исследований и опытных разработок в гражданских отраслях промышленности» </w:t>
            </w:r>
            <w:r w:rsidR="00553DAB" w:rsidRPr="00074598">
              <w:rPr>
                <w:bCs/>
                <w:sz w:val="20"/>
                <w:szCs w:val="24"/>
              </w:rPr>
              <w:t xml:space="preserve">составило 19 %, что </w:t>
            </w:r>
            <w:r w:rsidRPr="00074598">
              <w:rPr>
                <w:bCs/>
                <w:sz w:val="20"/>
                <w:szCs w:val="24"/>
              </w:rPr>
              <w:t>связано с внесением изменений в правила предоставления субсидий на проведение НИОКР.</w:t>
            </w:r>
          </w:p>
          <w:p w:rsidR="00286D2B" w:rsidRPr="00074598" w:rsidRDefault="00286D2B" w:rsidP="00286D2B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Постановлением Правительства Р</w:t>
            </w:r>
            <w:r w:rsidR="00AF3F89">
              <w:rPr>
                <w:bCs/>
                <w:sz w:val="20"/>
                <w:szCs w:val="24"/>
              </w:rPr>
              <w:t xml:space="preserve">оссийской </w:t>
            </w:r>
            <w:r w:rsidRPr="00074598">
              <w:rPr>
                <w:bCs/>
                <w:sz w:val="20"/>
                <w:szCs w:val="24"/>
              </w:rPr>
              <w:t>Ф</w:t>
            </w:r>
            <w:r w:rsidR="00AF3F89">
              <w:rPr>
                <w:bCs/>
                <w:sz w:val="20"/>
                <w:szCs w:val="24"/>
              </w:rPr>
              <w:t>едерации</w:t>
            </w:r>
            <w:r w:rsidRPr="00074598">
              <w:rPr>
                <w:bCs/>
                <w:sz w:val="20"/>
                <w:szCs w:val="24"/>
              </w:rPr>
              <w:t xml:space="preserve"> от 7 октября 2020 г. № 1613: </w:t>
            </w:r>
          </w:p>
          <w:p w:rsidR="00286D2B" w:rsidRPr="00074598" w:rsidRDefault="00286D2B" w:rsidP="00286D2B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механизм предоставления субсидий на проведение НИОКР по современным технологиям в рамках реализации такими организациями инновационных проектов изменен с «компенсации затрат» на «финансовое обеспечение затрат»;</w:t>
            </w:r>
          </w:p>
          <w:p w:rsidR="002677A5" w:rsidRPr="00074598" w:rsidRDefault="00286D2B" w:rsidP="00553DAB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установлено, что ранее заключенные договоры о предоставлении субсидий на проведение НИОКР по приоритетным направлениям гражданской промышленности в рамках реализации такими организациями комплексных инвестиционных проектов действуют до выполнения </w:t>
            </w:r>
            <w:proofErr w:type="spellStart"/>
            <w:r w:rsidRPr="00074598">
              <w:rPr>
                <w:bCs/>
                <w:sz w:val="20"/>
                <w:szCs w:val="24"/>
              </w:rPr>
              <w:t>Минпромторгом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России и получателя</w:t>
            </w:r>
            <w:r w:rsidR="00553DAB" w:rsidRPr="00074598">
              <w:rPr>
                <w:bCs/>
                <w:sz w:val="20"/>
                <w:szCs w:val="24"/>
              </w:rPr>
              <w:t>ми субсидий своих обязательств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A76B8E" w:rsidRDefault="006406AA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69" w:type="dxa"/>
          </w:tcPr>
          <w:p w:rsidR="00614DEE" w:rsidRPr="00A76B8E" w:rsidRDefault="00614DEE" w:rsidP="00794911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A76B8E">
              <w:rPr>
                <w:bCs/>
                <w:sz w:val="20"/>
                <w:szCs w:val="24"/>
              </w:rPr>
              <w:t>«Развитие авиационной промышленности»</w:t>
            </w:r>
          </w:p>
        </w:tc>
        <w:tc>
          <w:tcPr>
            <w:tcW w:w="8079" w:type="dxa"/>
          </w:tcPr>
          <w:p w:rsidR="00326254" w:rsidRPr="00074598" w:rsidRDefault="00614DEE" w:rsidP="00326254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sz w:val="20"/>
                <w:szCs w:val="24"/>
              </w:rPr>
              <w:t xml:space="preserve"> </w:t>
            </w:r>
            <w:r w:rsidRPr="00074598">
              <w:rPr>
                <w:b/>
                <w:sz w:val="20"/>
                <w:szCs w:val="24"/>
              </w:rPr>
              <w:t>«</w:t>
            </w:r>
            <w:r w:rsidRPr="00074598">
              <w:rPr>
                <w:b/>
                <w:bCs/>
                <w:sz w:val="20"/>
                <w:szCs w:val="24"/>
              </w:rPr>
              <w:t>Развитие авиационной промышленности</w:t>
            </w:r>
            <w:r w:rsidRPr="00074598">
              <w:rPr>
                <w:b/>
                <w:sz w:val="20"/>
                <w:szCs w:val="24"/>
              </w:rPr>
              <w:t>»</w:t>
            </w:r>
            <w:r w:rsidRPr="00074598">
              <w:rPr>
                <w:sz w:val="20"/>
                <w:szCs w:val="24"/>
              </w:rPr>
              <w:t xml:space="preserve"> исполнение расходов составило </w:t>
            </w:r>
            <w:r w:rsidR="0091056B" w:rsidRPr="00074598">
              <w:rPr>
                <w:sz w:val="20"/>
                <w:szCs w:val="24"/>
              </w:rPr>
              <w:t>5</w:t>
            </w:r>
            <w:r w:rsidR="004E59D3" w:rsidRPr="00074598">
              <w:rPr>
                <w:sz w:val="20"/>
                <w:szCs w:val="24"/>
              </w:rPr>
              <w:t>7</w:t>
            </w:r>
            <w:r w:rsidRPr="00074598">
              <w:rPr>
                <w:sz w:val="20"/>
                <w:szCs w:val="24"/>
              </w:rPr>
              <w:t>,</w:t>
            </w:r>
            <w:r w:rsidR="004E59D3" w:rsidRPr="00074598">
              <w:rPr>
                <w:sz w:val="20"/>
                <w:szCs w:val="24"/>
              </w:rPr>
              <w:t>2</w:t>
            </w:r>
            <w:r w:rsidRPr="00074598">
              <w:rPr>
                <w:sz w:val="20"/>
                <w:szCs w:val="24"/>
              </w:rPr>
              <w:t xml:space="preserve"> % </w:t>
            </w:r>
            <w:r w:rsidRPr="00074598">
              <w:rPr>
                <w:bCs/>
                <w:sz w:val="20"/>
                <w:szCs w:val="24"/>
              </w:rPr>
              <w:t>показателя сводной росписи с изменениями</w:t>
            </w:r>
            <w:r w:rsidR="00326254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 w:rsidR="00326254">
              <w:rPr>
                <w:bCs/>
                <w:sz w:val="20"/>
                <w:szCs w:val="24"/>
              </w:rPr>
              <w:t>39,6</w:t>
            </w:r>
            <w:r w:rsidR="00326254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4E59D3" w:rsidRPr="00074598" w:rsidRDefault="004E59D3" w:rsidP="004E59D3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Низкий уровень исполнения расходов отмечается по подпрограммам «Авиационные агрегаты и приборы» (35,4 %) и «Вертолетостроение» (42,6 %).</w:t>
            </w:r>
          </w:p>
          <w:p w:rsidR="004E59D3" w:rsidRPr="00074598" w:rsidRDefault="004E59D3" w:rsidP="004E59D3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По основным мероприятиям «Выполнение научно-исследовательских и опытно-конструкторских работ в области вертолетостроения» и «Выполнение научно-исследовательских и опытно-конструкторских работ в области авиационных агрегатов и приборов» низкое кассовое исполнение связано с особенностями оплаты НИОКР. В течение года по государственным контрактам на выполнение НИОКР осуществляется выплата авансов (30 %). Основная часть платежей по государственным контрактам планируется в декабре по этапам закрытия работ. </w:t>
            </w:r>
          </w:p>
          <w:p w:rsidR="004E59D3" w:rsidRPr="00074598" w:rsidRDefault="004E59D3" w:rsidP="004E59D3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proofErr w:type="gramStart"/>
            <w:r w:rsidRPr="00074598">
              <w:rPr>
                <w:bCs/>
                <w:sz w:val="20"/>
                <w:szCs w:val="24"/>
              </w:rPr>
              <w:t>По основному мероприятию «Государственная поддержка российских организаций вертолетостроения» в 2020 году предусмотрены 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«Банк развития и внешнеэкономической деятельности (Внешэкономбанк)» в 2016 - 2018 годах на закупку воздушных судов и тренажеров для российских воздушных судов с последующей передачей их российским авиакомпаниям</w:t>
            </w:r>
            <w:proofErr w:type="gramEnd"/>
            <w:r w:rsidRPr="00074598">
              <w:rPr>
                <w:bCs/>
                <w:sz w:val="20"/>
                <w:szCs w:val="24"/>
              </w:rPr>
              <w:t xml:space="preserve"> по договорам лизинга (аренды) в объеме 1 093,4 млн. рублей. Уровень кассового исполнения по указанному мероприятию по состоянию на 1 октября 2020 года составил 46,6 %. В связи с недостаточным количеством заявок на получение субсидии от лизинговых компаний существуют риски </w:t>
            </w:r>
            <w:proofErr w:type="spellStart"/>
            <w:r w:rsidRPr="00074598">
              <w:rPr>
                <w:bCs/>
                <w:sz w:val="20"/>
                <w:szCs w:val="24"/>
              </w:rPr>
              <w:t>неосвоения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средств федерального бюджета по указанному мероприятию в полном объеме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A76B8E" w:rsidRDefault="006406AA" w:rsidP="001527D6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2269" w:type="dxa"/>
          </w:tcPr>
          <w:p w:rsidR="00614DEE" w:rsidRPr="00A76B8E" w:rsidRDefault="00614DEE" w:rsidP="00794911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A76B8E">
              <w:rPr>
                <w:bCs/>
                <w:sz w:val="20"/>
                <w:szCs w:val="24"/>
              </w:rPr>
              <w:t>«Развитие судостроения и техники для освоения шельфовых месторождений»</w:t>
            </w:r>
          </w:p>
        </w:tc>
        <w:tc>
          <w:tcPr>
            <w:tcW w:w="8079" w:type="dxa"/>
          </w:tcPr>
          <w:p w:rsidR="00326254" w:rsidRPr="00074598" w:rsidRDefault="00614DEE" w:rsidP="00326254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По госпрограмме «</w:t>
            </w:r>
            <w:r w:rsidRPr="00074598">
              <w:rPr>
                <w:b/>
                <w:bCs/>
                <w:sz w:val="20"/>
                <w:szCs w:val="24"/>
              </w:rPr>
              <w:t>Развитие судостроения и техники для освоения шельфовых месторождений</w:t>
            </w:r>
            <w:r w:rsidRPr="00074598">
              <w:rPr>
                <w:bCs/>
                <w:sz w:val="20"/>
                <w:szCs w:val="24"/>
              </w:rPr>
              <w:t xml:space="preserve">» исполнение расходов составило </w:t>
            </w:r>
            <w:r w:rsidR="00A9141A" w:rsidRPr="00074598">
              <w:rPr>
                <w:bCs/>
                <w:sz w:val="20"/>
                <w:szCs w:val="24"/>
              </w:rPr>
              <w:t>64,5</w:t>
            </w:r>
            <w:r w:rsidRPr="00074598">
              <w:rPr>
                <w:bCs/>
                <w:sz w:val="20"/>
                <w:szCs w:val="24"/>
              </w:rPr>
              <w:t> % показателя сводной росписи с изменениями</w:t>
            </w:r>
            <w:r w:rsidR="00326254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 w:rsidR="00326254">
              <w:rPr>
                <w:bCs/>
                <w:sz w:val="20"/>
                <w:szCs w:val="24"/>
              </w:rPr>
              <w:t>48,6</w:t>
            </w:r>
            <w:r w:rsidR="00326254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A9141A" w:rsidRPr="00074598" w:rsidRDefault="00A9141A" w:rsidP="00A9141A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Низкий уровень исполнения расходов по подпрограмме «Развитие судостроительной науки» </w:t>
            </w:r>
            <w:r w:rsidR="001E35B7" w:rsidRPr="00074598">
              <w:rPr>
                <w:bCs/>
                <w:sz w:val="20"/>
                <w:szCs w:val="24"/>
              </w:rPr>
              <w:t>(28,1 </w:t>
            </w:r>
            <w:r w:rsidRPr="00074598">
              <w:rPr>
                <w:bCs/>
                <w:sz w:val="20"/>
                <w:szCs w:val="24"/>
              </w:rPr>
              <w:t xml:space="preserve">%) обусловлен особенностями оплаты НИОКР, предусматривающими выплату авансов в размере 30 % в течение года и расчет по результатам закрытия этапов выполняемых работ в декабре текущего года. </w:t>
            </w:r>
          </w:p>
          <w:p w:rsidR="00A9141A" w:rsidRPr="00074598" w:rsidRDefault="00A9141A" w:rsidP="00A9141A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proofErr w:type="gramStart"/>
            <w:r w:rsidRPr="00074598">
              <w:rPr>
                <w:bCs/>
                <w:sz w:val="20"/>
                <w:szCs w:val="24"/>
              </w:rPr>
              <w:t xml:space="preserve">В связи с распространением новой </w:t>
            </w:r>
            <w:proofErr w:type="spellStart"/>
            <w:r w:rsidRPr="00074598">
              <w:rPr>
                <w:bCs/>
                <w:sz w:val="20"/>
                <w:szCs w:val="24"/>
              </w:rPr>
              <w:t>коронавирусной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инфекции, а также объявлением периода с 30 марта по 11 мая 2020 года нерабочими днями, по отдельным НИОКР необходимо продление срока завершения работ.</w:t>
            </w:r>
            <w:proofErr w:type="gramEnd"/>
            <w:r w:rsidRPr="00074598">
              <w:rPr>
                <w:bCs/>
                <w:sz w:val="20"/>
                <w:szCs w:val="24"/>
              </w:rPr>
              <w:t xml:space="preserve"> </w:t>
            </w:r>
            <w:proofErr w:type="spellStart"/>
            <w:r w:rsidRPr="00074598">
              <w:rPr>
                <w:bCs/>
                <w:sz w:val="20"/>
                <w:szCs w:val="24"/>
              </w:rPr>
              <w:t>Минпромторгом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России подготовлен и согласован с Минфином России и ФАС России проект распоряжения Правительства Российской Федерации о переносе сроков этапов работ по отдельным контрактам на 2021 год.</w:t>
            </w:r>
          </w:p>
          <w:p w:rsidR="00A9141A" w:rsidRPr="00074598" w:rsidRDefault="00A9141A" w:rsidP="00A9141A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По </w:t>
            </w:r>
            <w:r w:rsidR="00B41DA3" w:rsidRPr="00074598">
              <w:rPr>
                <w:bCs/>
                <w:sz w:val="20"/>
                <w:szCs w:val="24"/>
              </w:rPr>
              <w:t>указанной</w:t>
            </w:r>
            <w:r w:rsidRPr="00074598">
              <w:rPr>
                <w:bCs/>
                <w:sz w:val="20"/>
                <w:szCs w:val="24"/>
              </w:rPr>
              <w:t xml:space="preserve"> причине необходимо</w:t>
            </w:r>
            <w:r w:rsidR="00B41DA3" w:rsidRPr="00074598">
              <w:rPr>
                <w:bCs/>
                <w:sz w:val="20"/>
                <w:szCs w:val="24"/>
              </w:rPr>
              <w:t xml:space="preserve"> уточ</w:t>
            </w:r>
            <w:r w:rsidRPr="00074598">
              <w:rPr>
                <w:bCs/>
                <w:sz w:val="20"/>
                <w:szCs w:val="24"/>
              </w:rPr>
              <w:t>ни</w:t>
            </w:r>
            <w:r w:rsidR="00B41DA3" w:rsidRPr="00074598">
              <w:rPr>
                <w:bCs/>
                <w:sz w:val="20"/>
                <w:szCs w:val="24"/>
              </w:rPr>
              <w:t>ть</w:t>
            </w:r>
            <w:r w:rsidRPr="00074598">
              <w:rPr>
                <w:bCs/>
                <w:sz w:val="20"/>
                <w:szCs w:val="24"/>
              </w:rPr>
              <w:t xml:space="preserve"> приоритет</w:t>
            </w:r>
            <w:r w:rsidR="00B41DA3" w:rsidRPr="00074598">
              <w:rPr>
                <w:bCs/>
                <w:sz w:val="20"/>
                <w:szCs w:val="24"/>
              </w:rPr>
              <w:t>ы</w:t>
            </w:r>
            <w:r w:rsidRPr="00074598">
              <w:rPr>
                <w:bCs/>
                <w:sz w:val="20"/>
                <w:szCs w:val="24"/>
              </w:rPr>
              <w:t xml:space="preserve"> развития перспективных направлений судостроительной науки и смещения сроков реализации мероприятий по системно-аналитическому и экспертному сопровождению научной деятельности на следующие годы. </w:t>
            </w:r>
          </w:p>
          <w:p w:rsidR="00A9141A" w:rsidRPr="00074598" w:rsidRDefault="00A9141A" w:rsidP="00B41DA3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Образовавшуюся в связи с переносом сроков экономию в сумме 708,6 млн. рублей планируется направить на осуществление взноса в уставный капитал АО «Объедин</w:t>
            </w:r>
            <w:r w:rsidR="00B41DA3" w:rsidRPr="00074598">
              <w:rPr>
                <w:bCs/>
                <w:sz w:val="20"/>
                <w:szCs w:val="24"/>
              </w:rPr>
              <w:t>е</w:t>
            </w:r>
            <w:r w:rsidRPr="00074598">
              <w:rPr>
                <w:bCs/>
                <w:sz w:val="20"/>
                <w:szCs w:val="24"/>
              </w:rPr>
              <w:t>нная судостроительная корпорация» для последующего взноса в уставный капитал АО «Машиностроительная промышленная лизинговая компания» в целях реализации пр</w:t>
            </w:r>
            <w:r w:rsidR="00B41DA3" w:rsidRPr="00074598">
              <w:rPr>
                <w:bCs/>
                <w:sz w:val="20"/>
                <w:szCs w:val="24"/>
              </w:rPr>
              <w:t>оектов лизинга гражданских судов</w:t>
            </w:r>
            <w:r w:rsidR="00FB7831" w:rsidRPr="00074598">
              <w:rPr>
                <w:bCs/>
                <w:sz w:val="20"/>
                <w:szCs w:val="24"/>
              </w:rPr>
              <w:t>.</w:t>
            </w:r>
          </w:p>
          <w:p w:rsidR="00FB7831" w:rsidRPr="00074598" w:rsidRDefault="00FB7831" w:rsidP="00FB7831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>В полном объеме исполнены расходы по подпрограмме «Развитие производственных мощностей гражданского судостроения и материально-технической базы отрасли» в связи с перечислением взноса в уставный капитал АО «</w:t>
            </w:r>
            <w:proofErr w:type="spellStart"/>
            <w:r w:rsidRPr="00074598">
              <w:rPr>
                <w:bCs/>
                <w:sz w:val="20"/>
                <w:szCs w:val="24"/>
              </w:rPr>
              <w:t>Жатайская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судоверфь» (2 450,0 млн. рублей). Корпоративные процедуры по осуществлению эмиссии ценных бумаг акционерного общества были проведены в IV квартале 2019 года, что позволило осуществить взнос в уставный капитал АО «</w:t>
            </w:r>
            <w:proofErr w:type="spellStart"/>
            <w:r w:rsidRPr="00074598">
              <w:rPr>
                <w:bCs/>
                <w:sz w:val="20"/>
                <w:szCs w:val="24"/>
              </w:rPr>
              <w:t>Жатайская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судоверфь» в I квартале 2020 года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996A80" w:rsidRDefault="00614DEE" w:rsidP="006406AA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996A80">
              <w:rPr>
                <w:rFonts w:eastAsia="Times New Roman"/>
                <w:sz w:val="20"/>
                <w:szCs w:val="20"/>
              </w:rPr>
              <w:t>1</w:t>
            </w:r>
            <w:r w:rsidR="006406AA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</w:tcPr>
          <w:p w:rsidR="00614DEE" w:rsidRPr="00996A80" w:rsidRDefault="00614DEE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996A80">
              <w:rPr>
                <w:sz w:val="20"/>
                <w:szCs w:val="24"/>
              </w:rPr>
              <w:t>«Развитие электронной и радиоэлектронной промышленности»</w:t>
            </w:r>
          </w:p>
        </w:tc>
        <w:tc>
          <w:tcPr>
            <w:tcW w:w="8079" w:type="dxa"/>
          </w:tcPr>
          <w:p w:rsidR="00326254" w:rsidRPr="00074598" w:rsidRDefault="00614DEE" w:rsidP="00326254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По госпрограмме </w:t>
            </w:r>
            <w:r w:rsidRPr="00074598">
              <w:rPr>
                <w:b/>
                <w:bCs/>
                <w:sz w:val="20"/>
                <w:szCs w:val="24"/>
              </w:rPr>
              <w:t>«Развитие электронной и радиоэлектронной промышленности»</w:t>
            </w:r>
            <w:r w:rsidRPr="00074598">
              <w:rPr>
                <w:bCs/>
                <w:sz w:val="20"/>
                <w:szCs w:val="24"/>
              </w:rPr>
              <w:t xml:space="preserve"> </w:t>
            </w:r>
            <w:r w:rsidRPr="00074598">
              <w:rPr>
                <w:b/>
                <w:bCs/>
                <w:sz w:val="20"/>
                <w:szCs w:val="24"/>
              </w:rPr>
              <w:t>исполнение расходов</w:t>
            </w:r>
            <w:r w:rsidRPr="00074598">
              <w:rPr>
                <w:bCs/>
                <w:sz w:val="20"/>
                <w:szCs w:val="24"/>
              </w:rPr>
              <w:t xml:space="preserve"> </w:t>
            </w:r>
            <w:r w:rsidR="0014334F" w:rsidRPr="00074598">
              <w:rPr>
                <w:bCs/>
                <w:sz w:val="20"/>
                <w:szCs w:val="20"/>
                <w:lang w:eastAsia="en-US"/>
              </w:rPr>
              <w:t xml:space="preserve">составило </w:t>
            </w:r>
            <w:r w:rsidR="00711052" w:rsidRPr="00074598">
              <w:rPr>
                <w:bCs/>
                <w:sz w:val="20"/>
                <w:szCs w:val="20"/>
                <w:lang w:eastAsia="en-US"/>
              </w:rPr>
              <w:t>4</w:t>
            </w:r>
            <w:r w:rsidR="0014334F" w:rsidRPr="00074598">
              <w:rPr>
                <w:bCs/>
                <w:sz w:val="20"/>
                <w:szCs w:val="20"/>
                <w:lang w:eastAsia="en-US"/>
              </w:rPr>
              <w:t>0 % показателя</w:t>
            </w:r>
            <w:r w:rsidR="00711052" w:rsidRPr="00074598">
              <w:rPr>
                <w:bCs/>
                <w:sz w:val="20"/>
                <w:szCs w:val="20"/>
                <w:lang w:eastAsia="en-US"/>
              </w:rPr>
              <w:t xml:space="preserve"> сводной росписи с изменениями,</w:t>
            </w:r>
            <w:r w:rsidR="00326254" w:rsidRPr="00074598">
              <w:rPr>
                <w:bCs/>
                <w:sz w:val="20"/>
                <w:szCs w:val="24"/>
              </w:rPr>
              <w:t xml:space="preserve"> что выше уровня исполнения за соответствующий период 2019 года (</w:t>
            </w:r>
            <w:r w:rsidR="00326254">
              <w:rPr>
                <w:bCs/>
                <w:sz w:val="20"/>
                <w:szCs w:val="24"/>
              </w:rPr>
              <w:t>26,4</w:t>
            </w:r>
            <w:r w:rsidR="00326254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711052" w:rsidRPr="00074598" w:rsidRDefault="00326254" w:rsidP="00326254">
            <w:pPr>
              <w:spacing w:line="240" w:lineRule="auto"/>
              <w:ind w:left="0" w:right="-1" w:firstLine="318"/>
              <w:rPr>
                <w:bCs/>
                <w:sz w:val="20"/>
                <w:szCs w:val="24"/>
                <w:lang w:val="x-none"/>
              </w:rPr>
            </w:pPr>
            <w:r>
              <w:rPr>
                <w:bCs/>
                <w:sz w:val="20"/>
                <w:szCs w:val="20"/>
                <w:lang w:eastAsia="en-US"/>
              </w:rPr>
              <w:t>Низкий уровень исполнения обусловлен</w:t>
            </w:r>
            <w:r w:rsidR="00711052" w:rsidRPr="00074598">
              <w:rPr>
                <w:bCs/>
                <w:sz w:val="20"/>
                <w:szCs w:val="20"/>
                <w:lang w:eastAsia="en-US"/>
              </w:rPr>
              <w:t xml:space="preserve"> особенностями предоставления субсидий российским организациям на финансовое обеспечение части затрат на создание научно-</w:t>
            </w:r>
            <w:r w:rsidR="00711052" w:rsidRPr="00074598">
              <w:rPr>
                <w:bCs/>
                <w:sz w:val="20"/>
                <w:szCs w:val="20"/>
                <w:lang w:eastAsia="en-US"/>
              </w:rPr>
              <w:lastRenderedPageBreak/>
              <w:t xml:space="preserve">технического задела по разработке базовых технологий, объем которых составляет 79,9 % бюджетных ассигнований госпрограммы. В соответствии с правилами, утвержденными постановлением Правительства Российской Федерации от 17 февраля 2016 г. № 109, субсидии предоставляются в периоды реализации комплексных проектов, равными полугодиям календарного года. При этом перечисление субсидии организациям осуществляется в сроки указанные в договоре о предоставлении субсидии в соответствии с </w:t>
            </w:r>
            <w:proofErr w:type="gramStart"/>
            <w:r w:rsidR="00711052" w:rsidRPr="00074598">
              <w:rPr>
                <w:bCs/>
                <w:sz w:val="20"/>
                <w:szCs w:val="20"/>
                <w:lang w:eastAsia="en-US"/>
              </w:rPr>
              <w:t>план-графиком</w:t>
            </w:r>
            <w:proofErr w:type="gramEnd"/>
            <w:r w:rsidR="00711052" w:rsidRPr="00074598">
              <w:rPr>
                <w:bCs/>
                <w:sz w:val="20"/>
                <w:szCs w:val="20"/>
                <w:lang w:eastAsia="en-US"/>
              </w:rPr>
              <w:t xml:space="preserve"> финансового обеспечения реализации комплексного проекта, после утверждения отчета о целевом использовании субсидии. На 1 октября 2020 года отчеты по большинству соглашений о предоставлении из федерального бюджета субсидии не утверждены </w:t>
            </w:r>
            <w:proofErr w:type="spellStart"/>
            <w:r w:rsidR="00711052" w:rsidRPr="00074598">
              <w:rPr>
                <w:bCs/>
                <w:sz w:val="20"/>
                <w:szCs w:val="20"/>
                <w:lang w:eastAsia="en-US"/>
              </w:rPr>
              <w:t>Минпромторгом</w:t>
            </w:r>
            <w:proofErr w:type="spellEnd"/>
            <w:r w:rsidR="00711052" w:rsidRPr="00074598">
              <w:rPr>
                <w:bCs/>
                <w:sz w:val="20"/>
                <w:szCs w:val="20"/>
                <w:lang w:eastAsia="en-US"/>
              </w:rPr>
              <w:t xml:space="preserve"> России и, соответственно, очередное перечисление субсидии не осуществлено. При этом по оценке </w:t>
            </w:r>
            <w:proofErr w:type="spellStart"/>
            <w:r w:rsidR="00711052" w:rsidRPr="00074598">
              <w:rPr>
                <w:bCs/>
                <w:sz w:val="20"/>
                <w:szCs w:val="20"/>
                <w:lang w:eastAsia="en-US"/>
              </w:rPr>
              <w:t>Минпромторга</w:t>
            </w:r>
            <w:proofErr w:type="spellEnd"/>
            <w:r w:rsidR="00711052" w:rsidRPr="00074598">
              <w:rPr>
                <w:bCs/>
                <w:sz w:val="20"/>
                <w:szCs w:val="20"/>
                <w:lang w:eastAsia="en-US"/>
              </w:rPr>
              <w:t xml:space="preserve"> России, исполнение расходов по указанным субсидиям в текущем году ожидается не ниже уровня двух предыдущих финансовых лет (2018 год – 97,8 %, 2019 год – 94,1 %)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F46B26" w:rsidRDefault="00614DEE" w:rsidP="006406AA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  <w:lang w:val="en-US"/>
              </w:rPr>
              <w:lastRenderedPageBreak/>
              <w:t>1</w:t>
            </w:r>
            <w:r w:rsidR="006406AA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</w:tcPr>
          <w:p w:rsidR="00614DEE" w:rsidRPr="00122CB1" w:rsidRDefault="00614DEE" w:rsidP="0079491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122CB1">
              <w:rPr>
                <w:sz w:val="20"/>
                <w:szCs w:val="24"/>
              </w:rPr>
              <w:t xml:space="preserve">«Развитие фармацевтической и медицинской промышленности» </w:t>
            </w:r>
          </w:p>
        </w:tc>
        <w:tc>
          <w:tcPr>
            <w:tcW w:w="8079" w:type="dxa"/>
          </w:tcPr>
          <w:p w:rsidR="00BD7CC7" w:rsidRPr="00074598" w:rsidRDefault="00614DEE" w:rsidP="00BD7CC7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«</w:t>
            </w:r>
            <w:r w:rsidRPr="00074598">
              <w:rPr>
                <w:rFonts w:eastAsia="Times New Roman"/>
                <w:b/>
                <w:sz w:val="20"/>
                <w:szCs w:val="20"/>
              </w:rPr>
              <w:t>Развитие фармацевтической и медицинской промышленности</w:t>
            </w:r>
            <w:r w:rsidRPr="00074598">
              <w:rPr>
                <w:rFonts w:eastAsia="Times New Roman"/>
                <w:sz w:val="20"/>
                <w:szCs w:val="20"/>
              </w:rPr>
              <w:t xml:space="preserve">» исполнение расходов составило </w:t>
            </w:r>
            <w:r w:rsidR="00362219" w:rsidRPr="00074598">
              <w:rPr>
                <w:rFonts w:eastAsia="Times New Roman"/>
                <w:sz w:val="20"/>
                <w:szCs w:val="20"/>
              </w:rPr>
              <w:t>71,5</w:t>
            </w:r>
            <w:r w:rsidRPr="00074598">
              <w:rPr>
                <w:rFonts w:eastAsia="Times New Roman"/>
                <w:sz w:val="20"/>
                <w:szCs w:val="20"/>
              </w:rPr>
              <w:t> % показател</w:t>
            </w:r>
            <w:r w:rsidR="00362219" w:rsidRPr="00074598">
              <w:rPr>
                <w:rFonts w:eastAsia="Times New Roman"/>
                <w:sz w:val="20"/>
                <w:szCs w:val="20"/>
              </w:rPr>
              <w:t>я сводной росписи с изменениями</w:t>
            </w:r>
            <w:r w:rsidR="00BD7CC7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 w:rsidR="00BD7CC7">
              <w:rPr>
                <w:bCs/>
                <w:sz w:val="20"/>
                <w:szCs w:val="24"/>
              </w:rPr>
              <w:t>17,3</w:t>
            </w:r>
            <w:r w:rsidR="00BD7CC7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1A7D1E" w:rsidRPr="00074598" w:rsidRDefault="008835CE" w:rsidP="008835CE">
            <w:pPr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У</w:t>
            </w:r>
            <w:r w:rsidR="00362219" w:rsidRPr="00074598">
              <w:rPr>
                <w:rFonts w:eastAsia="Times New Roman"/>
                <w:sz w:val="20"/>
                <w:szCs w:val="20"/>
              </w:rPr>
              <w:t>ровень исполнения расходов по подпрограмме «Развитие производства лекарственных средств» составил 22,9 %, что связано с использованием казначейского обеспечения обязатель</w:t>
            </w:r>
            <w:proofErr w:type="gramStart"/>
            <w:r w:rsidR="00362219" w:rsidRPr="00074598">
              <w:rPr>
                <w:rFonts w:eastAsia="Times New Roman"/>
                <w:sz w:val="20"/>
                <w:szCs w:val="20"/>
              </w:rPr>
              <w:t>ств пр</w:t>
            </w:r>
            <w:proofErr w:type="gramEnd"/>
            <w:r w:rsidR="00362219" w:rsidRPr="00074598">
              <w:rPr>
                <w:rFonts w:eastAsia="Times New Roman"/>
                <w:sz w:val="20"/>
                <w:szCs w:val="20"/>
              </w:rPr>
              <w:t xml:space="preserve">и реализации инвестиционных проектов, необходимостью корректировки проектно-сметной документации, увеличением сроков поставки оборудования и выполнения строительно-монтажных работ в рамках заключенных договоров с подрядными организациями, в том числе в связи с распространением </w:t>
            </w:r>
            <w:proofErr w:type="spellStart"/>
            <w:r w:rsidR="00362219" w:rsidRPr="00074598">
              <w:rPr>
                <w:rFonts w:eastAsia="Times New Roman"/>
                <w:sz w:val="20"/>
                <w:szCs w:val="20"/>
              </w:rPr>
              <w:t>коронавирусной</w:t>
            </w:r>
            <w:proofErr w:type="spellEnd"/>
            <w:r w:rsidR="00362219" w:rsidRPr="00074598">
              <w:rPr>
                <w:rFonts w:eastAsia="Times New Roman"/>
                <w:sz w:val="20"/>
                <w:szCs w:val="20"/>
              </w:rPr>
              <w:t xml:space="preserve"> инфекции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F46B26" w:rsidRDefault="00614DEE" w:rsidP="006406AA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  <w:lang w:val="en-US"/>
              </w:rPr>
              <w:t>1</w:t>
            </w:r>
            <w:r w:rsidR="006406AA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</w:tcPr>
          <w:p w:rsidR="00614DEE" w:rsidRPr="00D61AF7" w:rsidRDefault="00614DEE" w:rsidP="0079491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D61AF7">
              <w:rPr>
                <w:sz w:val="20"/>
                <w:szCs w:val="24"/>
              </w:rPr>
              <w:t>«Космическая деятельность России»</w:t>
            </w:r>
          </w:p>
        </w:tc>
        <w:tc>
          <w:tcPr>
            <w:tcW w:w="8079" w:type="dxa"/>
          </w:tcPr>
          <w:p w:rsidR="00BD7CC7" w:rsidRPr="00074598" w:rsidRDefault="00614DEE" w:rsidP="00BD7CC7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госпрограмме </w:t>
            </w:r>
            <w:r w:rsidRPr="00074598">
              <w:rPr>
                <w:b/>
                <w:bCs/>
                <w:sz w:val="20"/>
                <w:szCs w:val="24"/>
              </w:rPr>
              <w:t>«Космическая деятельность России»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исполнение расходов составило </w:t>
            </w:r>
            <w:r w:rsidR="00CA7A19" w:rsidRPr="00074598">
              <w:rPr>
                <w:bCs/>
                <w:sz w:val="20"/>
                <w:szCs w:val="20"/>
                <w:lang w:eastAsia="en-US"/>
              </w:rPr>
              <w:t>43,1</w:t>
            </w:r>
            <w:r w:rsidR="00EC7450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% показателя сводной росписи с изменениями, </w:t>
            </w:r>
            <w:r w:rsidR="00BD7CC7" w:rsidRPr="00074598">
              <w:rPr>
                <w:bCs/>
                <w:sz w:val="20"/>
                <w:szCs w:val="24"/>
              </w:rPr>
              <w:t>что выше уровня исполнения за соответствующий период 2019 года (</w:t>
            </w:r>
            <w:r w:rsidR="00BD7CC7">
              <w:rPr>
                <w:bCs/>
                <w:sz w:val="20"/>
                <w:szCs w:val="24"/>
              </w:rPr>
              <w:t>34,1</w:t>
            </w:r>
            <w:r w:rsidR="00BD7CC7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614DEE" w:rsidRPr="00074598" w:rsidRDefault="00BD7CC7" w:rsidP="00E75206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>
              <w:rPr>
                <w:bCs/>
                <w:sz w:val="20"/>
                <w:szCs w:val="20"/>
                <w:lang w:eastAsia="en-US"/>
              </w:rPr>
              <w:t>Низкий уровень исполнения по госпрограмме в основном обусловлен</w:t>
            </w:r>
            <w:r w:rsidR="00614DEE"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614DEE" w:rsidRPr="00074598">
              <w:rPr>
                <w:bCs/>
                <w:sz w:val="20"/>
                <w:szCs w:val="24"/>
              </w:rPr>
              <w:t>уровнем исполнения входящих в ее состав федеральных целевых программ.</w:t>
            </w:r>
          </w:p>
          <w:p w:rsidR="00CA7A19" w:rsidRPr="00074598" w:rsidRDefault="00D77115" w:rsidP="00CA7A19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Так, </w:t>
            </w:r>
            <w:r w:rsidR="00CA7A19" w:rsidRPr="00074598">
              <w:rPr>
                <w:bCs/>
                <w:sz w:val="20"/>
                <w:szCs w:val="24"/>
              </w:rPr>
              <w:t xml:space="preserve">низкий уровень исполнения расходов по ФЦП «Развитие космодромов на период 2017 - 2025 годов в обеспечение космической деятельности Российской Федерации» (29,2 %) обусловлен тем, что значительный объем средств запланирован на мероприятие по строительству «СК КРК «Ангара». </w:t>
            </w:r>
            <w:proofErr w:type="gramStart"/>
            <w:r w:rsidR="00CA7A19" w:rsidRPr="00074598">
              <w:rPr>
                <w:bCs/>
                <w:sz w:val="20"/>
                <w:szCs w:val="24"/>
              </w:rPr>
              <w:t>В рамках контроля расходования авансовых платежей принято решение о поквартальном авансировании в соответствии с утвержденным графиком освоения денежных средств по группам</w:t>
            </w:r>
            <w:proofErr w:type="gramEnd"/>
            <w:r w:rsidR="00CA7A19" w:rsidRPr="00074598">
              <w:rPr>
                <w:bCs/>
                <w:sz w:val="20"/>
                <w:szCs w:val="24"/>
              </w:rPr>
              <w:t xml:space="preserve"> сооружений 1 уровня. </w:t>
            </w:r>
            <w:proofErr w:type="gramStart"/>
            <w:r w:rsidR="00CA7A19" w:rsidRPr="00074598">
              <w:rPr>
                <w:bCs/>
                <w:sz w:val="20"/>
                <w:szCs w:val="24"/>
              </w:rPr>
              <w:t xml:space="preserve">Сроки приемки и оплата физических объемов строительно-монтажных работ по объекту, фактически произведенных в 2020 году, смещаются на 2021 год в связи с тем, что в соответствии с </w:t>
            </w:r>
            <w:r w:rsidR="00DA43B7" w:rsidRPr="00074598">
              <w:rPr>
                <w:bCs/>
                <w:sz w:val="20"/>
                <w:szCs w:val="24"/>
              </w:rPr>
              <w:t>поручением</w:t>
            </w:r>
            <w:r w:rsidR="00CA7A19" w:rsidRPr="00074598">
              <w:rPr>
                <w:bCs/>
                <w:sz w:val="20"/>
                <w:szCs w:val="24"/>
              </w:rPr>
              <w:t xml:space="preserve"> Президента Российской Федерации </w:t>
            </w:r>
            <w:r w:rsidR="00DA43B7" w:rsidRPr="00074598">
              <w:rPr>
                <w:bCs/>
                <w:sz w:val="20"/>
                <w:szCs w:val="24"/>
              </w:rPr>
              <w:t>(</w:t>
            </w:r>
            <w:r w:rsidR="00CA7A19" w:rsidRPr="00074598">
              <w:rPr>
                <w:bCs/>
                <w:sz w:val="20"/>
                <w:szCs w:val="24"/>
              </w:rPr>
              <w:t xml:space="preserve">от 23 ноября 2019 г. </w:t>
            </w:r>
            <w:r w:rsidR="00DA43B7" w:rsidRPr="00074598">
              <w:rPr>
                <w:bCs/>
                <w:sz w:val="20"/>
                <w:szCs w:val="24"/>
              </w:rPr>
              <w:br/>
            </w:r>
            <w:r w:rsidR="00CA7A19" w:rsidRPr="00074598">
              <w:rPr>
                <w:bCs/>
                <w:sz w:val="20"/>
                <w:szCs w:val="24"/>
              </w:rPr>
              <w:t>№ Пр-2410</w:t>
            </w:r>
            <w:r w:rsidR="00DA43B7" w:rsidRPr="00074598">
              <w:rPr>
                <w:bCs/>
                <w:sz w:val="20"/>
                <w:szCs w:val="24"/>
              </w:rPr>
              <w:t>)</w:t>
            </w:r>
            <w:r w:rsidR="00CA7A19" w:rsidRPr="00074598">
              <w:rPr>
                <w:bCs/>
                <w:sz w:val="20"/>
                <w:szCs w:val="24"/>
              </w:rPr>
              <w:t xml:space="preserve"> </w:t>
            </w:r>
            <w:proofErr w:type="spellStart"/>
            <w:r w:rsidR="00CA7A19" w:rsidRPr="00074598">
              <w:rPr>
                <w:bCs/>
                <w:sz w:val="20"/>
                <w:szCs w:val="24"/>
              </w:rPr>
              <w:t>Госкорпорацией</w:t>
            </w:r>
            <w:proofErr w:type="spellEnd"/>
            <w:r w:rsidR="00CA7A19" w:rsidRPr="00074598">
              <w:rPr>
                <w:bCs/>
                <w:sz w:val="20"/>
                <w:szCs w:val="24"/>
              </w:rPr>
              <w:t xml:space="preserve"> «</w:t>
            </w:r>
            <w:proofErr w:type="spellStart"/>
            <w:r w:rsidR="00CA7A19" w:rsidRPr="00074598">
              <w:rPr>
                <w:bCs/>
                <w:sz w:val="20"/>
                <w:szCs w:val="24"/>
              </w:rPr>
              <w:t>Роскосмос</w:t>
            </w:r>
            <w:proofErr w:type="spellEnd"/>
            <w:r w:rsidR="00CA7A19" w:rsidRPr="00074598">
              <w:rPr>
                <w:bCs/>
                <w:sz w:val="20"/>
                <w:szCs w:val="24"/>
              </w:rPr>
              <w:t>» совместно с Минстроем России и ФАУ «</w:t>
            </w:r>
            <w:proofErr w:type="spellStart"/>
            <w:r w:rsidR="00CA7A19" w:rsidRPr="00074598">
              <w:rPr>
                <w:bCs/>
                <w:sz w:val="20"/>
                <w:szCs w:val="24"/>
              </w:rPr>
              <w:t>Главгосэкспертиза</w:t>
            </w:r>
            <w:proofErr w:type="spellEnd"/>
            <w:r w:rsidR="00CA7A19" w:rsidRPr="00074598">
              <w:rPr>
                <w:bCs/>
                <w:sz w:val="20"/>
                <w:szCs w:val="24"/>
              </w:rPr>
              <w:t xml:space="preserve"> России» разрабатывается порядок применения актуальных сметных нормативов и расчета сметной цены, отражающий экономически обоснованный</w:t>
            </w:r>
            <w:proofErr w:type="gramEnd"/>
            <w:r w:rsidR="00CA7A19" w:rsidRPr="00074598">
              <w:rPr>
                <w:bCs/>
                <w:sz w:val="20"/>
                <w:szCs w:val="24"/>
              </w:rPr>
              <w:t xml:space="preserve"> уровень затрат, характерный для условий строительства объектов космодрома «Восточный».</w:t>
            </w:r>
          </w:p>
          <w:p w:rsidR="00CA7A19" w:rsidRPr="00074598" w:rsidRDefault="00CA7A19" w:rsidP="00CA7A19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Кроме того, </w:t>
            </w:r>
            <w:proofErr w:type="spellStart"/>
            <w:r w:rsidRPr="00074598">
              <w:rPr>
                <w:bCs/>
                <w:sz w:val="20"/>
                <w:szCs w:val="24"/>
              </w:rPr>
              <w:t>Госкорпорацией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«</w:t>
            </w:r>
            <w:proofErr w:type="spellStart"/>
            <w:r w:rsidRPr="00074598">
              <w:rPr>
                <w:bCs/>
                <w:sz w:val="20"/>
                <w:szCs w:val="24"/>
              </w:rPr>
              <w:t>Роскосмос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» исполнение заключенных долгосрочных государственных контрактов по </w:t>
            </w:r>
            <w:proofErr w:type="gramStart"/>
            <w:r w:rsidRPr="00074598">
              <w:rPr>
                <w:bCs/>
                <w:sz w:val="20"/>
                <w:szCs w:val="24"/>
              </w:rPr>
              <w:t>указанной</w:t>
            </w:r>
            <w:proofErr w:type="gramEnd"/>
            <w:r w:rsidRPr="00074598">
              <w:rPr>
                <w:bCs/>
                <w:sz w:val="20"/>
                <w:szCs w:val="24"/>
              </w:rPr>
              <w:t xml:space="preserve"> ФЦП осуществляется с применением казначейского обеспечения обязательств.</w:t>
            </w:r>
          </w:p>
          <w:p w:rsidR="00CA7A19" w:rsidRPr="00074598" w:rsidRDefault="00CA7A19" w:rsidP="00CA7A19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4"/>
              </w:rPr>
              <w:t xml:space="preserve">По ФЦП «Поддержание, развитие и использование системы ГЛОНАСС на 2012 - 2020 годы» (29,1 %) для заключения государственных контрактов, а также дополнительных соглашений, необходимо внести изменения. В настоящее время </w:t>
            </w:r>
            <w:proofErr w:type="spellStart"/>
            <w:r w:rsidRPr="00074598">
              <w:rPr>
                <w:bCs/>
                <w:sz w:val="20"/>
                <w:szCs w:val="24"/>
              </w:rPr>
              <w:t>Госкорпорацией</w:t>
            </w:r>
            <w:proofErr w:type="spellEnd"/>
            <w:r w:rsidRPr="00074598">
              <w:rPr>
                <w:bCs/>
                <w:sz w:val="20"/>
                <w:szCs w:val="24"/>
              </w:rPr>
              <w:t xml:space="preserve"> «</w:t>
            </w:r>
            <w:proofErr w:type="spellStart"/>
            <w:r w:rsidRPr="00074598">
              <w:rPr>
                <w:bCs/>
                <w:sz w:val="20"/>
                <w:szCs w:val="24"/>
              </w:rPr>
              <w:t>Роскосмос</w:t>
            </w:r>
            <w:proofErr w:type="spellEnd"/>
            <w:r w:rsidRPr="00074598">
              <w:rPr>
                <w:bCs/>
                <w:sz w:val="20"/>
                <w:szCs w:val="24"/>
              </w:rPr>
              <w:t>» изменения подготовлены и направлены на согласование в заинтересованные федеральные органы исполнительной власти.</w:t>
            </w:r>
          </w:p>
          <w:p w:rsidR="00CA7A19" w:rsidRPr="00074598" w:rsidRDefault="00CA7A19" w:rsidP="00CA7A19">
            <w:pPr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r w:rsidRPr="00074598">
              <w:rPr>
                <w:bCs/>
                <w:sz w:val="20"/>
                <w:szCs w:val="24"/>
              </w:rPr>
              <w:t>По ряду действующих контрактов предусмотрены выплаты за выполненные работы, срок окончания которых октябрь - ноябрь 2020 года</w:t>
            </w:r>
          </w:p>
        </w:tc>
      </w:tr>
      <w:tr w:rsidR="00A46422" w:rsidRPr="00F46B26" w:rsidTr="00307AC2">
        <w:tc>
          <w:tcPr>
            <w:tcW w:w="567" w:type="dxa"/>
          </w:tcPr>
          <w:p w:rsidR="00A46422" w:rsidRPr="00F46B26" w:rsidRDefault="006406AA" w:rsidP="00614DEE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2269" w:type="dxa"/>
          </w:tcPr>
          <w:p w:rsidR="00A46422" w:rsidRPr="00664738" w:rsidRDefault="004177D5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664738">
              <w:rPr>
                <w:sz w:val="20"/>
                <w:szCs w:val="24"/>
              </w:rPr>
              <w:t>«Информационное общество»</w:t>
            </w:r>
          </w:p>
        </w:tc>
        <w:tc>
          <w:tcPr>
            <w:tcW w:w="8079" w:type="dxa"/>
          </w:tcPr>
          <w:p w:rsidR="002A0D3E" w:rsidRPr="00074598" w:rsidRDefault="004177D5" w:rsidP="002A0D3E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госпрограмме </w:t>
            </w:r>
            <w:r w:rsidRPr="00074598">
              <w:rPr>
                <w:b/>
                <w:bCs/>
                <w:sz w:val="20"/>
                <w:szCs w:val="20"/>
                <w:lang w:eastAsia="en-US"/>
              </w:rPr>
              <w:t>«Информационное общество»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074598">
              <w:rPr>
                <w:sz w:val="20"/>
                <w:szCs w:val="20"/>
              </w:rPr>
              <w:t xml:space="preserve">исполнение расходов составило </w:t>
            </w:r>
            <w:r w:rsidR="002A6A76" w:rsidRPr="00074598">
              <w:rPr>
                <w:sz w:val="20"/>
                <w:szCs w:val="20"/>
              </w:rPr>
              <w:t>44,6</w:t>
            </w:r>
            <w:r w:rsidRPr="00074598">
              <w:rPr>
                <w:sz w:val="20"/>
                <w:szCs w:val="20"/>
              </w:rPr>
              <w:t> % показателя сводной росписи с изменениями</w:t>
            </w:r>
            <w:r w:rsidR="002A0D3E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 w:rsidR="002A0D3E">
              <w:rPr>
                <w:bCs/>
                <w:sz w:val="20"/>
                <w:szCs w:val="24"/>
              </w:rPr>
              <w:t>42,9</w:t>
            </w:r>
            <w:r w:rsidR="002A0D3E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A46422" w:rsidRPr="00074598" w:rsidRDefault="00A46422" w:rsidP="00A46422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На низком уровне исполнены расходы по подпрограммам «Информационное государство» (</w:t>
            </w:r>
            <w:r w:rsidR="002A6A76" w:rsidRPr="00074598">
              <w:rPr>
                <w:bCs/>
                <w:sz w:val="20"/>
                <w:szCs w:val="20"/>
                <w:lang w:eastAsia="en-US"/>
              </w:rPr>
              <w:t>31,9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% показателя </w:t>
            </w:r>
            <w:r w:rsidR="002A6A76" w:rsidRPr="00074598">
              <w:rPr>
                <w:bCs/>
                <w:sz w:val="20"/>
                <w:szCs w:val="20"/>
                <w:lang w:eastAsia="en-US"/>
              </w:rPr>
              <w:t>сводной росписи с изменениями),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«Информационно-телекоммуникационная инфраструктура информационного общества и услуги, </w:t>
            </w:r>
            <w:r w:rsidRPr="00074598">
              <w:rPr>
                <w:bCs/>
                <w:sz w:val="20"/>
                <w:szCs w:val="20"/>
                <w:lang w:eastAsia="en-US"/>
              </w:rPr>
              <w:lastRenderedPageBreak/>
              <w:t>оказываемые на ее основе» (</w:t>
            </w:r>
            <w:r w:rsidR="002A6A76" w:rsidRPr="00074598">
              <w:rPr>
                <w:bCs/>
                <w:sz w:val="20"/>
                <w:szCs w:val="20"/>
                <w:lang w:eastAsia="en-US"/>
              </w:rPr>
              <w:t>33,3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%)</w:t>
            </w:r>
            <w:r w:rsidR="002A6A76" w:rsidRPr="00074598">
              <w:rPr>
                <w:bCs/>
                <w:sz w:val="20"/>
                <w:szCs w:val="20"/>
                <w:lang w:eastAsia="en-US"/>
              </w:rPr>
              <w:t>, «Безопасность в информационном обществе» (34,8 %)</w:t>
            </w:r>
            <w:r w:rsidRPr="00074598">
              <w:rPr>
                <w:bCs/>
                <w:sz w:val="20"/>
                <w:szCs w:val="20"/>
                <w:lang w:eastAsia="en-US"/>
              </w:rPr>
              <w:t>.</w:t>
            </w:r>
          </w:p>
          <w:p w:rsidR="00A46422" w:rsidRPr="00074598" w:rsidRDefault="00A46422" w:rsidP="00A46422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В отчетном периоде в рамках госпрограммы не осуществлялись расходы по </w:t>
            </w:r>
            <w:r w:rsidR="001D5B43">
              <w:rPr>
                <w:bCs/>
                <w:sz w:val="20"/>
                <w:szCs w:val="20"/>
                <w:lang w:eastAsia="en-US"/>
              </w:rPr>
              <w:t>5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главным распорядителям, в том числе </w:t>
            </w:r>
            <w:proofErr w:type="spellStart"/>
            <w:r w:rsidR="00C520CA" w:rsidRPr="00074598">
              <w:rPr>
                <w:bCs/>
                <w:sz w:val="20"/>
                <w:szCs w:val="20"/>
                <w:lang w:eastAsia="en-US"/>
              </w:rPr>
              <w:t>Минобрнауки</w:t>
            </w:r>
            <w:proofErr w:type="spellEnd"/>
            <w:r w:rsidR="00C520CA" w:rsidRPr="00074598">
              <w:rPr>
                <w:bCs/>
                <w:sz w:val="20"/>
                <w:szCs w:val="20"/>
                <w:lang w:eastAsia="en-US"/>
              </w:rPr>
              <w:t xml:space="preserve"> России, Минфином России, Федеральным казначейством, М</w:t>
            </w:r>
            <w:r w:rsidR="001D5B43">
              <w:rPr>
                <w:bCs/>
                <w:sz w:val="20"/>
                <w:szCs w:val="20"/>
                <w:lang w:eastAsia="en-US"/>
              </w:rPr>
              <w:t xml:space="preserve">интрудом России, </w:t>
            </w:r>
            <w:proofErr w:type="spellStart"/>
            <w:r w:rsidR="001D5B43">
              <w:rPr>
                <w:bCs/>
                <w:sz w:val="20"/>
                <w:szCs w:val="20"/>
                <w:lang w:eastAsia="en-US"/>
              </w:rPr>
              <w:t>Ростехнадзором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>.</w:t>
            </w:r>
          </w:p>
          <w:p w:rsidR="00A46422" w:rsidRPr="00074598" w:rsidRDefault="00A46422" w:rsidP="00A46422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В рамках </w:t>
            </w:r>
            <w:r w:rsidR="004177D5" w:rsidRPr="00074598">
              <w:rPr>
                <w:bCs/>
                <w:sz w:val="20"/>
                <w:szCs w:val="20"/>
                <w:lang w:eastAsia="en-US"/>
              </w:rPr>
              <w:t>указанной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госпрограммы осуществля</w:t>
            </w:r>
            <w:r w:rsidR="004177D5" w:rsidRPr="00074598">
              <w:rPr>
                <w:bCs/>
                <w:sz w:val="20"/>
                <w:szCs w:val="20"/>
                <w:lang w:eastAsia="en-US"/>
              </w:rPr>
              <w:t>ется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реализация мероприятий национально</w:t>
            </w:r>
            <w:r w:rsidR="004177D5" w:rsidRPr="00074598">
              <w:rPr>
                <w:bCs/>
                <w:sz w:val="20"/>
                <w:szCs w:val="20"/>
                <w:lang w:eastAsia="en-US"/>
              </w:rPr>
              <w:t>й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4177D5" w:rsidRPr="00074598">
              <w:rPr>
                <w:bCs/>
                <w:sz w:val="20"/>
                <w:szCs w:val="20"/>
                <w:lang w:eastAsia="en-US"/>
              </w:rPr>
              <w:t>программы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«Цифровая экономика Российской Федерации».</w:t>
            </w:r>
          </w:p>
          <w:p w:rsidR="002A6A76" w:rsidRPr="00074598" w:rsidRDefault="00664738" w:rsidP="002A6A76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состоянию на 1 </w:t>
            </w:r>
            <w:r w:rsidR="00C520CA" w:rsidRPr="00074598">
              <w:rPr>
                <w:bCs/>
                <w:sz w:val="20"/>
                <w:szCs w:val="20"/>
                <w:lang w:eastAsia="en-US"/>
              </w:rPr>
              <w:t>октябр</w:t>
            </w:r>
            <w:r w:rsidRPr="00074598">
              <w:rPr>
                <w:bCs/>
                <w:sz w:val="20"/>
                <w:szCs w:val="20"/>
                <w:lang w:eastAsia="en-US"/>
              </w:rPr>
              <w:t>я 2020 года б</w:t>
            </w:r>
            <w:r w:rsidR="00A46422" w:rsidRPr="00074598">
              <w:rPr>
                <w:bCs/>
                <w:sz w:val="20"/>
                <w:szCs w:val="20"/>
                <w:lang w:eastAsia="en-US"/>
              </w:rPr>
              <w:t xml:space="preserve">юджетные ассигнования на 2020 год </w:t>
            </w:r>
            <w:r w:rsidR="004177D5" w:rsidRPr="00074598">
              <w:rPr>
                <w:bCs/>
                <w:sz w:val="20"/>
                <w:szCs w:val="20"/>
                <w:lang w:eastAsia="en-US"/>
              </w:rPr>
              <w:t xml:space="preserve">на ее реализацию </w:t>
            </w:r>
            <w:r w:rsidR="00A46422" w:rsidRPr="00074598">
              <w:rPr>
                <w:bCs/>
                <w:sz w:val="20"/>
                <w:szCs w:val="20"/>
                <w:lang w:eastAsia="en-US"/>
              </w:rPr>
              <w:t>сос</w:t>
            </w:r>
            <w:r w:rsidR="00C520CA" w:rsidRPr="00074598">
              <w:rPr>
                <w:bCs/>
                <w:sz w:val="20"/>
                <w:szCs w:val="20"/>
                <w:lang w:eastAsia="en-US"/>
              </w:rPr>
              <w:t xml:space="preserve">тавляют </w:t>
            </w:r>
            <w:r w:rsidR="002A6A76" w:rsidRPr="00074598">
              <w:rPr>
                <w:bCs/>
                <w:sz w:val="20"/>
                <w:szCs w:val="20"/>
                <w:lang w:eastAsia="en-US"/>
              </w:rPr>
              <w:t>112 041,</w:t>
            </w:r>
            <w:r w:rsidR="001D5B43">
              <w:rPr>
                <w:bCs/>
                <w:sz w:val="20"/>
                <w:szCs w:val="20"/>
                <w:lang w:eastAsia="en-US"/>
              </w:rPr>
              <w:t>6</w:t>
            </w:r>
            <w:r w:rsidR="002A6A76" w:rsidRPr="00074598">
              <w:rPr>
                <w:bCs/>
                <w:sz w:val="20"/>
                <w:szCs w:val="20"/>
                <w:lang w:eastAsia="en-US"/>
              </w:rPr>
              <w:t xml:space="preserve"> млн. рублей. </w:t>
            </w:r>
          </w:p>
          <w:p w:rsidR="002A6A76" w:rsidRPr="00074598" w:rsidRDefault="002A6A76" w:rsidP="001D5B43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Расходы по нац</w:t>
            </w:r>
            <w:r w:rsidR="00C520CA" w:rsidRPr="00074598">
              <w:rPr>
                <w:bCs/>
                <w:sz w:val="20"/>
                <w:szCs w:val="20"/>
                <w:lang w:eastAsia="en-US"/>
              </w:rPr>
              <w:t>иональной программе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за отчетный период исполнены </w:t>
            </w:r>
            <w:r w:rsidR="00D56281">
              <w:rPr>
                <w:bCs/>
                <w:sz w:val="20"/>
                <w:szCs w:val="20"/>
                <w:lang w:eastAsia="en-US"/>
              </w:rPr>
              <w:t xml:space="preserve">на </w:t>
            </w:r>
            <w:r w:rsidRPr="00074598">
              <w:rPr>
                <w:bCs/>
                <w:sz w:val="20"/>
                <w:szCs w:val="20"/>
                <w:lang w:eastAsia="en-US"/>
              </w:rPr>
              <w:t>низком уровне</w:t>
            </w:r>
            <w:r w:rsidR="00563E3B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>– 20,</w:t>
            </w:r>
            <w:r w:rsidR="001D5B43">
              <w:rPr>
                <w:bCs/>
                <w:sz w:val="20"/>
                <w:szCs w:val="20"/>
                <w:lang w:eastAsia="en-US"/>
              </w:rPr>
              <w:t>6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% </w:t>
            </w:r>
            <w:r w:rsidR="00C520CA" w:rsidRPr="00074598">
              <w:rPr>
                <w:bCs/>
                <w:sz w:val="20"/>
                <w:szCs w:val="20"/>
                <w:lang w:eastAsia="en-US"/>
              </w:rPr>
              <w:t>показателя сводной росписи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071D9D" w:rsidRDefault="00614DEE" w:rsidP="00614DEE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71D9D">
              <w:rPr>
                <w:rFonts w:eastAsia="Times New Roman"/>
                <w:sz w:val="20"/>
                <w:szCs w:val="20"/>
              </w:rPr>
              <w:lastRenderedPageBreak/>
              <w:t>1</w:t>
            </w:r>
            <w:r w:rsidR="006406AA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</w:tcPr>
          <w:p w:rsidR="00614DEE" w:rsidRPr="00071D9D" w:rsidRDefault="00614DEE" w:rsidP="0079491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071D9D">
              <w:rPr>
                <w:sz w:val="20"/>
                <w:szCs w:val="24"/>
              </w:rPr>
              <w:t xml:space="preserve">«Развитие транспортной системы»  </w:t>
            </w:r>
          </w:p>
        </w:tc>
        <w:tc>
          <w:tcPr>
            <w:tcW w:w="8079" w:type="dxa"/>
          </w:tcPr>
          <w:p w:rsidR="002A0D3E" w:rsidRPr="00074598" w:rsidRDefault="00614DEE" w:rsidP="002A0D3E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госпрограмме </w:t>
            </w:r>
            <w:r w:rsidRPr="00074598">
              <w:rPr>
                <w:b/>
                <w:sz w:val="20"/>
              </w:rPr>
              <w:t>«Развитие транспортной системы</w:t>
            </w:r>
            <w:r w:rsidRPr="00074598">
              <w:rPr>
                <w:sz w:val="20"/>
                <w:szCs w:val="20"/>
              </w:rPr>
              <w:t xml:space="preserve"> исполнение расходов составило </w:t>
            </w:r>
            <w:r w:rsidR="00261BBF" w:rsidRPr="00074598">
              <w:rPr>
                <w:sz w:val="20"/>
                <w:szCs w:val="20"/>
              </w:rPr>
              <w:t>59</w:t>
            </w:r>
            <w:r w:rsidRPr="00074598">
              <w:rPr>
                <w:sz w:val="20"/>
                <w:szCs w:val="20"/>
              </w:rPr>
              <w:t> % показателя сводной росписи с изменениями</w:t>
            </w:r>
            <w:r w:rsidR="002A0D3E"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 w:rsidR="002A0D3E">
              <w:rPr>
                <w:bCs/>
                <w:sz w:val="20"/>
                <w:szCs w:val="24"/>
              </w:rPr>
              <w:t>53,2</w:t>
            </w:r>
            <w:r w:rsidR="002A0D3E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BE41B8" w:rsidRPr="00074598" w:rsidRDefault="00BE41B8" w:rsidP="008268CE">
            <w:pPr>
              <w:spacing w:line="240" w:lineRule="auto"/>
              <w:ind w:left="0" w:right="-1" w:firstLine="318"/>
              <w:rPr>
                <w:sz w:val="20"/>
              </w:rPr>
            </w:pPr>
            <w:r>
              <w:rPr>
                <w:sz w:val="20"/>
              </w:rPr>
              <w:t>В отчетном периоде не осуществлялось исполнение расходов по п</w:t>
            </w:r>
            <w:r w:rsidRPr="00BE41B8">
              <w:rPr>
                <w:sz w:val="20"/>
              </w:rPr>
              <w:t>одпрограмм</w:t>
            </w:r>
            <w:r>
              <w:rPr>
                <w:sz w:val="20"/>
              </w:rPr>
              <w:t>е «Цифровой транспорт и логистика</w:t>
            </w:r>
            <w:r w:rsidRPr="00BE41B8">
              <w:rPr>
                <w:sz w:val="20"/>
              </w:rPr>
              <w:t>» (</w:t>
            </w:r>
            <w:r w:rsidRPr="00BE41B8">
              <w:rPr>
                <w:bCs/>
                <w:sz w:val="20"/>
                <w:szCs w:val="20"/>
                <w:lang w:eastAsia="en-US"/>
              </w:rPr>
              <w:t>бюджетные ассигнования предусмотрены в сумме 330,0 млн. рублей).</w:t>
            </w:r>
          </w:p>
          <w:p w:rsidR="00261BBF" w:rsidRPr="00074598" w:rsidRDefault="00261BBF" w:rsidP="00261BBF">
            <w:pPr>
              <w:spacing w:line="240" w:lineRule="auto"/>
              <w:ind w:left="0" w:right="-1" w:firstLine="318"/>
              <w:rPr>
                <w:sz w:val="20"/>
              </w:rPr>
            </w:pPr>
            <w:r w:rsidRPr="00074598">
              <w:rPr>
                <w:sz w:val="20"/>
              </w:rPr>
              <w:t xml:space="preserve">Исполнение расходов по подпрограмме «Гражданская авиация и аэронавигационное обслуживание» составило 39,8 % показателя сводной бюджетной росписи с изменениями. </w:t>
            </w:r>
          </w:p>
          <w:p w:rsidR="00614DEE" w:rsidRPr="00074598" w:rsidRDefault="00D212B9" w:rsidP="00D212B9">
            <w:pPr>
              <w:spacing w:line="240" w:lineRule="auto"/>
              <w:ind w:left="0" w:right="-1" w:firstLine="318"/>
              <w:rPr>
                <w:rFonts w:eastAsia="Times New Roman"/>
                <w:sz w:val="20"/>
                <w:szCs w:val="20"/>
              </w:rPr>
            </w:pPr>
            <w:proofErr w:type="gramStart"/>
            <w:r w:rsidRPr="00074598">
              <w:rPr>
                <w:sz w:val="20"/>
              </w:rPr>
              <w:t>Исполнение расходов по подпрограмме</w:t>
            </w:r>
            <w:r w:rsidR="00261BBF" w:rsidRPr="00074598">
              <w:rPr>
                <w:sz w:val="20"/>
              </w:rPr>
              <w:t xml:space="preserve"> «Морской и речной транспорт» составил</w:t>
            </w:r>
            <w:r w:rsidRPr="00074598">
              <w:rPr>
                <w:sz w:val="20"/>
              </w:rPr>
              <w:t>о</w:t>
            </w:r>
            <w:r w:rsidR="00261BBF" w:rsidRPr="00074598">
              <w:rPr>
                <w:sz w:val="20"/>
              </w:rPr>
              <w:t xml:space="preserve"> 41,3</w:t>
            </w:r>
            <w:r w:rsidR="00D56281">
              <w:rPr>
                <w:sz w:val="20"/>
              </w:rPr>
              <w:t> %, ч</w:t>
            </w:r>
            <w:r w:rsidR="00261BBF" w:rsidRPr="00074598">
              <w:rPr>
                <w:sz w:val="20"/>
              </w:rPr>
              <w:t>то обусловлено, в том числе необходимостью корректировки проектной документации по объекту «Строительство морского перегрузочного комплекса сжиженного природного газа в Камчатском крае» (7 444,4 млн</w:t>
            </w:r>
            <w:r w:rsidRPr="00074598">
              <w:rPr>
                <w:sz w:val="20"/>
              </w:rPr>
              <w:t>.</w:t>
            </w:r>
            <w:r w:rsidR="00261BBF" w:rsidRPr="00074598">
              <w:rPr>
                <w:sz w:val="20"/>
              </w:rPr>
              <w:t xml:space="preserve"> рублей), поздним заключением государственного контракта от 11 сентября 2020 г. №313/ОПЭД-20 по объекту «Реконструкция береговых сооружений автомобильно-железнодорожного паромного сообщения «Ванино-Холмск» в морском порту Холмск» (1</w:t>
            </w:r>
            <w:proofErr w:type="gramEnd"/>
            <w:r w:rsidR="00261BBF" w:rsidRPr="00074598">
              <w:rPr>
                <w:sz w:val="20"/>
              </w:rPr>
              <w:t xml:space="preserve"> </w:t>
            </w:r>
            <w:proofErr w:type="gramStart"/>
            <w:r w:rsidR="00261BBF" w:rsidRPr="00074598">
              <w:rPr>
                <w:sz w:val="20"/>
              </w:rPr>
              <w:t>166,5 млн</w:t>
            </w:r>
            <w:r w:rsidRPr="00074598">
              <w:rPr>
                <w:sz w:val="20"/>
              </w:rPr>
              <w:t>.</w:t>
            </w:r>
            <w:r w:rsidR="00261BBF" w:rsidRPr="00074598">
              <w:rPr>
                <w:sz w:val="20"/>
              </w:rPr>
              <w:t xml:space="preserve"> рублей), отсутствием положительного заключения ФАУ «</w:t>
            </w:r>
            <w:proofErr w:type="spellStart"/>
            <w:r w:rsidR="00261BBF" w:rsidRPr="00074598">
              <w:rPr>
                <w:sz w:val="20"/>
              </w:rPr>
              <w:t>Главгосэкспертиза</w:t>
            </w:r>
            <w:proofErr w:type="spellEnd"/>
            <w:r w:rsidR="00261BBF" w:rsidRPr="00074598">
              <w:rPr>
                <w:sz w:val="20"/>
              </w:rPr>
              <w:t xml:space="preserve"> России» на проектно-сметную документацию по объекту «Строительство Нижегородского низконапорного гидроузла. 2-й этап» (681,4 млн</w:t>
            </w:r>
            <w:r w:rsidRPr="00074598">
              <w:rPr>
                <w:sz w:val="20"/>
              </w:rPr>
              <w:t>. рублей)</w:t>
            </w:r>
            <w:proofErr w:type="gramEnd"/>
          </w:p>
        </w:tc>
      </w:tr>
      <w:tr w:rsidR="00614DEE" w:rsidRPr="00F46B26" w:rsidTr="00307AC2">
        <w:tc>
          <w:tcPr>
            <w:tcW w:w="567" w:type="dxa"/>
          </w:tcPr>
          <w:p w:rsidR="00614DEE" w:rsidRPr="00F46B26" w:rsidRDefault="00614DEE" w:rsidP="00614DEE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t>1</w:t>
            </w:r>
            <w:r w:rsidR="006406AA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</w:tcPr>
          <w:p w:rsidR="00614DEE" w:rsidRPr="006406AA" w:rsidRDefault="00614DEE" w:rsidP="0079491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6406AA">
              <w:rPr>
                <w:sz w:val="20"/>
                <w:szCs w:val="24"/>
              </w:rPr>
              <w:t xml:space="preserve">Государственная программа развития сельского хозяйства и регулирования рынков сельскохозяйственной продукции, сырья и продовольствия </w:t>
            </w:r>
          </w:p>
        </w:tc>
        <w:tc>
          <w:tcPr>
            <w:tcW w:w="8079" w:type="dxa"/>
          </w:tcPr>
          <w:p w:rsidR="002A0D3E" w:rsidRPr="00074598" w:rsidRDefault="00614DEE" w:rsidP="002A0D3E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sz w:val="20"/>
                <w:szCs w:val="20"/>
              </w:rPr>
              <w:t xml:space="preserve">По указанной госпрограмме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исполнение расходов составило </w:t>
            </w:r>
            <w:r w:rsidRPr="00074598">
              <w:rPr>
                <w:rFonts w:eastAsia="Times New Roman"/>
                <w:sz w:val="20"/>
                <w:szCs w:val="20"/>
              </w:rPr>
              <w:br/>
            </w:r>
            <w:r w:rsidR="0083406F" w:rsidRPr="00074598">
              <w:rPr>
                <w:rFonts w:eastAsia="Times New Roman"/>
                <w:sz w:val="20"/>
                <w:szCs w:val="20"/>
              </w:rPr>
              <w:t>68,6</w:t>
            </w:r>
            <w:r w:rsidRPr="00074598">
              <w:rPr>
                <w:rFonts w:eastAsia="Times New Roman"/>
                <w:sz w:val="20"/>
                <w:szCs w:val="20"/>
              </w:rPr>
              <w:t> % показателя сводной росписи с изменениями</w:t>
            </w:r>
            <w:r w:rsidR="002A0D3E" w:rsidRPr="00074598">
              <w:rPr>
                <w:bCs/>
                <w:sz w:val="20"/>
                <w:szCs w:val="24"/>
              </w:rPr>
              <w:t xml:space="preserve">, что выше уровня исполнения за соответствующий период 2019 года (65,6 %). </w:t>
            </w:r>
          </w:p>
          <w:p w:rsidR="00D00CA1" w:rsidRPr="00074598" w:rsidRDefault="00B623B6" w:rsidP="00D00CA1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Отдельные мероприятия в рамках госпрограммы исполнены на недостаточном уровне.</w:t>
            </w:r>
          </w:p>
          <w:p w:rsidR="00D00CA1" w:rsidRPr="00074598" w:rsidRDefault="00D00CA1" w:rsidP="00D00CA1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 xml:space="preserve">Так, по подпрограмме «Развитие отраслей агропромышленного комплекса» средства федерального бюджета использованы на уровне </w:t>
            </w:r>
            <w:r w:rsidR="0083406F" w:rsidRPr="00074598">
              <w:rPr>
                <w:rFonts w:eastAsia="Times New Roman"/>
                <w:sz w:val="20"/>
                <w:szCs w:val="20"/>
              </w:rPr>
              <w:t>69,1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%. </w:t>
            </w:r>
          </w:p>
          <w:p w:rsidR="0083406F" w:rsidRPr="00074598" w:rsidRDefault="0083406F" w:rsidP="0083406F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По ведомственному проекту «Техническая модернизация агропромышленного комплекса» кассовое исполнение возмещения недополученных доходов при уплате лизингополучателем лизинговых платежей (КБК 082 0405 25</w:t>
            </w:r>
            <w:proofErr w:type="gramStart"/>
            <w:r w:rsidR="000C79EA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У</w:t>
            </w:r>
            <w:proofErr w:type="gramEnd"/>
            <w:r w:rsidR="000C79EA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В1</w:t>
            </w:r>
            <w:r w:rsidR="000C79EA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67656 811), осуществляемое по факту произведенных платежей, составило 25,9 %. При этом, по данным Единого портала бюджетной системы по состоянию на 15 октября 2020 года, Минсельхозом России заключено соглашение с АО «</w:t>
            </w:r>
            <w:proofErr w:type="spellStart"/>
            <w:r w:rsidRPr="00074598">
              <w:rPr>
                <w:rFonts w:eastAsia="Times New Roman"/>
                <w:sz w:val="20"/>
                <w:szCs w:val="20"/>
              </w:rPr>
              <w:t>Росагролизинг</w:t>
            </w:r>
            <w:proofErr w:type="spellEnd"/>
            <w:r w:rsidRPr="00074598">
              <w:rPr>
                <w:rFonts w:eastAsia="Times New Roman"/>
                <w:sz w:val="20"/>
                <w:szCs w:val="20"/>
              </w:rPr>
              <w:t xml:space="preserve">» (от 20 декабря 2019 г. № 082-11-2020-001) на </w:t>
            </w:r>
            <w:proofErr w:type="gramStart"/>
            <w:r w:rsidRPr="00074598">
              <w:rPr>
                <w:rFonts w:eastAsia="Times New Roman"/>
                <w:sz w:val="20"/>
                <w:szCs w:val="20"/>
              </w:rPr>
              <w:t>половину</w:t>
            </w:r>
            <w:proofErr w:type="gramEnd"/>
            <w:r w:rsidRPr="00074598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074598">
              <w:rPr>
                <w:rFonts w:eastAsia="Times New Roman"/>
                <w:sz w:val="20"/>
                <w:szCs w:val="20"/>
              </w:rPr>
              <w:t>суммы</w:t>
            </w:r>
            <w:proofErr w:type="gramEnd"/>
            <w:r w:rsidRPr="00074598">
              <w:rPr>
                <w:rFonts w:eastAsia="Times New Roman"/>
                <w:sz w:val="20"/>
                <w:szCs w:val="20"/>
              </w:rPr>
              <w:t xml:space="preserve"> от запланированного объема бюджетных ассигнований на предоставление субсидии (550,0 млн. рублей). </w:t>
            </w:r>
          </w:p>
          <w:p w:rsidR="0083406F" w:rsidRPr="00074598" w:rsidRDefault="0083406F" w:rsidP="0083406F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Расходы по федеральному проекту «Экспорт продукции АПК» национального проекта «Международная кооперация и экспорт» исполнен на уровне 62,1 %.</w:t>
            </w:r>
          </w:p>
          <w:p w:rsidR="0083406F" w:rsidRPr="00074598" w:rsidRDefault="0083406F" w:rsidP="0083406F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 xml:space="preserve">Однако по отдельным направлениям расходов сохраняется низкий уровень исполнения, что обусловлено негативными последствиями распространения новой </w:t>
            </w:r>
            <w:proofErr w:type="spellStart"/>
            <w:r w:rsidRPr="00074598">
              <w:rPr>
                <w:rFonts w:eastAsia="Times New Roman"/>
                <w:sz w:val="20"/>
                <w:szCs w:val="20"/>
              </w:rPr>
              <w:t>коронавирусной</w:t>
            </w:r>
            <w:proofErr w:type="spellEnd"/>
            <w:r w:rsidRPr="00074598">
              <w:rPr>
                <w:rFonts w:eastAsia="Times New Roman"/>
                <w:sz w:val="20"/>
                <w:szCs w:val="20"/>
              </w:rPr>
              <w:t xml:space="preserve"> инфекции. Так, расходы по государственной поддержке организаций в целях продвижения продукции АПК на внешние рынки (КБК 082 0405 25</w:t>
            </w:r>
            <w:proofErr w:type="gramStart"/>
            <w:r w:rsidR="000C79EA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У</w:t>
            </w:r>
            <w:proofErr w:type="gramEnd"/>
            <w:r w:rsidR="000C79EA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T2</w:t>
            </w:r>
            <w:r w:rsidR="000C79EA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60134 812) составили 20,5 % при их сокращении на 32,4 % (с 307,0 млн. рублей до 207,4 млн. рублей) (проведение зарубежных демонстрационных и дегустационных мероприятий перенесено на II полугодие 2020 года). По государственной поддержке организаций в целях компенсации части затрат, связанных с сертификацией продукции АПК на внешних рынках (КБК 082 0405 25</w:t>
            </w:r>
            <w:proofErr w:type="gramStart"/>
            <w:r w:rsidR="000C79EA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У</w:t>
            </w:r>
            <w:proofErr w:type="gramEnd"/>
            <w:r w:rsidR="000C79EA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T2</w:t>
            </w:r>
            <w:r w:rsidR="000C79EA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60289 811), расходы исполнены лишь на уровне 0,9 %. При этом соглашения с юридическими лицами заключены лишь на 6,6 млн. рублей, или 3,3 % запланированного объема расходов.</w:t>
            </w:r>
          </w:p>
          <w:p w:rsidR="0083406F" w:rsidRPr="00074598" w:rsidRDefault="0083406F" w:rsidP="0083406F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По субсидиям на льготное кредитование сель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скохозяйственных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товаропроизводителей  </w:t>
            </w:r>
            <w:r w:rsidRPr="00074598">
              <w:rPr>
                <w:rFonts w:eastAsia="Times New Roman"/>
                <w:sz w:val="20"/>
                <w:szCs w:val="20"/>
              </w:rPr>
              <w:lastRenderedPageBreak/>
              <w:t xml:space="preserve">в рамках </w:t>
            </w:r>
            <w:r w:rsidR="00A759C6" w:rsidRPr="00074598">
              <w:rPr>
                <w:rFonts w:eastAsia="Times New Roman"/>
                <w:sz w:val="20"/>
                <w:szCs w:val="20"/>
              </w:rPr>
              <w:t>федерального проекта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«Экспорт продукции АПК» исполнение сложилось на уровне 23,4 %  (расходы осуществляются по факту получения Минсельхозом России от уполномоченных банков заявлений на предоставление субсидий). </w:t>
            </w:r>
            <w:r w:rsidR="00A759C6" w:rsidRPr="00074598">
              <w:rPr>
                <w:rFonts w:eastAsia="Times New Roman"/>
                <w:sz w:val="20"/>
                <w:szCs w:val="20"/>
              </w:rPr>
              <w:t>В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отчетн</w:t>
            </w:r>
            <w:r w:rsidR="00A759C6" w:rsidRPr="00074598">
              <w:rPr>
                <w:rFonts w:eastAsia="Times New Roman"/>
                <w:sz w:val="20"/>
                <w:szCs w:val="20"/>
              </w:rPr>
              <w:t>ом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период</w:t>
            </w:r>
            <w:r w:rsidR="00A759C6" w:rsidRPr="00074598">
              <w:rPr>
                <w:rFonts w:eastAsia="Times New Roman"/>
                <w:sz w:val="20"/>
                <w:szCs w:val="20"/>
              </w:rPr>
              <w:t>е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средства федерального бюджета были сокращены более чем в 3 раза (на 14 270,5 млн. рублей).</w:t>
            </w:r>
          </w:p>
          <w:p w:rsidR="0083406F" w:rsidRPr="00074598" w:rsidRDefault="0083406F" w:rsidP="0083406F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При достаточно высо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ком уровне исполнения расходов </w:t>
            </w:r>
            <w:r w:rsidRPr="00074598">
              <w:rPr>
                <w:rFonts w:eastAsia="Times New Roman"/>
                <w:sz w:val="20"/>
                <w:szCs w:val="20"/>
              </w:rPr>
              <w:t>по ведомственному проекту «Стимулирование инвестиционной деятельности» (63,6</w:t>
            </w:r>
            <w:r w:rsidR="00A759C6" w:rsidRPr="00074598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%) на протяжении 9 месяцев финансового год</w:t>
            </w:r>
            <w:r w:rsidR="00A759C6" w:rsidRPr="00074598">
              <w:rPr>
                <w:rFonts w:eastAsia="Times New Roman"/>
                <w:sz w:val="20"/>
                <w:szCs w:val="20"/>
              </w:rPr>
              <w:t>а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не используются средства федерального бюджета по иным </w:t>
            </w:r>
            <w:r w:rsidR="00A759C6" w:rsidRPr="00074598">
              <w:rPr>
                <w:rFonts w:eastAsia="Times New Roman"/>
                <w:sz w:val="20"/>
                <w:szCs w:val="20"/>
              </w:rPr>
              <w:t>межбюджетным трансфертам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на возмещение части прямых понесенных затрат на создание или модернизацию объектов АПК (КБК 082 0405 25</w:t>
            </w:r>
            <w:proofErr w:type="gramStart"/>
            <w:r w:rsidR="00406A1C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У</w:t>
            </w:r>
            <w:proofErr w:type="gramEnd"/>
            <w:r w:rsidR="00406A1C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>В2</w:t>
            </w:r>
            <w:r w:rsidR="00406A1C">
              <w:rPr>
                <w:rFonts w:eastAsia="Times New Roman"/>
                <w:sz w:val="20"/>
                <w:szCs w:val="20"/>
              </w:rPr>
              <w:t> </w:t>
            </w:r>
            <w:r w:rsidRPr="00074598">
              <w:rPr>
                <w:rFonts w:eastAsia="Times New Roman"/>
                <w:sz w:val="20"/>
                <w:szCs w:val="20"/>
              </w:rPr>
              <w:t xml:space="preserve">54720 540) в связи с отсутствием решения Правительства Российской Федерации об их распределении между субъектами Российской Федерации (100,0 млн. рублей). Расходы по </w:t>
            </w:r>
            <w:r w:rsidR="00A759C6" w:rsidRPr="00074598">
              <w:rPr>
                <w:rFonts w:eastAsia="Times New Roman"/>
                <w:sz w:val="20"/>
                <w:szCs w:val="20"/>
              </w:rPr>
              <w:t>у</w:t>
            </w:r>
            <w:r w:rsidRPr="00074598">
              <w:rPr>
                <w:rFonts w:eastAsia="Times New Roman"/>
                <w:sz w:val="20"/>
                <w:szCs w:val="20"/>
              </w:rPr>
              <w:t>казанному направлению гос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ударственной поддержки (2 октября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2020 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года) </w:t>
            </w:r>
            <w:r w:rsidRPr="00074598">
              <w:rPr>
                <w:rFonts w:eastAsia="Times New Roman"/>
                <w:sz w:val="20"/>
                <w:szCs w:val="20"/>
              </w:rPr>
              <w:t>существенно увеличены до 6 740,3 млн. рублей, что в конце финансового года создает риски неполного исполнения расходов по указанному направлению гос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ударственной </w:t>
            </w:r>
            <w:r w:rsidRPr="00074598">
              <w:rPr>
                <w:rFonts w:eastAsia="Times New Roman"/>
                <w:sz w:val="20"/>
                <w:szCs w:val="20"/>
              </w:rPr>
              <w:t>поддержки и как следствие, возможной коррект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ировки запланированных объемов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бюджетных ассигнований. </w:t>
            </w:r>
          </w:p>
          <w:p w:rsidR="0083406F" w:rsidRPr="00074598" w:rsidRDefault="00A759C6" w:rsidP="0083406F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В</w:t>
            </w:r>
            <w:r w:rsidR="0083406F" w:rsidRPr="00074598">
              <w:rPr>
                <w:rFonts w:eastAsia="Times New Roman"/>
                <w:sz w:val="20"/>
                <w:szCs w:val="20"/>
              </w:rPr>
              <w:t xml:space="preserve"> рамках ведомственного проекта сложился недостаточный уровень исполнения по субсидиям на льготное кредитование (59,3 %). С учетом корректировки финансового обеспечения в первой декаде октября уровень исполнения по указанному направлению гос</w:t>
            </w:r>
            <w:r w:rsidRPr="00074598">
              <w:rPr>
                <w:rFonts w:eastAsia="Times New Roman"/>
                <w:sz w:val="20"/>
                <w:szCs w:val="20"/>
              </w:rPr>
              <w:t xml:space="preserve">ударственной </w:t>
            </w:r>
            <w:r w:rsidR="0083406F" w:rsidRPr="00074598">
              <w:rPr>
                <w:rFonts w:eastAsia="Times New Roman"/>
                <w:sz w:val="20"/>
                <w:szCs w:val="20"/>
              </w:rPr>
              <w:t xml:space="preserve">поддержки </w:t>
            </w:r>
            <w:r w:rsidRPr="00074598">
              <w:rPr>
                <w:rFonts w:eastAsia="Times New Roman"/>
                <w:sz w:val="20"/>
                <w:szCs w:val="20"/>
              </w:rPr>
              <w:t>увеличится</w:t>
            </w:r>
            <w:r w:rsidR="0083406F" w:rsidRPr="00074598">
              <w:rPr>
                <w:rFonts w:eastAsia="Times New Roman"/>
                <w:sz w:val="20"/>
                <w:szCs w:val="20"/>
              </w:rPr>
              <w:t xml:space="preserve">.  </w:t>
            </w:r>
          </w:p>
          <w:p w:rsidR="0083406F" w:rsidRPr="00074598" w:rsidRDefault="0083406F" w:rsidP="0083406F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По подпрограмме «Обеспечение условий развития агропромышленного комплекса» бюджетные ассигнования исполнены на уровне 66,9 %.</w:t>
            </w:r>
          </w:p>
          <w:p w:rsidR="0083406F" w:rsidRPr="00074598" w:rsidRDefault="0083406F" w:rsidP="0083406F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 xml:space="preserve">По ведомственной целевой программе «Научно-техническое обеспечение развития отраслей АПК» </w:t>
            </w:r>
            <w:r w:rsidR="00A759C6" w:rsidRPr="00074598">
              <w:rPr>
                <w:rFonts w:eastAsia="Times New Roman"/>
                <w:sz w:val="20"/>
                <w:szCs w:val="20"/>
              </w:rPr>
              <w:t>отмечается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низки</w:t>
            </w:r>
            <w:r w:rsidR="00A759C6" w:rsidRPr="00074598">
              <w:rPr>
                <w:rFonts w:eastAsia="Times New Roman"/>
                <w:sz w:val="20"/>
                <w:szCs w:val="20"/>
              </w:rPr>
              <w:t>й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</w:t>
            </w:r>
            <w:r w:rsidR="00A759C6" w:rsidRPr="00074598">
              <w:rPr>
                <w:rFonts w:eastAsia="Times New Roman"/>
                <w:sz w:val="20"/>
                <w:szCs w:val="20"/>
              </w:rPr>
              <w:t>уровень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исполнения (28,3 %). </w:t>
            </w:r>
            <w:proofErr w:type="gramStart"/>
            <w:r w:rsidRPr="00074598">
              <w:rPr>
                <w:rFonts w:eastAsia="Times New Roman"/>
                <w:sz w:val="20"/>
                <w:szCs w:val="20"/>
              </w:rPr>
              <w:t xml:space="preserve">Значительная часть расходов 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указанной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ВЦП запланирована на предоставление грантов в форме субсидий на реализацию комплексных научно-технических проектов (далее – КНТП) в АПК (КБК 0405 25Ф0567360 812, 953,4 млн. рублей) по Федеральной научно-технической программе развития сельского хозяйства на </w:t>
            </w:r>
            <w:r w:rsidR="00A759C6" w:rsidRPr="00074598">
              <w:rPr>
                <w:rFonts w:eastAsia="Times New Roman"/>
                <w:sz w:val="20"/>
                <w:szCs w:val="20"/>
              </w:rPr>
              <w:t>2017 – 2025 годы</w:t>
            </w:r>
            <w:r w:rsidRPr="00074598">
              <w:rPr>
                <w:rFonts w:eastAsia="Times New Roman"/>
                <w:sz w:val="20"/>
                <w:szCs w:val="20"/>
              </w:rPr>
              <w:t>.</w:t>
            </w:r>
            <w:proofErr w:type="gramEnd"/>
            <w:r w:rsidRPr="00074598">
              <w:rPr>
                <w:rFonts w:eastAsia="Times New Roman"/>
                <w:sz w:val="20"/>
                <w:szCs w:val="20"/>
              </w:rPr>
              <w:t xml:space="preserve"> В отчетном периоде расходы на предоставление грантов незначительно увеличились и составили 36,0 млн. рублей, или 3,8 %, только в пределах неиспользованных в 2019 году остатков грантов, восстановленных в 2020 году в объеме 60,2 млн. рублей. Соглашения о предоставлении грантов в форме субсидий под законодательно установленные на 2020 год объемы 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финансирования по состоянию на 1 октября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2020 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года </w:t>
            </w:r>
            <w:r w:rsidRPr="00074598">
              <w:rPr>
                <w:rFonts w:eastAsia="Times New Roman"/>
                <w:sz w:val="20"/>
                <w:szCs w:val="20"/>
              </w:rPr>
              <w:t xml:space="preserve">не заключены в связи с длительной корректировкой нормативного правового обеспечения. Постановление Правительства Российской Федерации </w:t>
            </w:r>
            <w:proofErr w:type="gramStart"/>
            <w:r w:rsidRPr="00074598">
              <w:rPr>
                <w:rFonts w:eastAsia="Times New Roman"/>
                <w:sz w:val="20"/>
                <w:szCs w:val="20"/>
              </w:rPr>
              <w:t>о предоставлении грантов в форме субсидий из федерального бюджета на реализацию комплексных научно-технических проектов в агропромышленном комплексе</w:t>
            </w:r>
            <w:proofErr w:type="gramEnd"/>
            <w:r w:rsidRPr="00074598">
              <w:rPr>
                <w:rFonts w:eastAsia="Times New Roman"/>
                <w:sz w:val="20"/>
                <w:szCs w:val="20"/>
              </w:rPr>
              <w:t xml:space="preserve"> утверждено 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(22 июля </w:t>
            </w:r>
            <w:r w:rsidRPr="00074598">
              <w:rPr>
                <w:rFonts w:eastAsia="Times New Roman"/>
                <w:sz w:val="20"/>
                <w:szCs w:val="20"/>
              </w:rPr>
              <w:t>2020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 г.</w:t>
            </w:r>
            <w:r w:rsidRPr="00074598">
              <w:rPr>
                <w:rFonts w:eastAsia="Times New Roman"/>
                <w:sz w:val="20"/>
                <w:szCs w:val="20"/>
              </w:rPr>
              <w:t xml:space="preserve"> № 1080</w:t>
            </w:r>
            <w:r w:rsidR="00A759C6" w:rsidRPr="00074598">
              <w:rPr>
                <w:rFonts w:eastAsia="Times New Roman"/>
                <w:sz w:val="20"/>
                <w:szCs w:val="20"/>
              </w:rPr>
              <w:t>)</w:t>
            </w:r>
            <w:r w:rsidRPr="00074598">
              <w:rPr>
                <w:rFonts w:eastAsia="Times New Roman"/>
                <w:sz w:val="20"/>
                <w:szCs w:val="20"/>
              </w:rPr>
              <w:t>.</w:t>
            </w:r>
          </w:p>
          <w:p w:rsidR="0083406F" w:rsidRPr="00074598" w:rsidRDefault="0083406F" w:rsidP="0083406F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 xml:space="preserve">По данным официального сайта Минсельхоза России, </w:t>
            </w:r>
            <w:r w:rsidR="00A759C6" w:rsidRPr="00074598">
              <w:rPr>
                <w:rFonts w:eastAsia="Times New Roman"/>
                <w:sz w:val="20"/>
                <w:szCs w:val="20"/>
              </w:rPr>
              <w:t>м</w:t>
            </w:r>
            <w:r w:rsidRPr="00074598">
              <w:rPr>
                <w:rFonts w:eastAsia="Times New Roman"/>
                <w:sz w:val="20"/>
                <w:szCs w:val="20"/>
              </w:rPr>
              <w:t>инистерством проводятся конкурсные отборы КНТП о предоставлении гранто</w:t>
            </w:r>
            <w:r w:rsidR="00A759C6" w:rsidRPr="00074598">
              <w:rPr>
                <w:rFonts w:eastAsia="Times New Roman"/>
                <w:sz w:val="20"/>
                <w:szCs w:val="20"/>
              </w:rPr>
              <w:t xml:space="preserve">в в период до 15 октября </w:t>
            </w:r>
            <w:r w:rsidRPr="00074598">
              <w:rPr>
                <w:rFonts w:eastAsia="Times New Roman"/>
                <w:sz w:val="20"/>
                <w:szCs w:val="20"/>
              </w:rPr>
              <w:t>2020 г</w:t>
            </w:r>
            <w:r w:rsidR="00A759C6" w:rsidRPr="00074598">
              <w:rPr>
                <w:rFonts w:eastAsia="Times New Roman"/>
                <w:sz w:val="20"/>
                <w:szCs w:val="20"/>
              </w:rPr>
              <w:t>ода</w:t>
            </w:r>
            <w:r w:rsidRPr="00074598">
              <w:rPr>
                <w:rFonts w:eastAsia="Times New Roman"/>
                <w:sz w:val="20"/>
                <w:szCs w:val="20"/>
              </w:rPr>
              <w:t>.</w:t>
            </w:r>
          </w:p>
          <w:p w:rsidR="00614DEE" w:rsidRPr="00074598" w:rsidRDefault="00A759C6" w:rsidP="00A759C6">
            <w:pPr>
              <w:widowControl w:val="0"/>
              <w:spacing w:line="240" w:lineRule="auto"/>
              <w:ind w:left="0" w:right="0" w:firstLine="318"/>
              <w:contextualSpacing/>
              <w:textAlignment w:val="auto"/>
              <w:rPr>
                <w:rFonts w:eastAsia="Times New Roman"/>
                <w:sz w:val="20"/>
                <w:szCs w:val="20"/>
              </w:rPr>
            </w:pPr>
            <w:r w:rsidRPr="00074598">
              <w:rPr>
                <w:rFonts w:eastAsia="Times New Roman"/>
                <w:sz w:val="20"/>
                <w:szCs w:val="20"/>
              </w:rPr>
              <w:t>В рамках</w:t>
            </w:r>
            <w:r w:rsidR="0083406F" w:rsidRPr="00074598">
              <w:rPr>
                <w:rFonts w:eastAsia="Times New Roman"/>
                <w:sz w:val="20"/>
                <w:szCs w:val="20"/>
              </w:rPr>
              <w:t xml:space="preserve"> ведомственной программы «Разв</w:t>
            </w:r>
            <w:r w:rsidRPr="00074598">
              <w:rPr>
                <w:rFonts w:eastAsia="Times New Roman"/>
                <w:sz w:val="20"/>
                <w:szCs w:val="20"/>
              </w:rPr>
              <w:t>итие мелиоративного комплекса»</w:t>
            </w:r>
            <w:r w:rsidR="0083406F" w:rsidRPr="00074598">
              <w:rPr>
                <w:rFonts w:eastAsia="Times New Roman"/>
                <w:sz w:val="20"/>
                <w:szCs w:val="20"/>
              </w:rPr>
              <w:t xml:space="preserve"> расходы на реализацию мероприятий в области мелиорации земель сель</w:t>
            </w:r>
            <w:r w:rsidRPr="00074598">
              <w:rPr>
                <w:rFonts w:eastAsia="Times New Roman"/>
                <w:sz w:val="20"/>
                <w:szCs w:val="20"/>
              </w:rPr>
              <w:t>ско</w:t>
            </w:r>
            <w:r w:rsidR="0083406F" w:rsidRPr="00074598">
              <w:rPr>
                <w:rFonts w:eastAsia="Times New Roman"/>
                <w:sz w:val="20"/>
                <w:szCs w:val="20"/>
              </w:rPr>
              <w:t>хоз</w:t>
            </w:r>
            <w:r w:rsidRPr="00074598">
              <w:rPr>
                <w:rFonts w:eastAsia="Times New Roman"/>
                <w:sz w:val="20"/>
                <w:szCs w:val="20"/>
              </w:rPr>
              <w:t xml:space="preserve">яйственного </w:t>
            </w:r>
            <w:r w:rsidR="0083406F" w:rsidRPr="00074598">
              <w:rPr>
                <w:rFonts w:eastAsia="Times New Roman"/>
                <w:sz w:val="20"/>
                <w:szCs w:val="20"/>
              </w:rPr>
              <w:t xml:space="preserve">назначения исполнены на уровне 35,3 %. Перечисление субсидий получателям осуществляется после подтверждения фактически выполненных </w:t>
            </w:r>
            <w:r w:rsidRPr="00074598">
              <w:rPr>
                <w:rFonts w:eastAsia="Times New Roman"/>
                <w:sz w:val="20"/>
                <w:szCs w:val="20"/>
              </w:rPr>
              <w:t>мелиоративных работ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F46B26" w:rsidRDefault="00614DEE" w:rsidP="00614DEE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46B26">
              <w:rPr>
                <w:rFonts w:eastAsia="Times New Roman"/>
                <w:sz w:val="20"/>
                <w:szCs w:val="20"/>
              </w:rPr>
              <w:lastRenderedPageBreak/>
              <w:t>1</w:t>
            </w:r>
            <w:r w:rsidR="006406AA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2269" w:type="dxa"/>
          </w:tcPr>
          <w:p w:rsidR="00614DEE" w:rsidRPr="00F46B26" w:rsidRDefault="00614DEE" w:rsidP="0079491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F46B26">
              <w:rPr>
                <w:bCs/>
                <w:sz w:val="20"/>
                <w:szCs w:val="24"/>
              </w:rPr>
              <w:t xml:space="preserve">«Развитие </w:t>
            </w:r>
            <w:proofErr w:type="spellStart"/>
            <w:r w:rsidRPr="00F46B26">
              <w:rPr>
                <w:bCs/>
                <w:sz w:val="20"/>
                <w:szCs w:val="24"/>
              </w:rPr>
              <w:t>рыбохозяйственного</w:t>
            </w:r>
            <w:proofErr w:type="spellEnd"/>
            <w:r w:rsidRPr="00F46B26">
              <w:rPr>
                <w:bCs/>
                <w:sz w:val="20"/>
                <w:szCs w:val="24"/>
              </w:rPr>
              <w:t xml:space="preserve"> комплекса»</w:t>
            </w:r>
          </w:p>
        </w:tc>
        <w:tc>
          <w:tcPr>
            <w:tcW w:w="8079" w:type="dxa"/>
          </w:tcPr>
          <w:p w:rsidR="00614DEE" w:rsidRPr="00074598" w:rsidRDefault="00614DEE" w:rsidP="00FA3E56">
            <w:pPr>
              <w:widowControl w:val="0"/>
              <w:spacing w:line="240" w:lineRule="auto"/>
              <w:ind w:left="34" w:right="-1" w:firstLine="318"/>
              <w:rPr>
                <w:sz w:val="20"/>
                <w:szCs w:val="20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sz w:val="20"/>
                <w:szCs w:val="20"/>
              </w:rPr>
              <w:t xml:space="preserve"> </w:t>
            </w:r>
            <w:r w:rsidRPr="00074598">
              <w:rPr>
                <w:b/>
                <w:sz w:val="20"/>
                <w:szCs w:val="20"/>
              </w:rPr>
              <w:t xml:space="preserve">«Развитие </w:t>
            </w:r>
            <w:proofErr w:type="spellStart"/>
            <w:r w:rsidRPr="00074598">
              <w:rPr>
                <w:b/>
                <w:sz w:val="20"/>
                <w:szCs w:val="20"/>
              </w:rPr>
              <w:t>рыбохозяйственного</w:t>
            </w:r>
            <w:proofErr w:type="spellEnd"/>
            <w:r w:rsidRPr="00074598">
              <w:rPr>
                <w:b/>
                <w:sz w:val="20"/>
                <w:szCs w:val="20"/>
              </w:rPr>
              <w:t xml:space="preserve"> комплекса» </w:t>
            </w:r>
            <w:r w:rsidRPr="00074598">
              <w:rPr>
                <w:sz w:val="20"/>
                <w:szCs w:val="20"/>
              </w:rPr>
              <w:t xml:space="preserve">исполнение расходов составило </w:t>
            </w:r>
            <w:r w:rsidR="00995A47" w:rsidRPr="00074598">
              <w:rPr>
                <w:sz w:val="20"/>
                <w:szCs w:val="20"/>
              </w:rPr>
              <w:t>62</w:t>
            </w:r>
            <w:r w:rsidRPr="00074598">
              <w:rPr>
                <w:sz w:val="20"/>
                <w:szCs w:val="20"/>
              </w:rPr>
              <w:t xml:space="preserve"> % показателя</w:t>
            </w:r>
            <w:r w:rsidR="00FA3E56">
              <w:rPr>
                <w:sz w:val="20"/>
                <w:szCs w:val="20"/>
              </w:rPr>
              <w:t xml:space="preserve"> сводной росписи с изменениями, </w:t>
            </w:r>
            <w:r w:rsidR="00FA3E56" w:rsidRPr="00074598">
              <w:rPr>
                <w:bCs/>
                <w:sz w:val="20"/>
                <w:szCs w:val="24"/>
              </w:rPr>
              <w:t xml:space="preserve">что </w:t>
            </w:r>
            <w:r w:rsidR="00FA3E56">
              <w:rPr>
                <w:bCs/>
                <w:sz w:val="20"/>
                <w:szCs w:val="24"/>
              </w:rPr>
              <w:t>ниже</w:t>
            </w:r>
            <w:r w:rsidR="00FA3E56" w:rsidRPr="00074598">
              <w:rPr>
                <w:bCs/>
                <w:sz w:val="20"/>
                <w:szCs w:val="24"/>
              </w:rPr>
              <w:t xml:space="preserve"> уровня исполнения за с</w:t>
            </w:r>
            <w:r w:rsidR="00FA3E56">
              <w:rPr>
                <w:bCs/>
                <w:sz w:val="20"/>
                <w:szCs w:val="24"/>
              </w:rPr>
              <w:t>оответствующий период 2019 года</w:t>
            </w:r>
            <w:r w:rsidR="00995A47" w:rsidRPr="00074598">
              <w:rPr>
                <w:sz w:val="20"/>
                <w:szCs w:val="20"/>
              </w:rPr>
              <w:t xml:space="preserve"> (69,</w:t>
            </w:r>
            <w:r w:rsidR="00FA3E56">
              <w:rPr>
                <w:sz w:val="20"/>
                <w:szCs w:val="20"/>
              </w:rPr>
              <w:t>5</w:t>
            </w:r>
            <w:r w:rsidR="00995A47" w:rsidRPr="00074598">
              <w:rPr>
                <w:sz w:val="20"/>
                <w:szCs w:val="20"/>
              </w:rPr>
              <w:t> %)</w:t>
            </w:r>
            <w:r w:rsidRPr="00074598">
              <w:rPr>
                <w:sz w:val="20"/>
                <w:szCs w:val="20"/>
              </w:rPr>
              <w:t>.</w:t>
            </w:r>
          </w:p>
          <w:p w:rsidR="00995A47" w:rsidRPr="00074598" w:rsidRDefault="00995A47" w:rsidP="00995A47">
            <w:pPr>
              <w:widowControl w:val="0"/>
              <w:spacing w:line="240" w:lineRule="auto"/>
              <w:ind w:left="0" w:right="0" w:firstLine="317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Низкий уровень исполнения отмечается по подпрограмме «Повышение эффективности использования и развитие ресурсного потенциала </w:t>
            </w:r>
            <w:proofErr w:type="spellStart"/>
            <w:r w:rsidRPr="00074598">
              <w:rPr>
                <w:sz w:val="20"/>
                <w:szCs w:val="24"/>
              </w:rPr>
              <w:t>рыбохозяйственного</w:t>
            </w:r>
            <w:proofErr w:type="spellEnd"/>
            <w:r w:rsidRPr="00074598">
              <w:rPr>
                <w:sz w:val="20"/>
                <w:szCs w:val="24"/>
              </w:rPr>
              <w:t xml:space="preserve"> комплекса» – 6,8 %, в рамках которой </w:t>
            </w:r>
            <w:proofErr w:type="gramStart"/>
            <w:r w:rsidRPr="00074598">
              <w:rPr>
                <w:sz w:val="20"/>
                <w:szCs w:val="24"/>
              </w:rPr>
              <w:t>осуществляется</w:t>
            </w:r>
            <w:proofErr w:type="gramEnd"/>
            <w:r w:rsidRPr="00074598">
              <w:rPr>
                <w:sz w:val="20"/>
                <w:szCs w:val="24"/>
              </w:rPr>
              <w:t xml:space="preserve"> в том числе строительство научно-исследовательских судов. </w:t>
            </w:r>
          </w:p>
          <w:p w:rsidR="00995A47" w:rsidRPr="00074598" w:rsidRDefault="00995A47" w:rsidP="00995A47">
            <w:pPr>
              <w:widowControl w:val="0"/>
              <w:spacing w:line="240" w:lineRule="auto"/>
              <w:ind w:left="0" w:right="0" w:firstLine="317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В связи с тем, что постановление Правительства Российской Федерации о предоставлении подведомственному </w:t>
            </w:r>
            <w:proofErr w:type="spellStart"/>
            <w:r w:rsidRPr="00074598">
              <w:rPr>
                <w:sz w:val="20"/>
                <w:szCs w:val="24"/>
              </w:rPr>
              <w:t>Росрыболовству</w:t>
            </w:r>
            <w:proofErr w:type="spellEnd"/>
            <w:r w:rsidRPr="00074598">
              <w:rPr>
                <w:sz w:val="20"/>
                <w:szCs w:val="24"/>
              </w:rPr>
              <w:t xml:space="preserve"> ФГБУ «Всероссийский научно-исследовательский институт рыбного хозяйства и океанографии» (ФГБУ «ВНИРО») субсидии на строительство НИС принят</w:t>
            </w:r>
            <w:r w:rsidR="00406A1C">
              <w:rPr>
                <w:sz w:val="20"/>
                <w:szCs w:val="24"/>
              </w:rPr>
              <w:t>о только 1 октября 2020 года (</w:t>
            </w:r>
            <w:r w:rsidRPr="00074598">
              <w:rPr>
                <w:sz w:val="20"/>
                <w:szCs w:val="24"/>
              </w:rPr>
              <w:t>№ 1581), исполнение по указанному виду расходов в отчетном периоде не осуществлялось.</w:t>
            </w:r>
          </w:p>
          <w:p w:rsidR="00995A47" w:rsidRPr="00074598" w:rsidRDefault="00995A47" w:rsidP="00995A47">
            <w:pPr>
              <w:widowControl w:val="0"/>
              <w:spacing w:line="240" w:lineRule="auto"/>
              <w:ind w:left="0" w:right="0" w:firstLine="317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На низком уровне исполнены расходы по подпрограмме «Модернизация и стимулирование» – 27,6 %, что обусловлено предоставлением субсидии на возмещение </w:t>
            </w:r>
            <w:r w:rsidRPr="00074598">
              <w:rPr>
                <w:sz w:val="20"/>
                <w:szCs w:val="24"/>
              </w:rPr>
              <w:lastRenderedPageBreak/>
              <w:t xml:space="preserve">части затрат на уплату процентов по кредитам на развитие </w:t>
            </w:r>
            <w:proofErr w:type="spellStart"/>
            <w:r w:rsidRPr="00074598">
              <w:rPr>
                <w:sz w:val="20"/>
                <w:szCs w:val="24"/>
              </w:rPr>
              <w:t>аквакультуры</w:t>
            </w:r>
            <w:proofErr w:type="spellEnd"/>
            <w:r w:rsidRPr="00074598">
              <w:rPr>
                <w:sz w:val="20"/>
                <w:szCs w:val="24"/>
              </w:rPr>
              <w:t xml:space="preserve"> (рыбоводство) и товарного </w:t>
            </w:r>
            <w:proofErr w:type="spellStart"/>
            <w:r w:rsidRPr="00074598">
              <w:rPr>
                <w:sz w:val="20"/>
                <w:szCs w:val="24"/>
              </w:rPr>
              <w:t>осетроводства</w:t>
            </w:r>
            <w:proofErr w:type="spellEnd"/>
            <w:r w:rsidRPr="00074598">
              <w:rPr>
                <w:sz w:val="20"/>
                <w:szCs w:val="24"/>
              </w:rPr>
              <w:t xml:space="preserve"> по факту представления заемщиками оформленных надлежащим образом документов (КБК 076 0405 26 5 04 55260 523). </w:t>
            </w:r>
          </w:p>
          <w:p w:rsidR="00995A47" w:rsidRPr="00074598" w:rsidRDefault="00995A47" w:rsidP="00995A47">
            <w:pPr>
              <w:widowControl w:val="0"/>
              <w:spacing w:line="240" w:lineRule="auto"/>
              <w:ind w:left="0" w:right="0" w:firstLine="317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На основании полученных от уполномоченных органов субъектов Российской Федерации заявок </w:t>
            </w:r>
            <w:proofErr w:type="spellStart"/>
            <w:r w:rsidRPr="00074598">
              <w:rPr>
                <w:sz w:val="20"/>
                <w:szCs w:val="24"/>
              </w:rPr>
              <w:t>Росрыболовством</w:t>
            </w:r>
            <w:proofErr w:type="spellEnd"/>
            <w:r w:rsidRPr="00074598">
              <w:rPr>
                <w:sz w:val="20"/>
                <w:szCs w:val="24"/>
              </w:rPr>
              <w:t xml:space="preserve"> в августе 2020 года заключены дополнительные соглашения с четырьмя из шести субъектов об уменьшении объема предоставляемого трансферта суммарно на 33,7 млн. рублей (15,9 % показателя сводной росписи с изменениями). Соответствующее предложение по перераспределению бюджетных ассигнований в резервный фонд Правительства Российской Федерации сформировано </w:t>
            </w:r>
            <w:proofErr w:type="spellStart"/>
            <w:r w:rsidRPr="00074598">
              <w:rPr>
                <w:sz w:val="20"/>
                <w:szCs w:val="24"/>
              </w:rPr>
              <w:t>Росрыболовством</w:t>
            </w:r>
            <w:proofErr w:type="spellEnd"/>
            <w:r w:rsidRPr="00074598">
              <w:rPr>
                <w:sz w:val="20"/>
                <w:szCs w:val="24"/>
              </w:rPr>
              <w:t xml:space="preserve"> в системе «Электронный бюджет» (от 1 октября 2020 г. № 1-11-076/0043).</w:t>
            </w:r>
          </w:p>
          <w:p w:rsidR="00995A47" w:rsidRPr="00074598" w:rsidRDefault="00995A47" w:rsidP="00995A47">
            <w:pPr>
              <w:widowControl w:val="0"/>
              <w:spacing w:line="240" w:lineRule="auto"/>
              <w:ind w:left="0" w:right="0" w:firstLine="317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>Уменьшение потребности в средствах субсидии обусловлено снижением ключевой ставки Центрального банка Российской Федерации (</w:t>
            </w:r>
            <w:proofErr w:type="gramStart"/>
            <w:r w:rsidRPr="00074598">
              <w:rPr>
                <w:sz w:val="20"/>
                <w:szCs w:val="24"/>
              </w:rPr>
              <w:t>исходя из которой определяется</w:t>
            </w:r>
            <w:proofErr w:type="gramEnd"/>
            <w:r w:rsidRPr="00074598">
              <w:rPr>
                <w:sz w:val="20"/>
                <w:szCs w:val="24"/>
              </w:rPr>
              <w:t xml:space="preserve"> размер субсидии), неполным подтверждением организациями целевого использования полученных заемных средств, досрочным погашением собственником предприятия кредитного договора, а также более низким объемом использования кредитных ресурсов, чем планировалось организацией.</w:t>
            </w:r>
          </w:p>
          <w:p w:rsidR="00995A47" w:rsidRPr="00074598" w:rsidRDefault="00DB0F4B" w:rsidP="00995A47">
            <w:pPr>
              <w:widowControl w:val="0"/>
              <w:spacing w:line="240" w:lineRule="auto"/>
              <w:ind w:left="0" w:right="0" w:firstLine="317"/>
              <w:rPr>
                <w:sz w:val="20"/>
                <w:szCs w:val="24"/>
              </w:rPr>
            </w:pPr>
            <w:proofErr w:type="gramStart"/>
            <w:r w:rsidRPr="00074598">
              <w:rPr>
                <w:sz w:val="20"/>
                <w:szCs w:val="24"/>
              </w:rPr>
              <w:t>В связи с</w:t>
            </w:r>
            <w:r w:rsidR="00995A47" w:rsidRPr="00074598">
              <w:rPr>
                <w:sz w:val="20"/>
                <w:szCs w:val="24"/>
              </w:rPr>
              <w:t xml:space="preserve"> ежегодны</w:t>
            </w:r>
            <w:r w:rsidRPr="00074598">
              <w:rPr>
                <w:sz w:val="20"/>
                <w:szCs w:val="24"/>
              </w:rPr>
              <w:t>м</w:t>
            </w:r>
            <w:r w:rsidR="00995A47" w:rsidRPr="00074598">
              <w:rPr>
                <w:sz w:val="20"/>
                <w:szCs w:val="24"/>
              </w:rPr>
              <w:t xml:space="preserve"> </w:t>
            </w:r>
            <w:r w:rsidRPr="00074598">
              <w:rPr>
                <w:sz w:val="20"/>
                <w:szCs w:val="24"/>
              </w:rPr>
              <w:t>низким</w:t>
            </w:r>
            <w:r w:rsidR="00995A47" w:rsidRPr="00074598">
              <w:rPr>
                <w:sz w:val="20"/>
                <w:szCs w:val="24"/>
              </w:rPr>
              <w:t xml:space="preserve"> </w:t>
            </w:r>
            <w:r w:rsidRPr="00074598">
              <w:rPr>
                <w:sz w:val="20"/>
                <w:szCs w:val="24"/>
              </w:rPr>
              <w:t>уровнем освоения средств субсидии</w:t>
            </w:r>
            <w:r w:rsidR="00995A47" w:rsidRPr="00074598">
              <w:rPr>
                <w:sz w:val="20"/>
                <w:szCs w:val="24"/>
              </w:rPr>
              <w:t xml:space="preserve">, проектом федерального </w:t>
            </w:r>
            <w:r w:rsidR="00D56281">
              <w:rPr>
                <w:sz w:val="20"/>
                <w:szCs w:val="24"/>
              </w:rPr>
              <w:t xml:space="preserve">закона о федеральном </w:t>
            </w:r>
            <w:r w:rsidR="00995A47" w:rsidRPr="00074598">
              <w:rPr>
                <w:sz w:val="20"/>
                <w:szCs w:val="24"/>
              </w:rPr>
              <w:t>бюджет</w:t>
            </w:r>
            <w:r w:rsidR="00D56281">
              <w:rPr>
                <w:sz w:val="20"/>
                <w:szCs w:val="24"/>
              </w:rPr>
              <w:t>е</w:t>
            </w:r>
            <w:r w:rsidR="00995A47" w:rsidRPr="00074598">
              <w:rPr>
                <w:sz w:val="20"/>
                <w:szCs w:val="24"/>
              </w:rPr>
              <w:t xml:space="preserve"> </w:t>
            </w:r>
            <w:r w:rsidRPr="00074598">
              <w:rPr>
                <w:sz w:val="20"/>
                <w:szCs w:val="24"/>
              </w:rPr>
              <w:t xml:space="preserve">на 2021 год и на плановый период 2022 и 2023 годов </w:t>
            </w:r>
            <w:r w:rsidR="00995A47" w:rsidRPr="00074598">
              <w:rPr>
                <w:sz w:val="20"/>
                <w:szCs w:val="24"/>
              </w:rPr>
              <w:t xml:space="preserve">предусмотрено сокращение объема </w:t>
            </w:r>
            <w:r w:rsidRPr="00074598">
              <w:rPr>
                <w:sz w:val="20"/>
                <w:szCs w:val="24"/>
              </w:rPr>
              <w:t xml:space="preserve">бюджетных </w:t>
            </w:r>
            <w:r w:rsidR="00995A47" w:rsidRPr="00074598">
              <w:rPr>
                <w:sz w:val="20"/>
                <w:szCs w:val="24"/>
              </w:rPr>
              <w:t xml:space="preserve">ассигнований на поддержку </w:t>
            </w:r>
            <w:proofErr w:type="spellStart"/>
            <w:r w:rsidR="00995A47" w:rsidRPr="00074598">
              <w:rPr>
                <w:sz w:val="20"/>
                <w:szCs w:val="24"/>
              </w:rPr>
              <w:t>аквакультуры</w:t>
            </w:r>
            <w:proofErr w:type="spellEnd"/>
            <w:r w:rsidR="00995A47" w:rsidRPr="00074598">
              <w:rPr>
                <w:sz w:val="20"/>
                <w:szCs w:val="24"/>
              </w:rPr>
              <w:t xml:space="preserve"> и товарного </w:t>
            </w:r>
            <w:proofErr w:type="spellStart"/>
            <w:r w:rsidR="00995A47" w:rsidRPr="00074598">
              <w:rPr>
                <w:sz w:val="20"/>
                <w:szCs w:val="24"/>
              </w:rPr>
              <w:t>осетроводства</w:t>
            </w:r>
            <w:proofErr w:type="spellEnd"/>
            <w:r w:rsidR="00995A47" w:rsidRPr="00074598">
              <w:rPr>
                <w:sz w:val="20"/>
                <w:szCs w:val="24"/>
              </w:rPr>
              <w:t xml:space="preserve"> в субъектах Российской Федерации, в том числе в 2021 году - на 80,9 % (171,6 млн. рублей) по сравнению</w:t>
            </w:r>
            <w:r w:rsidR="00406A1C">
              <w:rPr>
                <w:sz w:val="20"/>
                <w:szCs w:val="24"/>
              </w:rPr>
              <w:t xml:space="preserve"> с</w:t>
            </w:r>
            <w:r w:rsidR="00995A47" w:rsidRPr="00074598">
              <w:rPr>
                <w:sz w:val="20"/>
                <w:szCs w:val="24"/>
              </w:rPr>
              <w:t xml:space="preserve"> объемо</w:t>
            </w:r>
            <w:r w:rsidRPr="00074598">
              <w:rPr>
                <w:sz w:val="20"/>
                <w:szCs w:val="24"/>
              </w:rPr>
              <w:t xml:space="preserve">м </w:t>
            </w:r>
            <w:r w:rsidR="00D56281">
              <w:rPr>
                <w:sz w:val="20"/>
                <w:szCs w:val="24"/>
              </w:rPr>
              <w:t xml:space="preserve">на </w:t>
            </w:r>
            <w:r w:rsidRPr="00074598">
              <w:rPr>
                <w:sz w:val="20"/>
                <w:szCs w:val="24"/>
              </w:rPr>
              <w:t>2020 год (212,2</w:t>
            </w:r>
            <w:proofErr w:type="gramEnd"/>
            <w:r w:rsidRPr="00074598">
              <w:rPr>
                <w:sz w:val="20"/>
                <w:szCs w:val="24"/>
              </w:rPr>
              <w:t xml:space="preserve"> млн. рублей)</w:t>
            </w:r>
            <w:r w:rsidR="00995A47" w:rsidRPr="00074598">
              <w:rPr>
                <w:sz w:val="20"/>
                <w:szCs w:val="24"/>
              </w:rPr>
              <w:t>.</w:t>
            </w:r>
          </w:p>
          <w:p w:rsidR="00995A47" w:rsidRPr="00074598" w:rsidRDefault="00995A47" w:rsidP="00995A47">
            <w:pPr>
              <w:widowControl w:val="0"/>
              <w:spacing w:line="240" w:lineRule="auto"/>
              <w:ind w:left="0" w:right="0" w:firstLine="317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В этой связи проектом паспорта </w:t>
            </w:r>
            <w:r w:rsidR="00DB0F4B" w:rsidRPr="00074598">
              <w:rPr>
                <w:sz w:val="20"/>
                <w:szCs w:val="24"/>
              </w:rPr>
              <w:t>указанной госпрограммы</w:t>
            </w:r>
            <w:r w:rsidRPr="00074598">
              <w:rPr>
                <w:sz w:val="20"/>
                <w:szCs w:val="24"/>
              </w:rPr>
              <w:t xml:space="preserve"> скорректированы плановые значения п</w:t>
            </w:r>
            <w:r w:rsidR="00DB0F4B" w:rsidRPr="00074598">
              <w:rPr>
                <w:sz w:val="20"/>
                <w:szCs w:val="24"/>
              </w:rPr>
              <w:t>оказателя подпрограммы</w:t>
            </w:r>
            <w:r w:rsidRPr="00074598">
              <w:rPr>
                <w:sz w:val="20"/>
                <w:szCs w:val="24"/>
              </w:rPr>
              <w:t xml:space="preserve"> «Прирост объема производства продукции товарной </w:t>
            </w:r>
            <w:proofErr w:type="spellStart"/>
            <w:r w:rsidRPr="00074598">
              <w:rPr>
                <w:sz w:val="20"/>
                <w:szCs w:val="24"/>
              </w:rPr>
              <w:t>аквакультуры</w:t>
            </w:r>
            <w:proofErr w:type="spellEnd"/>
            <w:r w:rsidRPr="00074598">
              <w:rPr>
                <w:sz w:val="20"/>
                <w:szCs w:val="24"/>
              </w:rPr>
              <w:t xml:space="preserve">, включая </w:t>
            </w:r>
            <w:proofErr w:type="gramStart"/>
            <w:r w:rsidRPr="00074598">
              <w:rPr>
                <w:sz w:val="20"/>
                <w:szCs w:val="24"/>
              </w:rPr>
              <w:t>товарную</w:t>
            </w:r>
            <w:proofErr w:type="gramEnd"/>
            <w:r w:rsidRPr="00074598">
              <w:rPr>
                <w:sz w:val="20"/>
                <w:szCs w:val="24"/>
              </w:rPr>
              <w:t xml:space="preserve"> </w:t>
            </w:r>
            <w:proofErr w:type="spellStart"/>
            <w:r w:rsidRPr="00074598">
              <w:rPr>
                <w:sz w:val="20"/>
                <w:szCs w:val="24"/>
              </w:rPr>
              <w:t>аквакультуру</w:t>
            </w:r>
            <w:proofErr w:type="spellEnd"/>
            <w:r w:rsidRPr="00074598">
              <w:rPr>
                <w:sz w:val="20"/>
                <w:szCs w:val="24"/>
              </w:rPr>
              <w:t xml:space="preserve"> осетровых видов рыб в отчетном году по отношению к показателям предыдущего года в рамках инвестиционных проектов, реализуемых с государственной поддержкой». </w:t>
            </w:r>
          </w:p>
          <w:p w:rsidR="00614DEE" w:rsidRPr="00074598" w:rsidRDefault="00995A47" w:rsidP="00DB0F4B">
            <w:pPr>
              <w:widowControl w:val="0"/>
              <w:spacing w:line="240" w:lineRule="auto"/>
              <w:ind w:left="0" w:right="0" w:firstLine="317"/>
              <w:rPr>
                <w:rFonts w:eastAsia="Times New Roman"/>
                <w:sz w:val="20"/>
                <w:szCs w:val="20"/>
              </w:rPr>
            </w:pPr>
            <w:r w:rsidRPr="00074598">
              <w:rPr>
                <w:sz w:val="20"/>
                <w:szCs w:val="24"/>
              </w:rPr>
              <w:t xml:space="preserve">По сравнению с действующей редакцией </w:t>
            </w:r>
            <w:r w:rsidR="00DB0F4B" w:rsidRPr="00074598">
              <w:rPr>
                <w:sz w:val="20"/>
                <w:szCs w:val="24"/>
              </w:rPr>
              <w:t>гос</w:t>
            </w:r>
            <w:r w:rsidRPr="00074598">
              <w:rPr>
                <w:sz w:val="20"/>
                <w:szCs w:val="24"/>
              </w:rPr>
              <w:t xml:space="preserve">программы значения показателя на 2021 год уменьшены на 8,7 % (с 976,9 до 891,9 тонн), на 2022 год – 15,6 % (с 963,8 до 813,8 тонн), на 2023 год – </w:t>
            </w:r>
            <w:proofErr w:type="gramStart"/>
            <w:r w:rsidRPr="00074598">
              <w:rPr>
                <w:sz w:val="20"/>
                <w:szCs w:val="24"/>
              </w:rPr>
              <w:t>на</w:t>
            </w:r>
            <w:proofErr w:type="gramEnd"/>
            <w:r w:rsidRPr="00074598">
              <w:rPr>
                <w:sz w:val="20"/>
                <w:szCs w:val="24"/>
              </w:rPr>
              <w:t xml:space="preserve"> 94,5 % (с 4 075,4 до 222,4 тонн). </w:t>
            </w:r>
            <w:r w:rsidR="00DB0F4B" w:rsidRPr="00074598">
              <w:rPr>
                <w:sz w:val="20"/>
                <w:szCs w:val="24"/>
              </w:rPr>
              <w:t>Следует</w:t>
            </w:r>
            <w:r w:rsidRPr="00074598">
              <w:rPr>
                <w:sz w:val="20"/>
                <w:szCs w:val="24"/>
              </w:rPr>
              <w:t xml:space="preserve"> отметить, что плановые значения показателя значительно ниже фактического уровня его исполнения в 2019 году - 14 000,3 тонны (при</w:t>
            </w:r>
            <w:r w:rsidR="00DB0F4B" w:rsidRPr="00074598">
              <w:rPr>
                <w:sz w:val="20"/>
                <w:szCs w:val="24"/>
              </w:rPr>
              <w:t xml:space="preserve"> </w:t>
            </w:r>
            <w:proofErr w:type="gramStart"/>
            <w:r w:rsidR="00DB0F4B" w:rsidRPr="00074598">
              <w:rPr>
                <w:sz w:val="20"/>
                <w:szCs w:val="24"/>
              </w:rPr>
              <w:t>запланированных</w:t>
            </w:r>
            <w:proofErr w:type="gramEnd"/>
            <w:r w:rsidR="00DB0F4B" w:rsidRPr="00074598">
              <w:rPr>
                <w:sz w:val="20"/>
                <w:szCs w:val="24"/>
              </w:rPr>
              <w:t xml:space="preserve"> 1 313,1 тонны)</w:t>
            </w:r>
          </w:p>
        </w:tc>
      </w:tr>
      <w:tr w:rsidR="00EF39F8" w:rsidRPr="00F46B26" w:rsidTr="00307AC2">
        <w:tc>
          <w:tcPr>
            <w:tcW w:w="567" w:type="dxa"/>
          </w:tcPr>
          <w:p w:rsidR="00EF39F8" w:rsidRDefault="00EF39F8" w:rsidP="00257B43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2</w:t>
            </w:r>
            <w:r w:rsidR="00257B43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2269" w:type="dxa"/>
          </w:tcPr>
          <w:p w:rsidR="00EF39F8" w:rsidRPr="001E21C7" w:rsidRDefault="00EF39F8" w:rsidP="007410BF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4F48F2">
              <w:rPr>
                <w:bCs/>
                <w:sz w:val="20"/>
                <w:szCs w:val="20"/>
                <w:lang w:eastAsia="en-US"/>
              </w:rPr>
              <w:t>«Развитие внешнеэкономической деятельности»</w:t>
            </w:r>
          </w:p>
        </w:tc>
        <w:tc>
          <w:tcPr>
            <w:tcW w:w="8079" w:type="dxa"/>
          </w:tcPr>
          <w:p w:rsidR="00EF39F8" w:rsidRPr="00074598" w:rsidRDefault="00EF39F8" w:rsidP="007410BF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bCs/>
                <w:sz w:val="20"/>
                <w:szCs w:val="24"/>
              </w:rPr>
              <w:t xml:space="preserve"> </w:t>
            </w:r>
            <w:r w:rsidRPr="00074598">
              <w:rPr>
                <w:b/>
                <w:bCs/>
                <w:sz w:val="20"/>
                <w:szCs w:val="24"/>
              </w:rPr>
              <w:t xml:space="preserve">«Развитие внешнеэкономической деятельности» </w:t>
            </w:r>
            <w:r w:rsidRPr="00074598">
              <w:rPr>
                <w:sz w:val="20"/>
                <w:szCs w:val="24"/>
              </w:rPr>
              <w:t>исполнение расходов составило 59,9 % показателей сводной росписи с изменениями</w:t>
            </w:r>
            <w:r w:rsidRPr="00074598">
              <w:rPr>
                <w:bCs/>
                <w:sz w:val="20"/>
                <w:szCs w:val="24"/>
              </w:rPr>
              <w:t>, что выше уровня исполнения за соответствующий период 2019 года (</w:t>
            </w:r>
            <w:r>
              <w:rPr>
                <w:bCs/>
                <w:sz w:val="20"/>
                <w:szCs w:val="24"/>
              </w:rPr>
              <w:t>56</w:t>
            </w:r>
            <w:r w:rsidRPr="00074598">
              <w:rPr>
                <w:bCs/>
                <w:sz w:val="20"/>
                <w:szCs w:val="24"/>
              </w:rPr>
              <w:t xml:space="preserve">,6 %). </w:t>
            </w:r>
          </w:p>
          <w:p w:rsidR="00EF39F8" w:rsidRPr="00074598" w:rsidRDefault="00EF39F8" w:rsidP="007410BF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 xml:space="preserve">Низкий уровень исполнения расходов по подпрограмме «Создание национальной системы поддержки развития внешнеэкономической деятельности» (35,9 %) связан в основном с поздним принятием решения о выделении бюджетных ассигнований в сумме 5 092,2 млн. рублей (протокол совещания у Первого заместителя Председателя Правительства Российской Федерации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А.Р.Белоусова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от 14 июля 2020 г. № АБ-П13-117пр) и, как следствие, поздним принятием постановления Правительства Российской Федерации от 1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октября 2020 г. № 1575 «Об утверждении Правил предоставления субсидии в виде имущественного взноса Российской Федерации в государственную корпорацию развития «ВЭБ</w:t>
            </w: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.Р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>Ф» на цели осуществления вклада в имущество АО «Российский экспортный центр», не увеличивающего его уставный капитал, для осуществления затем вклада в имущество АО «Российское агентство по страхованию экспортных кредитов и инвестиций», не увеличивающего его уставный капитал, на страховые выплаты и формирование резервов (в том числе ранее сформированных) по ранее заключенным сделкам. Кассовое исполнение расходов, составляющих 34,3 % бюджетных ассигнований по подпрограмме, в отчетный период не осуществлялось.</w:t>
            </w:r>
          </w:p>
          <w:p w:rsidR="00EF39F8" w:rsidRPr="00074598" w:rsidRDefault="00EF39F8" w:rsidP="007410BF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Кроме того, в связи с распространением новой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инфекции Всемирная универсальная выставка ЭКСПО-2020, на проведение которой предусмотрено 900,0 млн. рублей, перенесена на 2021 год. По информации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Минпромторга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России, по состоянию на 13 октября 2020 года бюджетные ассигнования в размере 794,4 млн. рублей перераспределены на другие цели.</w:t>
            </w:r>
          </w:p>
          <w:p w:rsidR="00EF39F8" w:rsidRPr="00074598" w:rsidRDefault="00EF39F8" w:rsidP="007410BF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Росстандартом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не осуществлялись расходы в сумме 851,0 млн. рублей, </w:t>
            </w:r>
            <w:r w:rsidRPr="00074598">
              <w:rPr>
                <w:bCs/>
                <w:sz w:val="20"/>
                <w:szCs w:val="20"/>
                <w:lang w:eastAsia="en-US"/>
              </w:rPr>
              <w:lastRenderedPageBreak/>
              <w:t xml:space="preserve">предусмотренные на модернизацию опорных испытательных лабораторий. По информации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Росстандарта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, в связи с отсутствием корреляции между Планом модернизации и предусмотренными бюджетными ассигнованиями на проведение модернизации опорных лабораторий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Минпромторг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России подготовил </w:t>
            </w: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обновленный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Плана модернизации. По состоянию на 1 октября 2020 года, обновленный План модернизации не утвержден.</w:t>
            </w:r>
          </w:p>
          <w:p w:rsidR="00EF39F8" w:rsidRPr="00074598" w:rsidRDefault="00EF39F8" w:rsidP="007410BF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Низкий уровень исполнения расходов по подпрограмме « Формирование Евразийского экономического союза» (5,3 %) связан как с распространением новой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инфекции, так и с неблагоприятным изменением политической ситуации в Киргизской Республике, на проведение работ, поставку оборудования, оказание услуг и иных мероприятий на территории которой выделены средства. В связи с закрытием границ поставка оборудования в Киргизскую Республику, как и подписание актов сдачи-приемки по уже поставленному оборудованию, не представляется возможным. По информации ФТС России предусмотренные на реализацию указанной подпрограммы бюджетные ассигнования в сумме 268,9 млн. рублей не будут освоены в 2020 году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590D2F" w:rsidRDefault="006406AA" w:rsidP="00257B43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2</w:t>
            </w:r>
            <w:r w:rsidR="00257B4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</w:tcPr>
          <w:p w:rsidR="00614DEE" w:rsidRPr="00590D2F" w:rsidRDefault="00614DEE" w:rsidP="00794911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590D2F">
              <w:rPr>
                <w:bCs/>
                <w:sz w:val="20"/>
                <w:szCs w:val="24"/>
              </w:rPr>
              <w:t>«Воспроизводство и использование природных ресурсов»</w:t>
            </w:r>
          </w:p>
        </w:tc>
        <w:tc>
          <w:tcPr>
            <w:tcW w:w="8079" w:type="dxa"/>
          </w:tcPr>
          <w:p w:rsidR="0085665D" w:rsidRPr="00074598" w:rsidRDefault="00614DEE" w:rsidP="0085665D">
            <w:pPr>
              <w:spacing w:line="240" w:lineRule="auto"/>
              <w:ind w:left="0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sz w:val="20"/>
                <w:szCs w:val="24"/>
              </w:rPr>
              <w:t xml:space="preserve"> </w:t>
            </w:r>
            <w:r w:rsidRPr="00074598">
              <w:rPr>
                <w:b/>
                <w:bCs/>
                <w:sz w:val="20"/>
                <w:szCs w:val="24"/>
              </w:rPr>
              <w:t>«Воспроизводство и использование природных ресурсов»</w:t>
            </w:r>
            <w:r w:rsidRPr="00074598">
              <w:rPr>
                <w:sz w:val="20"/>
                <w:szCs w:val="24"/>
              </w:rPr>
              <w:t xml:space="preserve"> исполнение расходов составило </w:t>
            </w:r>
            <w:r w:rsidR="007955EF" w:rsidRPr="00074598">
              <w:rPr>
                <w:sz w:val="20"/>
                <w:szCs w:val="24"/>
              </w:rPr>
              <w:t>58,2</w:t>
            </w:r>
            <w:r w:rsidRPr="00074598">
              <w:rPr>
                <w:sz w:val="20"/>
                <w:szCs w:val="24"/>
              </w:rPr>
              <w:t> % показателя сво</w:t>
            </w:r>
            <w:r w:rsidR="00FC1AC7" w:rsidRPr="00074598">
              <w:rPr>
                <w:sz w:val="20"/>
                <w:szCs w:val="24"/>
              </w:rPr>
              <w:t xml:space="preserve">дной росписи с изменениями, </w:t>
            </w:r>
            <w:r w:rsidR="0085665D" w:rsidRPr="00074598">
              <w:rPr>
                <w:bCs/>
                <w:sz w:val="20"/>
                <w:szCs w:val="24"/>
              </w:rPr>
              <w:t>что выше уровня исполнения за соответствующий период 2019 года (</w:t>
            </w:r>
            <w:r w:rsidR="0085665D">
              <w:rPr>
                <w:bCs/>
                <w:sz w:val="20"/>
                <w:szCs w:val="24"/>
              </w:rPr>
              <w:t>56,5</w:t>
            </w:r>
            <w:r w:rsidR="0085665D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7955EF" w:rsidRPr="00074598" w:rsidRDefault="007955EF" w:rsidP="007955EF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074598">
              <w:rPr>
                <w:sz w:val="20"/>
                <w:szCs w:val="24"/>
              </w:rPr>
              <w:t xml:space="preserve">Уровень кассового исполнения по подпрограмме «Воспроизводство минерально-сырьевой базы, геологическое изучение недр» составил 61,3 %. </w:t>
            </w:r>
            <w:proofErr w:type="spellStart"/>
            <w:r w:rsidRPr="00074598">
              <w:rPr>
                <w:sz w:val="20"/>
                <w:szCs w:val="24"/>
              </w:rPr>
              <w:t>Роснедр</w:t>
            </w:r>
            <w:r w:rsidR="00164668" w:rsidRPr="00074598">
              <w:rPr>
                <w:sz w:val="20"/>
                <w:szCs w:val="24"/>
              </w:rPr>
              <w:t>ами</w:t>
            </w:r>
            <w:proofErr w:type="spellEnd"/>
            <w:r w:rsidR="00164668" w:rsidRPr="00074598">
              <w:rPr>
                <w:sz w:val="20"/>
                <w:szCs w:val="24"/>
              </w:rPr>
              <w:t xml:space="preserve"> расходы исполнены на 61,4 %. Исполнение расходов по</w:t>
            </w:r>
            <w:r w:rsidRPr="00074598">
              <w:rPr>
                <w:sz w:val="20"/>
                <w:szCs w:val="24"/>
              </w:rPr>
              <w:t xml:space="preserve"> Минприроды России </w:t>
            </w:r>
            <w:r w:rsidR="00164668" w:rsidRPr="00074598">
              <w:rPr>
                <w:sz w:val="20"/>
                <w:szCs w:val="24"/>
              </w:rPr>
              <w:t>составило</w:t>
            </w:r>
            <w:r w:rsidR="00D520E2" w:rsidRPr="00074598">
              <w:rPr>
                <w:sz w:val="20"/>
                <w:szCs w:val="24"/>
              </w:rPr>
              <w:t xml:space="preserve"> </w:t>
            </w:r>
            <w:r w:rsidRPr="00074598">
              <w:rPr>
                <w:sz w:val="20"/>
                <w:szCs w:val="24"/>
              </w:rPr>
              <w:t>27,2 %</w:t>
            </w:r>
            <w:r w:rsidR="00164668" w:rsidRPr="00074598">
              <w:rPr>
                <w:sz w:val="20"/>
                <w:szCs w:val="24"/>
              </w:rPr>
              <w:t>, что связано с низким уровнем</w:t>
            </w:r>
            <w:r w:rsidRPr="00074598">
              <w:rPr>
                <w:sz w:val="20"/>
                <w:szCs w:val="24"/>
              </w:rPr>
              <w:t xml:space="preserve"> исполнения расходов </w:t>
            </w:r>
            <w:r w:rsidR="00164668" w:rsidRPr="00074598">
              <w:rPr>
                <w:sz w:val="20"/>
                <w:szCs w:val="24"/>
              </w:rPr>
              <w:t>по</w:t>
            </w:r>
            <w:r w:rsidRPr="00074598">
              <w:rPr>
                <w:sz w:val="20"/>
                <w:szCs w:val="24"/>
              </w:rPr>
              <w:t xml:space="preserve"> основно</w:t>
            </w:r>
            <w:r w:rsidR="00164668" w:rsidRPr="00074598">
              <w:rPr>
                <w:sz w:val="20"/>
                <w:szCs w:val="24"/>
              </w:rPr>
              <w:t>му</w:t>
            </w:r>
            <w:r w:rsidRPr="00074598">
              <w:rPr>
                <w:sz w:val="20"/>
                <w:szCs w:val="24"/>
              </w:rPr>
              <w:t xml:space="preserve"> мероприяти</w:t>
            </w:r>
            <w:r w:rsidR="00164668" w:rsidRPr="00074598">
              <w:rPr>
                <w:sz w:val="20"/>
                <w:szCs w:val="24"/>
              </w:rPr>
              <w:t>ю</w:t>
            </w:r>
            <w:r w:rsidRPr="00074598">
              <w:rPr>
                <w:sz w:val="20"/>
                <w:szCs w:val="24"/>
              </w:rPr>
              <w:t xml:space="preserve"> «Научно-аналитическое и инновационное обеспечение государственной политики в сфере развития и использования минерально-сырьевой базы» </w:t>
            </w:r>
            <w:r w:rsidR="00164668" w:rsidRPr="00074598">
              <w:rPr>
                <w:sz w:val="20"/>
                <w:szCs w:val="24"/>
              </w:rPr>
              <w:t>(</w:t>
            </w:r>
            <w:r w:rsidRPr="00074598">
              <w:rPr>
                <w:sz w:val="20"/>
                <w:szCs w:val="24"/>
              </w:rPr>
              <w:t>12,3 %</w:t>
            </w:r>
            <w:r w:rsidR="00164668" w:rsidRPr="00074598">
              <w:rPr>
                <w:sz w:val="20"/>
                <w:szCs w:val="24"/>
              </w:rPr>
              <w:t>)</w:t>
            </w:r>
            <w:r w:rsidRPr="00074598">
              <w:rPr>
                <w:sz w:val="20"/>
                <w:szCs w:val="24"/>
              </w:rPr>
              <w:t xml:space="preserve"> на оплату договоров на выполнение научно-исследовательских, опытно-конструкторских и технологических работ</w:t>
            </w:r>
            <w:r w:rsidR="00164668" w:rsidRPr="00074598">
              <w:rPr>
                <w:sz w:val="20"/>
                <w:szCs w:val="24"/>
              </w:rPr>
              <w:t>, а</w:t>
            </w:r>
            <w:proofErr w:type="gramEnd"/>
            <w:r w:rsidR="00164668" w:rsidRPr="00074598">
              <w:rPr>
                <w:sz w:val="20"/>
                <w:szCs w:val="24"/>
              </w:rPr>
              <w:t xml:space="preserve"> также</w:t>
            </w:r>
            <w:r w:rsidRPr="00074598">
              <w:rPr>
                <w:sz w:val="20"/>
                <w:szCs w:val="24"/>
              </w:rPr>
              <w:t xml:space="preserve"> </w:t>
            </w:r>
            <w:r w:rsidR="00164668" w:rsidRPr="00074598">
              <w:rPr>
                <w:sz w:val="20"/>
                <w:szCs w:val="24"/>
              </w:rPr>
              <w:t>на прочую закупку товаров, работ и услуг для обеспечения государственных (муниципальных) нужд (6,2 %)</w:t>
            </w:r>
            <w:r w:rsidRPr="00074598">
              <w:rPr>
                <w:sz w:val="20"/>
                <w:szCs w:val="24"/>
              </w:rPr>
              <w:t>.</w:t>
            </w:r>
          </w:p>
          <w:p w:rsidR="007955EF" w:rsidRPr="00074598" w:rsidRDefault="007955EF" w:rsidP="007955EF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074598">
              <w:rPr>
                <w:sz w:val="20"/>
                <w:szCs w:val="24"/>
              </w:rPr>
              <w:t xml:space="preserve">Исполнение расходов по подпрограмме «Использование водных ресурсов» </w:t>
            </w:r>
            <w:r w:rsidR="00164668" w:rsidRPr="00074598">
              <w:rPr>
                <w:sz w:val="20"/>
                <w:szCs w:val="24"/>
              </w:rPr>
              <w:t>составило</w:t>
            </w:r>
            <w:r w:rsidRPr="00074598">
              <w:rPr>
                <w:sz w:val="20"/>
                <w:szCs w:val="24"/>
              </w:rPr>
              <w:t xml:space="preserve"> </w:t>
            </w:r>
            <w:r w:rsidR="00164668" w:rsidRPr="00074598">
              <w:rPr>
                <w:sz w:val="20"/>
                <w:szCs w:val="24"/>
              </w:rPr>
              <w:t>56,2 </w:t>
            </w:r>
            <w:r w:rsidRPr="00074598">
              <w:rPr>
                <w:sz w:val="20"/>
                <w:szCs w:val="24"/>
              </w:rPr>
              <w:t xml:space="preserve">%. В рамках основного мероприятия «Создание и эксплуатация защитных сооружений от наводнений» Минстроем России расходы на предоставление иного межбюджетного трансферта бюджету Иркутской области на </w:t>
            </w:r>
            <w:proofErr w:type="spellStart"/>
            <w:r w:rsidRPr="00074598">
              <w:rPr>
                <w:sz w:val="20"/>
                <w:szCs w:val="24"/>
              </w:rPr>
              <w:t>софинансирование</w:t>
            </w:r>
            <w:proofErr w:type="spellEnd"/>
            <w:r w:rsidRPr="00074598">
              <w:rPr>
                <w:sz w:val="20"/>
                <w:szCs w:val="24"/>
              </w:rPr>
              <w:t xml:space="preserve"> мероприятий Программы по восстановлению жилья, объектов связи, социальной, коммунальной, энергетической и транспортной инфраструктур, гидротехнических сооружений, административных зданий, поврежденных или утраченных в результате наводнения, за счет средств резервного</w:t>
            </w:r>
            <w:proofErr w:type="gramEnd"/>
            <w:r w:rsidRPr="00074598">
              <w:rPr>
                <w:sz w:val="20"/>
                <w:szCs w:val="24"/>
              </w:rPr>
              <w:t xml:space="preserve"> фонда Правительства Российской Федерации </w:t>
            </w:r>
            <w:r w:rsidR="00CA2934" w:rsidRPr="00074598">
              <w:rPr>
                <w:sz w:val="20"/>
                <w:szCs w:val="24"/>
              </w:rPr>
              <w:t>исполнены</w:t>
            </w:r>
            <w:r w:rsidRPr="00074598">
              <w:rPr>
                <w:sz w:val="20"/>
                <w:szCs w:val="24"/>
              </w:rPr>
              <w:t xml:space="preserve"> на уровне 12,7 % (в соответств</w:t>
            </w:r>
            <w:r w:rsidR="00164668" w:rsidRPr="00074598">
              <w:rPr>
                <w:sz w:val="20"/>
                <w:szCs w:val="24"/>
              </w:rPr>
              <w:t xml:space="preserve">ии с условиями соглашения от </w:t>
            </w:r>
            <w:r w:rsidRPr="00074598">
              <w:rPr>
                <w:sz w:val="20"/>
                <w:szCs w:val="24"/>
              </w:rPr>
              <w:t xml:space="preserve">29 июня 2020 г. № 069-17-2020-103). </w:t>
            </w:r>
          </w:p>
          <w:p w:rsidR="007955EF" w:rsidRPr="00074598" w:rsidRDefault="007955EF" w:rsidP="007955EF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spellStart"/>
            <w:r w:rsidRPr="00074598">
              <w:rPr>
                <w:sz w:val="20"/>
                <w:szCs w:val="24"/>
              </w:rPr>
              <w:t>Росводресурсами</w:t>
            </w:r>
            <w:proofErr w:type="spellEnd"/>
            <w:r w:rsidRPr="00074598">
              <w:rPr>
                <w:sz w:val="20"/>
                <w:szCs w:val="24"/>
              </w:rPr>
              <w:t xml:space="preserve"> по основному мероприятию «Обеспечение исполнения субъектами Российской Федерации переданных полномочий Российской Федерации в области водных отношений» расходы на предоставление субвенций исполнены на уровне 23,6 %. </w:t>
            </w:r>
          </w:p>
          <w:p w:rsidR="007955EF" w:rsidRPr="00074598" w:rsidRDefault="007955EF" w:rsidP="007955EF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074598">
              <w:rPr>
                <w:sz w:val="20"/>
                <w:szCs w:val="24"/>
              </w:rPr>
              <w:t xml:space="preserve">В рамках федерального проекта «Оздоровление Волги» уровень исполнения </w:t>
            </w:r>
            <w:proofErr w:type="spellStart"/>
            <w:r w:rsidRPr="00074598">
              <w:rPr>
                <w:sz w:val="20"/>
                <w:szCs w:val="24"/>
              </w:rPr>
              <w:t>Росводресурсами</w:t>
            </w:r>
            <w:proofErr w:type="spellEnd"/>
            <w:r w:rsidRPr="00074598">
              <w:rPr>
                <w:sz w:val="20"/>
                <w:szCs w:val="24"/>
              </w:rPr>
              <w:t xml:space="preserve"> расходов на обеспечение устойчивого функционирования водохозяйственного комплекса Нижней Волги составил: </w:t>
            </w:r>
            <w:r w:rsidR="00CA2934" w:rsidRPr="00074598">
              <w:rPr>
                <w:sz w:val="20"/>
                <w:szCs w:val="24"/>
              </w:rPr>
              <w:t xml:space="preserve">на </w:t>
            </w:r>
            <w:r w:rsidRPr="00074598">
              <w:rPr>
                <w:sz w:val="20"/>
                <w:szCs w:val="24"/>
              </w:rPr>
              <w:t>предоставление субсидий - 27,1</w:t>
            </w:r>
            <w:r w:rsidR="00CA2934" w:rsidRPr="00074598">
              <w:rPr>
                <w:sz w:val="20"/>
                <w:szCs w:val="24"/>
              </w:rPr>
              <w:t> </w:t>
            </w:r>
            <w:r w:rsidRPr="00074598">
              <w:rPr>
                <w:sz w:val="20"/>
                <w:szCs w:val="24"/>
              </w:rPr>
              <w:t xml:space="preserve">%, на предоставление иного межбюджетного трансферта – 21,9 %. По мероприятиям реконструкции гидротехнических сооружений государственной мелиоративной сети Минсельхозом России расходы исполнены на уровне 2,6 %, что </w:t>
            </w:r>
            <w:r w:rsidR="00CA2934" w:rsidRPr="00074598">
              <w:rPr>
                <w:sz w:val="20"/>
                <w:szCs w:val="24"/>
              </w:rPr>
              <w:t>связано с</w:t>
            </w:r>
            <w:r w:rsidRPr="00074598">
              <w:rPr>
                <w:sz w:val="20"/>
                <w:szCs w:val="24"/>
              </w:rPr>
              <w:t xml:space="preserve"> отсутствием положительных заключений </w:t>
            </w:r>
            <w:proofErr w:type="spellStart"/>
            <w:r w:rsidRPr="00074598">
              <w:rPr>
                <w:sz w:val="20"/>
                <w:szCs w:val="24"/>
              </w:rPr>
              <w:t>Главгосэкспертизы</w:t>
            </w:r>
            <w:proofErr w:type="spellEnd"/>
            <w:r w:rsidRPr="00074598">
              <w:rPr>
                <w:sz w:val="20"/>
                <w:szCs w:val="24"/>
              </w:rPr>
              <w:t xml:space="preserve"> на проектно-сметную документацию. </w:t>
            </w:r>
            <w:proofErr w:type="gramEnd"/>
          </w:p>
          <w:p w:rsidR="00614DEE" w:rsidRPr="00074598" w:rsidRDefault="00CA2934" w:rsidP="00341D22">
            <w:pPr>
              <w:spacing w:line="240" w:lineRule="auto"/>
              <w:ind w:left="0" w:right="-1" w:firstLine="318"/>
              <w:rPr>
                <w:strike/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>И</w:t>
            </w:r>
            <w:r w:rsidR="007955EF" w:rsidRPr="00074598">
              <w:rPr>
                <w:sz w:val="20"/>
                <w:szCs w:val="24"/>
              </w:rPr>
              <w:t>сполнен</w:t>
            </w:r>
            <w:r w:rsidRPr="00074598">
              <w:rPr>
                <w:sz w:val="20"/>
                <w:szCs w:val="24"/>
              </w:rPr>
              <w:t xml:space="preserve">ие расходов по </w:t>
            </w:r>
            <w:r w:rsidR="00341D22">
              <w:rPr>
                <w:sz w:val="20"/>
                <w:szCs w:val="24"/>
              </w:rPr>
              <w:t>ФЦП</w:t>
            </w:r>
            <w:r w:rsidRPr="00074598">
              <w:rPr>
                <w:sz w:val="20"/>
                <w:szCs w:val="24"/>
              </w:rPr>
              <w:t xml:space="preserve"> «Развитие водохозяйственного комплекса Российской Федерации в 2012 - 2020 годах»</w:t>
            </w:r>
            <w:r w:rsidR="007955EF" w:rsidRPr="00074598">
              <w:rPr>
                <w:sz w:val="20"/>
                <w:szCs w:val="24"/>
              </w:rPr>
              <w:t xml:space="preserve"> </w:t>
            </w:r>
            <w:r w:rsidR="00341D22">
              <w:rPr>
                <w:sz w:val="20"/>
                <w:szCs w:val="24"/>
              </w:rPr>
              <w:t>составило</w:t>
            </w:r>
            <w:r w:rsidR="007955EF" w:rsidRPr="00074598">
              <w:rPr>
                <w:sz w:val="20"/>
                <w:szCs w:val="24"/>
              </w:rPr>
              <w:t xml:space="preserve"> 50,9</w:t>
            </w:r>
            <w:r w:rsidR="00341D22">
              <w:rPr>
                <w:sz w:val="20"/>
                <w:szCs w:val="24"/>
              </w:rPr>
              <w:t> </w:t>
            </w:r>
            <w:r w:rsidR="007955EF" w:rsidRPr="00074598">
              <w:rPr>
                <w:sz w:val="20"/>
                <w:szCs w:val="24"/>
              </w:rPr>
              <w:t>%</w:t>
            </w:r>
            <w:r w:rsidRPr="00074598">
              <w:rPr>
                <w:sz w:val="20"/>
                <w:szCs w:val="24"/>
              </w:rPr>
              <w:t>.</w:t>
            </w:r>
            <w:r w:rsidR="007955EF" w:rsidRPr="00074598">
              <w:rPr>
                <w:sz w:val="20"/>
                <w:szCs w:val="24"/>
              </w:rPr>
              <w:t xml:space="preserve"> </w:t>
            </w:r>
            <w:r w:rsidRPr="00074598">
              <w:rPr>
                <w:sz w:val="20"/>
                <w:szCs w:val="24"/>
              </w:rPr>
              <w:t xml:space="preserve">В рамках указанной ФЦП </w:t>
            </w:r>
            <w:r w:rsidR="007955EF" w:rsidRPr="00074598">
              <w:rPr>
                <w:sz w:val="20"/>
                <w:szCs w:val="24"/>
              </w:rPr>
              <w:t>исполнени</w:t>
            </w:r>
            <w:r w:rsidRPr="00074598">
              <w:rPr>
                <w:sz w:val="20"/>
                <w:szCs w:val="24"/>
              </w:rPr>
              <w:t>е</w:t>
            </w:r>
            <w:r w:rsidR="007955EF" w:rsidRPr="00074598">
              <w:rPr>
                <w:sz w:val="20"/>
                <w:szCs w:val="24"/>
              </w:rPr>
              <w:t xml:space="preserve"> расходов на предоставление субсидий бюджетам субъектов Р</w:t>
            </w:r>
            <w:r w:rsidRPr="00074598">
              <w:rPr>
                <w:sz w:val="20"/>
                <w:szCs w:val="24"/>
              </w:rPr>
              <w:t xml:space="preserve">оссийской </w:t>
            </w:r>
            <w:r w:rsidR="007955EF" w:rsidRPr="00074598">
              <w:rPr>
                <w:sz w:val="20"/>
                <w:szCs w:val="24"/>
              </w:rPr>
              <w:t>Ф</w:t>
            </w:r>
            <w:r w:rsidRPr="00074598">
              <w:rPr>
                <w:sz w:val="20"/>
                <w:szCs w:val="24"/>
              </w:rPr>
              <w:t>едерации</w:t>
            </w:r>
            <w:r w:rsidR="007955EF" w:rsidRPr="00074598">
              <w:rPr>
                <w:sz w:val="20"/>
                <w:szCs w:val="24"/>
              </w:rPr>
              <w:t xml:space="preserve"> </w:t>
            </w:r>
            <w:proofErr w:type="spellStart"/>
            <w:r w:rsidR="007955EF" w:rsidRPr="00074598">
              <w:rPr>
                <w:sz w:val="20"/>
                <w:szCs w:val="24"/>
              </w:rPr>
              <w:t>Росрыболовством</w:t>
            </w:r>
            <w:proofErr w:type="spellEnd"/>
            <w:r w:rsidR="007955EF" w:rsidRPr="00074598">
              <w:rPr>
                <w:sz w:val="20"/>
                <w:szCs w:val="24"/>
              </w:rPr>
              <w:t xml:space="preserve"> (доля которого в расходах на ФЦП составила 74 %) </w:t>
            </w:r>
            <w:r w:rsidRPr="00074598">
              <w:rPr>
                <w:sz w:val="20"/>
                <w:szCs w:val="24"/>
              </w:rPr>
              <w:t>составило 42,7 %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F46B26" w:rsidRDefault="006406AA" w:rsidP="00257B43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  <w:r w:rsidR="00257B4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</w:tcPr>
          <w:p w:rsidR="00614DEE" w:rsidRPr="00110E1E" w:rsidRDefault="00614DEE" w:rsidP="00794911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110E1E">
              <w:rPr>
                <w:bCs/>
                <w:sz w:val="20"/>
                <w:szCs w:val="24"/>
              </w:rPr>
              <w:t>«Развитие лесного хозяйства»</w:t>
            </w:r>
          </w:p>
        </w:tc>
        <w:tc>
          <w:tcPr>
            <w:tcW w:w="8079" w:type="dxa"/>
          </w:tcPr>
          <w:p w:rsidR="0085665D" w:rsidRPr="00074598" w:rsidRDefault="00614DEE" w:rsidP="0085665D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sz w:val="20"/>
                <w:szCs w:val="24"/>
              </w:rPr>
              <w:t xml:space="preserve"> </w:t>
            </w:r>
            <w:r w:rsidRPr="00074598">
              <w:rPr>
                <w:b/>
                <w:bCs/>
                <w:sz w:val="20"/>
                <w:szCs w:val="24"/>
              </w:rPr>
              <w:t>«Развитие лесного хозяйства»</w:t>
            </w:r>
            <w:r w:rsidRPr="00074598">
              <w:rPr>
                <w:bCs/>
                <w:sz w:val="20"/>
                <w:szCs w:val="24"/>
              </w:rPr>
              <w:t xml:space="preserve"> </w:t>
            </w:r>
            <w:r w:rsidRPr="00074598">
              <w:rPr>
                <w:sz w:val="20"/>
                <w:szCs w:val="24"/>
              </w:rPr>
              <w:t xml:space="preserve">исполнение расходов составило </w:t>
            </w:r>
            <w:r w:rsidR="00677CE7" w:rsidRPr="00074598">
              <w:rPr>
                <w:sz w:val="20"/>
                <w:szCs w:val="24"/>
              </w:rPr>
              <w:t>72,8</w:t>
            </w:r>
            <w:r w:rsidRPr="00074598">
              <w:rPr>
                <w:sz w:val="20"/>
                <w:szCs w:val="24"/>
              </w:rPr>
              <w:t xml:space="preserve"> % показателя сводной росписи </w:t>
            </w:r>
            <w:r w:rsidR="00110E1E" w:rsidRPr="00074598">
              <w:rPr>
                <w:sz w:val="20"/>
                <w:szCs w:val="24"/>
              </w:rPr>
              <w:t xml:space="preserve">с изменениями, </w:t>
            </w:r>
            <w:r w:rsidR="0085665D" w:rsidRPr="00074598">
              <w:rPr>
                <w:bCs/>
                <w:sz w:val="20"/>
                <w:szCs w:val="24"/>
              </w:rPr>
              <w:t>что выше уровня исполнения за соответствующий период 2019 года (65,</w:t>
            </w:r>
            <w:r w:rsidR="0085665D">
              <w:rPr>
                <w:bCs/>
                <w:sz w:val="20"/>
                <w:szCs w:val="24"/>
              </w:rPr>
              <w:t>2</w:t>
            </w:r>
            <w:r w:rsidR="0085665D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D00CA1" w:rsidRPr="00074598" w:rsidRDefault="00D00CA1" w:rsidP="00D00CA1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Реализация </w:t>
            </w:r>
            <w:r w:rsidR="00110E1E" w:rsidRPr="00074598">
              <w:rPr>
                <w:sz w:val="20"/>
                <w:szCs w:val="24"/>
              </w:rPr>
              <w:t>госпрограммы</w:t>
            </w:r>
            <w:r w:rsidRPr="00074598">
              <w:rPr>
                <w:sz w:val="20"/>
                <w:szCs w:val="24"/>
              </w:rPr>
              <w:t xml:space="preserve"> осуществлялась в рамках 8 основных мероприятий и федерального проекта «Сохранение лесов</w:t>
            </w:r>
            <w:r w:rsidR="00A10233" w:rsidRPr="00074598">
              <w:rPr>
                <w:sz w:val="20"/>
                <w:szCs w:val="24"/>
              </w:rPr>
              <w:t>»</w:t>
            </w:r>
            <w:r w:rsidRPr="00074598">
              <w:rPr>
                <w:sz w:val="20"/>
                <w:szCs w:val="24"/>
              </w:rPr>
              <w:t xml:space="preserve">. </w:t>
            </w:r>
          </w:p>
          <w:p w:rsidR="00677CE7" w:rsidRPr="00074598" w:rsidRDefault="00677CE7" w:rsidP="00677CE7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В рамках трех основных мероприятий госпрограммы отмечается низкий уровень исполнения расходов на закупку товаров, работ и услуг для обеспечения государственных (муниципальных) нужд (22,5 % утвержденных бюджетных ассигнований). </w:t>
            </w:r>
          </w:p>
          <w:p w:rsidR="00677CE7" w:rsidRPr="00074598" w:rsidRDefault="00677CE7" w:rsidP="00677CE7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proofErr w:type="gramStart"/>
            <w:r w:rsidRPr="00074598">
              <w:rPr>
                <w:sz w:val="20"/>
                <w:szCs w:val="24"/>
              </w:rPr>
              <w:lastRenderedPageBreak/>
              <w:t xml:space="preserve"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по основному мероприятию «Обеспечение исполнения переданных субъектам Российской Федерации полномочий Российской Федерации в области лесных отношений» исполнены на уровне 12,2 %. По данным Рослесхоза, перечисление межбюджетных трансфертов осуществляется в пределах сумм, необходимых для оплаты денежных обязательств субъекта Российской Федерации. </w:t>
            </w:r>
            <w:proofErr w:type="gramEnd"/>
          </w:p>
          <w:p w:rsidR="00677CE7" w:rsidRPr="00074598" w:rsidRDefault="00677CE7" w:rsidP="00677CE7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>По федеральному проекту «Сохранение л</w:t>
            </w:r>
            <w:r w:rsidR="00204C2E" w:rsidRPr="00074598">
              <w:rPr>
                <w:sz w:val="20"/>
                <w:szCs w:val="24"/>
              </w:rPr>
              <w:t>есов» исполнение составило 89 </w:t>
            </w:r>
            <w:r w:rsidRPr="00074598">
              <w:rPr>
                <w:sz w:val="20"/>
                <w:szCs w:val="24"/>
              </w:rPr>
              <w:t xml:space="preserve">%. Наибольшая доля расходов федерального проекта (51,1 %) </w:t>
            </w:r>
            <w:r w:rsidR="00204C2E" w:rsidRPr="00074598">
              <w:rPr>
                <w:sz w:val="20"/>
                <w:szCs w:val="24"/>
              </w:rPr>
              <w:t>предусматривается</w:t>
            </w:r>
            <w:r w:rsidRPr="00074598">
              <w:rPr>
                <w:sz w:val="20"/>
                <w:szCs w:val="24"/>
              </w:rPr>
              <w:t xml:space="preserve"> на оснащение специализированных </w:t>
            </w:r>
            <w:proofErr w:type="gramStart"/>
            <w:r w:rsidRPr="00074598">
              <w:rPr>
                <w:sz w:val="20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074598">
              <w:rPr>
                <w:sz w:val="20"/>
                <w:szCs w:val="24"/>
              </w:rPr>
              <w:t xml:space="preserve"> </w:t>
            </w:r>
            <w:proofErr w:type="spellStart"/>
            <w:r w:rsidRPr="00074598">
              <w:rPr>
                <w:sz w:val="20"/>
                <w:szCs w:val="24"/>
              </w:rPr>
              <w:t>лесопожарной</w:t>
            </w:r>
            <w:proofErr w:type="spellEnd"/>
            <w:r w:rsidRPr="00074598">
              <w:rPr>
                <w:sz w:val="20"/>
                <w:szCs w:val="24"/>
              </w:rPr>
              <w:t xml:space="preserve"> техникой и оборудованием для проведения комплекса мероприятий по охране лесов от пожаров. Всего 79 субъектам </w:t>
            </w:r>
            <w:r w:rsidR="00204C2E" w:rsidRPr="00074598">
              <w:rPr>
                <w:sz w:val="20"/>
                <w:szCs w:val="24"/>
              </w:rPr>
              <w:t>Российской Федерации доведено 3 </w:t>
            </w:r>
            <w:r w:rsidRPr="00074598">
              <w:rPr>
                <w:sz w:val="20"/>
                <w:szCs w:val="24"/>
              </w:rPr>
              <w:t>361,2 млн. рублей, или 49,7</w:t>
            </w:r>
            <w:r w:rsidR="00204C2E" w:rsidRPr="00074598">
              <w:rPr>
                <w:sz w:val="20"/>
                <w:szCs w:val="24"/>
              </w:rPr>
              <w:t> </w:t>
            </w:r>
            <w:r w:rsidRPr="00074598">
              <w:rPr>
                <w:sz w:val="20"/>
                <w:szCs w:val="24"/>
              </w:rPr>
              <w:t xml:space="preserve">% бюджетных ассигнований, предусмотренных на реализацию федерального проекта. Сумма кассовых расходов составила 3 077,3 млн. рублей, или 91,5 % утвержденных бюджетных назначений по указанному направлению расходов. При этом двумя субъектами Российской Федерации (Республика Ингушетия, Ямало-Ненецкий автономный округ) не использованы средства в сумме 15,2 млн. рублей. </w:t>
            </w:r>
          </w:p>
          <w:p w:rsidR="00677CE7" w:rsidRPr="00074598" w:rsidRDefault="00677CE7" w:rsidP="00677CE7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Также </w:t>
            </w:r>
            <w:r w:rsidR="00204C2E" w:rsidRPr="00074598">
              <w:rPr>
                <w:sz w:val="20"/>
                <w:szCs w:val="24"/>
              </w:rPr>
              <w:t>значительная</w:t>
            </w:r>
            <w:r w:rsidRPr="00074598">
              <w:rPr>
                <w:sz w:val="20"/>
                <w:szCs w:val="24"/>
              </w:rPr>
              <w:t xml:space="preserve"> доля расх</w:t>
            </w:r>
            <w:r w:rsidR="00204C2E" w:rsidRPr="00074598">
              <w:rPr>
                <w:sz w:val="20"/>
                <w:szCs w:val="24"/>
              </w:rPr>
              <w:t>одов федерального проекта (34,5 </w:t>
            </w:r>
            <w:r w:rsidRPr="00074598">
              <w:rPr>
                <w:sz w:val="20"/>
                <w:szCs w:val="24"/>
              </w:rPr>
              <w:t xml:space="preserve">%) </w:t>
            </w:r>
            <w:r w:rsidR="00204C2E" w:rsidRPr="00074598">
              <w:rPr>
                <w:sz w:val="20"/>
                <w:szCs w:val="24"/>
              </w:rPr>
              <w:t>предусматривается</w:t>
            </w:r>
            <w:r w:rsidRPr="00074598">
              <w:rPr>
                <w:sz w:val="20"/>
                <w:szCs w:val="24"/>
              </w:rPr>
              <w:t xml:space="preserve"> на предоставление </w:t>
            </w:r>
            <w:proofErr w:type="gramStart"/>
            <w:r w:rsidRPr="00074598">
              <w:rPr>
                <w:sz w:val="20"/>
                <w:szCs w:val="24"/>
              </w:rPr>
              <w:t>субвенций</w:t>
            </w:r>
            <w:proofErr w:type="gramEnd"/>
            <w:r w:rsidRPr="00074598">
              <w:rPr>
                <w:sz w:val="20"/>
                <w:szCs w:val="24"/>
              </w:rPr>
              <w:t xml:space="preserve"> на увеличение площади </w:t>
            </w:r>
            <w:proofErr w:type="spellStart"/>
            <w:r w:rsidRPr="00074598">
              <w:rPr>
                <w:sz w:val="20"/>
                <w:szCs w:val="24"/>
              </w:rPr>
              <w:t>лесовосстановления</w:t>
            </w:r>
            <w:proofErr w:type="spellEnd"/>
            <w:r w:rsidRPr="00074598">
              <w:rPr>
                <w:sz w:val="20"/>
                <w:szCs w:val="24"/>
              </w:rPr>
              <w:t xml:space="preserve">. 76 субъектам </w:t>
            </w:r>
            <w:r w:rsidR="00204C2E" w:rsidRPr="00074598">
              <w:rPr>
                <w:sz w:val="20"/>
                <w:szCs w:val="24"/>
              </w:rPr>
              <w:t>Российской Федерации доведено 2 </w:t>
            </w:r>
            <w:r w:rsidRPr="00074598">
              <w:rPr>
                <w:sz w:val="20"/>
                <w:szCs w:val="24"/>
              </w:rPr>
              <w:t xml:space="preserve">396,3 млн. рублей, или 35,4 % бюджетных ассигнований, предусмотренных на реализацию федерального проекта. </w:t>
            </w:r>
            <w:r w:rsidR="00204C2E" w:rsidRPr="00074598">
              <w:rPr>
                <w:sz w:val="20"/>
                <w:szCs w:val="24"/>
              </w:rPr>
              <w:t>К</w:t>
            </w:r>
            <w:r w:rsidRPr="00074598">
              <w:rPr>
                <w:sz w:val="20"/>
                <w:szCs w:val="24"/>
              </w:rPr>
              <w:t>ассов</w:t>
            </w:r>
            <w:r w:rsidR="00204C2E" w:rsidRPr="00074598">
              <w:rPr>
                <w:sz w:val="20"/>
                <w:szCs w:val="24"/>
              </w:rPr>
              <w:t xml:space="preserve">ое исполнение </w:t>
            </w:r>
            <w:r w:rsidRPr="00074598">
              <w:rPr>
                <w:sz w:val="20"/>
                <w:szCs w:val="24"/>
              </w:rPr>
              <w:t>расходов составил</w:t>
            </w:r>
            <w:r w:rsidR="00204C2E" w:rsidRPr="00074598">
              <w:rPr>
                <w:sz w:val="20"/>
                <w:szCs w:val="24"/>
              </w:rPr>
              <w:t>о</w:t>
            </w:r>
            <w:r w:rsidRPr="00074598">
              <w:rPr>
                <w:sz w:val="20"/>
                <w:szCs w:val="24"/>
              </w:rPr>
              <w:t xml:space="preserve"> 2 079,0 млн. рублей</w:t>
            </w:r>
            <w:r w:rsidR="00204C2E" w:rsidRPr="00074598">
              <w:rPr>
                <w:sz w:val="20"/>
                <w:szCs w:val="24"/>
              </w:rPr>
              <w:t>, или 86,8 %</w:t>
            </w:r>
            <w:r w:rsidRPr="00074598">
              <w:rPr>
                <w:sz w:val="20"/>
                <w:szCs w:val="24"/>
              </w:rPr>
              <w:t xml:space="preserve"> утвержденных бюджетных ассигнований по указанному направлению расходов. При этом двумя субъектами Российской Федерации (Магаданская область, Республика Ингушетия) не использованы средства в сумме 2,1 млн. рублей. </w:t>
            </w:r>
          </w:p>
          <w:p w:rsidR="00614DEE" w:rsidRPr="00074598" w:rsidRDefault="00204C2E" w:rsidP="008B61C0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>Незначительная</w:t>
            </w:r>
            <w:r w:rsidR="00677CE7" w:rsidRPr="00074598">
              <w:rPr>
                <w:sz w:val="20"/>
                <w:szCs w:val="24"/>
              </w:rPr>
              <w:t xml:space="preserve"> доля расходов федерального проекта (0,4 %) </w:t>
            </w:r>
            <w:r w:rsidRPr="00074598">
              <w:rPr>
                <w:sz w:val="20"/>
                <w:szCs w:val="24"/>
              </w:rPr>
              <w:t>предусматривается</w:t>
            </w:r>
            <w:r w:rsidR="00677CE7" w:rsidRPr="00074598">
              <w:rPr>
                <w:sz w:val="20"/>
                <w:szCs w:val="24"/>
              </w:rPr>
              <w:t xml:space="preserve"> на формирование запаса лесных семян для </w:t>
            </w:r>
            <w:proofErr w:type="spellStart"/>
            <w:r w:rsidR="00677CE7" w:rsidRPr="00074598">
              <w:rPr>
                <w:sz w:val="20"/>
                <w:szCs w:val="24"/>
              </w:rPr>
              <w:t>лесовосстановления</w:t>
            </w:r>
            <w:proofErr w:type="spellEnd"/>
            <w:r w:rsidR="00677CE7" w:rsidRPr="00074598">
              <w:rPr>
                <w:sz w:val="20"/>
                <w:szCs w:val="24"/>
              </w:rPr>
              <w:t xml:space="preserve">. Всего 27 субъектам Российской Федерации доведено 41,0 млн. рублей, или 0,6 % бюджетных ассигнований, предусмотренных на реализацию федерального проекта. </w:t>
            </w:r>
            <w:r w:rsidRPr="00074598">
              <w:rPr>
                <w:sz w:val="20"/>
                <w:szCs w:val="24"/>
              </w:rPr>
              <w:t xml:space="preserve">Кассовое исполнение расходов составило </w:t>
            </w:r>
            <w:r w:rsidR="00677CE7" w:rsidRPr="00074598">
              <w:rPr>
                <w:sz w:val="20"/>
                <w:szCs w:val="24"/>
              </w:rPr>
              <w:t>26,4 млн. рублей</w:t>
            </w:r>
            <w:r w:rsidRPr="00074598">
              <w:rPr>
                <w:sz w:val="20"/>
                <w:szCs w:val="24"/>
              </w:rPr>
              <w:t>, или 64,4 %</w:t>
            </w:r>
            <w:r w:rsidR="00677CE7" w:rsidRPr="00074598">
              <w:rPr>
                <w:sz w:val="20"/>
                <w:szCs w:val="24"/>
              </w:rPr>
              <w:t xml:space="preserve"> утвержденных бюджетных назначений по указанному направлению расходов. При этом шестью субъектами Российской Федерации (Карачаево-Черкесская Республика, Республика Северная Осетия – Алания, Тыва, Приморский край, Пензенская и Еврейская автономная область) не использованы средства в сумме 8,9 млн. рублей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1E21C7" w:rsidRDefault="00734A8C" w:rsidP="00257B43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2</w:t>
            </w:r>
            <w:r w:rsidR="00257B43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</w:tcPr>
          <w:p w:rsidR="00614DEE" w:rsidRPr="001E21C7" w:rsidRDefault="00614DEE" w:rsidP="00794911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1E21C7">
              <w:rPr>
                <w:bCs/>
                <w:sz w:val="20"/>
                <w:szCs w:val="24"/>
              </w:rPr>
              <w:t>«Социально-экономическое развитие Дальнего Востока и Байкальского региона»</w:t>
            </w:r>
          </w:p>
        </w:tc>
        <w:tc>
          <w:tcPr>
            <w:tcW w:w="8079" w:type="dxa"/>
          </w:tcPr>
          <w:p w:rsidR="00307AC2" w:rsidRPr="00074598" w:rsidRDefault="00614DEE" w:rsidP="00307AC2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sz w:val="20"/>
                <w:szCs w:val="24"/>
              </w:rPr>
              <w:t xml:space="preserve"> </w:t>
            </w:r>
            <w:r w:rsidRPr="00074598">
              <w:rPr>
                <w:b/>
                <w:bCs/>
                <w:sz w:val="20"/>
                <w:szCs w:val="24"/>
              </w:rPr>
              <w:t>«Социально-экономическое развитие Дальнего Востока и Байкальского региона»</w:t>
            </w:r>
            <w:r w:rsidRPr="00074598">
              <w:rPr>
                <w:bCs/>
                <w:sz w:val="20"/>
                <w:szCs w:val="24"/>
              </w:rPr>
              <w:t xml:space="preserve"> </w:t>
            </w:r>
            <w:r w:rsidRPr="00074598">
              <w:rPr>
                <w:sz w:val="20"/>
                <w:szCs w:val="24"/>
              </w:rPr>
              <w:t xml:space="preserve">исполнение расходов составило </w:t>
            </w:r>
            <w:r w:rsidR="00B80775" w:rsidRPr="00074598">
              <w:rPr>
                <w:sz w:val="20"/>
                <w:szCs w:val="24"/>
              </w:rPr>
              <w:t>67,4</w:t>
            </w:r>
            <w:r w:rsidRPr="00074598">
              <w:rPr>
                <w:sz w:val="20"/>
                <w:szCs w:val="24"/>
              </w:rPr>
              <w:t> %</w:t>
            </w:r>
            <w:r w:rsidRPr="00074598">
              <w:rPr>
                <w:b/>
                <w:sz w:val="20"/>
                <w:szCs w:val="24"/>
              </w:rPr>
              <w:t xml:space="preserve"> </w:t>
            </w:r>
            <w:r w:rsidRPr="00074598">
              <w:rPr>
                <w:sz w:val="20"/>
                <w:szCs w:val="24"/>
              </w:rPr>
              <w:t>показателя сводной росписи с изменениями</w:t>
            </w:r>
            <w:r w:rsidR="00307AC2" w:rsidRPr="00074598">
              <w:rPr>
                <w:sz w:val="20"/>
                <w:szCs w:val="24"/>
              </w:rPr>
              <w:t xml:space="preserve">, </w:t>
            </w:r>
            <w:r w:rsidR="00307AC2" w:rsidRPr="00074598">
              <w:rPr>
                <w:bCs/>
                <w:sz w:val="20"/>
                <w:szCs w:val="24"/>
              </w:rPr>
              <w:t>что выше уровня исполнения за соответствующий период 2019 года (</w:t>
            </w:r>
            <w:r w:rsidR="00307AC2">
              <w:rPr>
                <w:bCs/>
                <w:sz w:val="20"/>
                <w:szCs w:val="24"/>
              </w:rPr>
              <w:t>46,7</w:t>
            </w:r>
            <w:r w:rsidR="00307AC2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B80775" w:rsidRPr="00074598" w:rsidRDefault="00B80775" w:rsidP="00B80775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Наибольшую долю в объеме расходов по госпрограмме составляют межбюджетные трансферты бюджетам субъектов Российской Федерации (29 771,0 млн. рублей, или 51,3 % расходов по госпрограмме), а также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(6 171,8 млн. рублей, или 10,6 %). </w:t>
            </w:r>
          </w:p>
          <w:p w:rsidR="00B80775" w:rsidRPr="00074598" w:rsidRDefault="00B80775" w:rsidP="00B80775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Наибольший объем средств по данной госпрограмме предусмотрен </w:t>
            </w:r>
            <w:proofErr w:type="gramStart"/>
            <w:r w:rsidRPr="00074598">
              <w:rPr>
                <w:sz w:val="20"/>
                <w:szCs w:val="24"/>
              </w:rPr>
              <w:t>на</w:t>
            </w:r>
            <w:proofErr w:type="gramEnd"/>
            <w:r w:rsidRPr="00074598">
              <w:rPr>
                <w:sz w:val="20"/>
                <w:szCs w:val="24"/>
              </w:rPr>
              <w:t>:</w:t>
            </w:r>
          </w:p>
          <w:p w:rsidR="00B80775" w:rsidRPr="00074598" w:rsidRDefault="00B80775" w:rsidP="00B80775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иные межбюджетные трансферты на реализацию </w:t>
            </w:r>
            <w:proofErr w:type="gramStart"/>
            <w:r w:rsidRPr="00074598">
              <w:rPr>
                <w:sz w:val="20"/>
                <w:szCs w:val="24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074598">
              <w:rPr>
                <w:sz w:val="20"/>
                <w:szCs w:val="24"/>
              </w:rPr>
              <w:t xml:space="preserve"> Федерации, входящих в состав Дальневосточного федерального округа – 29 511,0 млн. рублей, кассовое исполнение составило 13 396,8 млн. рублей, или 45,4 %;</w:t>
            </w:r>
          </w:p>
          <w:p w:rsidR="00B80775" w:rsidRPr="00074598" w:rsidRDefault="00B80775" w:rsidP="00B80775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>имущественный взнос Российской Федерации в государственную корпорацию «Банк развития и внешнеэкономической деятельности (Внешэкономбанк)» на реализацию приоритетных инвестиционных проектов на территории Дальневосточного федерального округа – 19 330,9 млн. рублей (кассовое исполнение 100 %);</w:t>
            </w:r>
          </w:p>
          <w:p w:rsidR="00614DEE" w:rsidRPr="00074598" w:rsidRDefault="00B80775" w:rsidP="00645E7A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субсидии на развитие инфраструктуры территорий опережающего социально-экономического развития резидентам, инвесторам 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</w:t>
            </w:r>
            <w:r w:rsidRPr="00074598">
              <w:rPr>
                <w:sz w:val="20"/>
                <w:szCs w:val="24"/>
              </w:rPr>
              <w:lastRenderedPageBreak/>
              <w:t xml:space="preserve">Дальневосточного федерального округа, и свободным портом Владивосток – 3 753,9 млн. рублей, кассовое исполнение </w:t>
            </w:r>
            <w:r w:rsidR="00645E7A" w:rsidRPr="00074598">
              <w:rPr>
                <w:sz w:val="20"/>
                <w:szCs w:val="24"/>
              </w:rPr>
              <w:t xml:space="preserve">составило </w:t>
            </w:r>
            <w:r w:rsidRPr="00074598">
              <w:rPr>
                <w:sz w:val="20"/>
                <w:szCs w:val="24"/>
              </w:rPr>
              <w:t>182,4 млн. рублей</w:t>
            </w:r>
            <w:r w:rsidR="00645E7A" w:rsidRPr="00074598">
              <w:rPr>
                <w:sz w:val="20"/>
                <w:szCs w:val="24"/>
              </w:rPr>
              <w:t>, или 4,9 %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1E21C7" w:rsidRDefault="00614DEE" w:rsidP="00257B43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1E21C7">
              <w:rPr>
                <w:rFonts w:eastAsia="Times New Roman"/>
                <w:sz w:val="20"/>
                <w:szCs w:val="20"/>
              </w:rPr>
              <w:lastRenderedPageBreak/>
              <w:t>2</w:t>
            </w:r>
            <w:r w:rsidR="00257B43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</w:tcPr>
          <w:p w:rsidR="00614DEE" w:rsidRPr="001E21C7" w:rsidRDefault="00614DEE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1E21C7">
              <w:rPr>
                <w:sz w:val="20"/>
                <w:szCs w:val="24"/>
              </w:rPr>
              <w:t>«Развитие Северо-Кавказского федерального округа»</w:t>
            </w:r>
          </w:p>
        </w:tc>
        <w:tc>
          <w:tcPr>
            <w:tcW w:w="8079" w:type="dxa"/>
          </w:tcPr>
          <w:p w:rsidR="00307AC2" w:rsidRPr="00074598" w:rsidRDefault="00614DEE" w:rsidP="00307AC2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госпрограмме </w:t>
            </w:r>
            <w:r w:rsidRPr="00074598">
              <w:rPr>
                <w:b/>
                <w:sz w:val="20"/>
                <w:szCs w:val="24"/>
              </w:rPr>
              <w:t>«Развитие Северо-Кавказского федерального округа»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074598">
              <w:rPr>
                <w:sz w:val="20"/>
                <w:szCs w:val="24"/>
              </w:rPr>
              <w:t xml:space="preserve">исполнение расходов составило </w:t>
            </w:r>
            <w:r w:rsidR="00C45FCA" w:rsidRPr="00074598">
              <w:rPr>
                <w:bCs/>
                <w:sz w:val="20"/>
                <w:szCs w:val="20"/>
                <w:lang w:eastAsia="en-US"/>
              </w:rPr>
              <w:t>3</w:t>
            </w:r>
            <w:r w:rsidR="00D504A9" w:rsidRPr="00074598">
              <w:rPr>
                <w:bCs/>
                <w:sz w:val="20"/>
                <w:szCs w:val="20"/>
                <w:lang w:eastAsia="en-US"/>
              </w:rPr>
              <w:t>7,1</w:t>
            </w:r>
            <w:r w:rsidRPr="00074598">
              <w:rPr>
                <w:bCs/>
                <w:sz w:val="20"/>
                <w:szCs w:val="20"/>
                <w:lang w:eastAsia="en-US"/>
              </w:rPr>
              <w:t> % показателя сводной росписи с изменениями</w:t>
            </w:r>
            <w:r w:rsidR="00307AC2" w:rsidRPr="00074598">
              <w:rPr>
                <w:sz w:val="20"/>
                <w:szCs w:val="24"/>
              </w:rPr>
              <w:t xml:space="preserve">, </w:t>
            </w:r>
            <w:r w:rsidR="00307AC2" w:rsidRPr="00074598">
              <w:rPr>
                <w:bCs/>
                <w:sz w:val="20"/>
                <w:szCs w:val="24"/>
              </w:rPr>
              <w:t xml:space="preserve">что </w:t>
            </w:r>
            <w:r w:rsidR="00307AC2">
              <w:rPr>
                <w:bCs/>
                <w:sz w:val="20"/>
                <w:szCs w:val="24"/>
              </w:rPr>
              <w:t>ниже</w:t>
            </w:r>
            <w:r w:rsidR="00307AC2" w:rsidRPr="00074598">
              <w:rPr>
                <w:bCs/>
                <w:sz w:val="20"/>
                <w:szCs w:val="24"/>
              </w:rPr>
              <w:t xml:space="preserve"> уровня исполнения за соответствующий период 2019 года (</w:t>
            </w:r>
            <w:r w:rsidR="00307AC2">
              <w:rPr>
                <w:bCs/>
                <w:sz w:val="20"/>
                <w:szCs w:val="24"/>
              </w:rPr>
              <w:t>48,9</w:t>
            </w:r>
            <w:r w:rsidR="00307AC2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D504A9" w:rsidRDefault="00D504A9" w:rsidP="00D504A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Низкий уровень кассового исполнения связан с проведением ликвидационных мероприятий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Минкавказа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России и передачей функций упраздняемого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Минкавказа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России Минэкономразвития России.</w:t>
            </w:r>
            <w:r w:rsidR="00614DEE"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55245F" w:rsidRPr="00074598" w:rsidRDefault="0055245F" w:rsidP="00D504A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55245F">
              <w:rPr>
                <w:bCs/>
                <w:sz w:val="20"/>
                <w:szCs w:val="20"/>
                <w:lang w:eastAsia="en-US"/>
              </w:rPr>
              <w:t xml:space="preserve">В отчетном периоде не осуществлялись расходы по 3 подпрограммам: </w:t>
            </w:r>
            <w:r>
              <w:rPr>
                <w:bCs/>
                <w:sz w:val="20"/>
                <w:szCs w:val="20"/>
                <w:lang w:eastAsia="en-US"/>
              </w:rPr>
              <w:t>«</w:t>
            </w:r>
            <w:r w:rsidRPr="0055245F">
              <w:rPr>
                <w:bCs/>
                <w:sz w:val="20"/>
                <w:szCs w:val="20"/>
                <w:lang w:eastAsia="en-US"/>
              </w:rPr>
              <w:t>Социально-экономическое развитие Ставропол</w:t>
            </w:r>
            <w:r>
              <w:rPr>
                <w:bCs/>
                <w:sz w:val="20"/>
                <w:szCs w:val="20"/>
                <w:lang w:eastAsia="en-US"/>
              </w:rPr>
              <w:t>ьского края на 2016 - 2025 годы»</w:t>
            </w:r>
            <w:r w:rsidRPr="0055245F">
              <w:rPr>
                <w:bCs/>
                <w:sz w:val="20"/>
                <w:szCs w:val="20"/>
                <w:lang w:eastAsia="en-US"/>
              </w:rPr>
              <w:t xml:space="preserve">, </w:t>
            </w:r>
            <w:r>
              <w:rPr>
                <w:bCs/>
                <w:sz w:val="20"/>
                <w:szCs w:val="20"/>
                <w:lang w:eastAsia="en-US"/>
              </w:rPr>
              <w:t>«</w:t>
            </w:r>
            <w:r w:rsidRPr="0055245F">
              <w:rPr>
                <w:bCs/>
                <w:sz w:val="20"/>
                <w:szCs w:val="20"/>
                <w:lang w:eastAsia="en-US"/>
              </w:rPr>
              <w:t>Социально-экономическое развитие Республики</w:t>
            </w:r>
            <w:r>
              <w:rPr>
                <w:bCs/>
                <w:sz w:val="20"/>
                <w:szCs w:val="20"/>
                <w:lang w:eastAsia="en-US"/>
              </w:rPr>
              <w:t xml:space="preserve"> Ингушетия на 2016 - 2025 годы»</w:t>
            </w:r>
            <w:r w:rsidRPr="0055245F">
              <w:rPr>
                <w:bCs/>
                <w:sz w:val="20"/>
                <w:szCs w:val="20"/>
                <w:lang w:eastAsia="en-US"/>
              </w:rPr>
              <w:t xml:space="preserve"> и</w:t>
            </w:r>
            <w:r>
              <w:rPr>
                <w:bCs/>
                <w:sz w:val="20"/>
                <w:szCs w:val="20"/>
                <w:lang w:eastAsia="en-US"/>
              </w:rPr>
              <w:t xml:space="preserve"> «</w:t>
            </w:r>
            <w:r w:rsidRPr="0055245F">
              <w:rPr>
                <w:bCs/>
                <w:sz w:val="20"/>
                <w:szCs w:val="20"/>
                <w:lang w:eastAsia="en-US"/>
              </w:rPr>
              <w:t>Социально-экономическое развитие Карачаево-Черкесской</w:t>
            </w:r>
            <w:r>
              <w:rPr>
                <w:bCs/>
                <w:sz w:val="20"/>
                <w:szCs w:val="20"/>
                <w:lang w:eastAsia="en-US"/>
              </w:rPr>
              <w:t xml:space="preserve"> Республики на 2016 - 2025 годы»</w:t>
            </w:r>
            <w:r w:rsidRPr="0055245F">
              <w:rPr>
                <w:bCs/>
                <w:sz w:val="20"/>
                <w:szCs w:val="20"/>
                <w:lang w:eastAsia="en-US"/>
              </w:rPr>
              <w:t xml:space="preserve">   (бюджетные ассигнования на их реализацию предусмотрены в сумме 1 506,9 млн. рублей).</w:t>
            </w:r>
          </w:p>
          <w:p w:rsidR="00D504A9" w:rsidRPr="00074598" w:rsidRDefault="00D504A9" w:rsidP="00D504A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 рамках госпрограммы сводной бюджетной росписью бюджетные ассигнования предусмотрены Минэкономразвития России – 13 452,0 млн. рублей, кассовое исполнение в отчетном периоде составило 4 998,9 млн. рублей, или 37,2 %, Минстрою России - 180,0 млн. рублей, кассовое исполнение – 51,9 млн. рублей, или 28,8 %.</w:t>
            </w:r>
          </w:p>
          <w:p w:rsidR="00D504A9" w:rsidRPr="00074598" w:rsidRDefault="00D504A9" w:rsidP="00D504A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Наибольшую долю в объеме расходов по госпрограмме составляют межбюджетные трансферты бюджетам субъектов Российской Федерации (5 624,0 млн. рублей, или 41,3 % расходов по госпрограмме), а также бюджетные инвестиции иным юридическим лицам (7 025,3 млн. рублей, или 51,5 %). </w:t>
            </w:r>
          </w:p>
          <w:p w:rsidR="00D504A9" w:rsidRPr="00074598" w:rsidRDefault="00D504A9" w:rsidP="00D504A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 рамках госпрограмм</w:t>
            </w:r>
            <w:r w:rsidR="00341D22">
              <w:rPr>
                <w:bCs/>
                <w:sz w:val="20"/>
                <w:szCs w:val="20"/>
                <w:lang w:eastAsia="en-US"/>
              </w:rPr>
              <w:t>ы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предусмотрены взносы:</w:t>
            </w:r>
          </w:p>
          <w:p w:rsidR="00D504A9" w:rsidRPr="00074598" w:rsidRDefault="00D504A9" w:rsidP="00D504A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 уставный капитал акционерного общества «Корпорация развития Северного Кавказа», г. Ессентуки, Ставропольский край, в целях реализации инвестиционных проектов в объеме 2 525,3 млн. рублей (кассовое исполнение 100 %);</w:t>
            </w:r>
          </w:p>
          <w:p w:rsidR="00D504A9" w:rsidRPr="00074598" w:rsidRDefault="00D504A9" w:rsidP="00D504A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 уставный капитал акционерного общества «Курорты Северного Кавказа», г. Пятигорск, Ставропольский край, для участия в проекте создания туристического кластера в Северо-Кавказском федеральном округе в объеме 3 500,0, кассовое исполнение составило 2 276,7 млн. рублей, или 36,5 %;</w:t>
            </w:r>
          </w:p>
          <w:p w:rsidR="00614DEE" w:rsidRPr="00074598" w:rsidRDefault="00D504A9" w:rsidP="00D504A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 уставный капитал акционерного общества «Курорты Северного Кавказа», г. Пятигорск, Ставропольский край, для участия в проекте создания туристического кластера в Северо-Кавказском федеральном округе в объеме 1 000,0 млн. рублей (кассовое исполнение не осуществлялось)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F46B26" w:rsidRDefault="00734A8C" w:rsidP="00257B43">
            <w:pPr>
              <w:spacing w:line="240" w:lineRule="auto"/>
              <w:ind w:left="0" w:right="0" w:firstLine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="00257B43">
              <w:rPr>
                <w:sz w:val="20"/>
                <w:szCs w:val="24"/>
              </w:rPr>
              <w:t>5</w:t>
            </w:r>
          </w:p>
        </w:tc>
        <w:tc>
          <w:tcPr>
            <w:tcW w:w="2269" w:type="dxa"/>
          </w:tcPr>
          <w:p w:rsidR="00614DEE" w:rsidRPr="00877B37" w:rsidRDefault="00614DEE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877B37">
              <w:rPr>
                <w:sz w:val="20"/>
                <w:szCs w:val="24"/>
              </w:rPr>
              <w:t>«Развитие федеративных отношений и создание условий для эффективного и ответственного управления региональными и муниципальными финансами»</w:t>
            </w:r>
          </w:p>
        </w:tc>
        <w:tc>
          <w:tcPr>
            <w:tcW w:w="8079" w:type="dxa"/>
          </w:tcPr>
          <w:p w:rsidR="00515268" w:rsidRPr="00074598" w:rsidRDefault="00614DEE" w:rsidP="00515268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госпрограмме </w:t>
            </w:r>
            <w:r w:rsidRPr="00074598">
              <w:rPr>
                <w:b/>
                <w:sz w:val="20"/>
                <w:szCs w:val="24"/>
              </w:rPr>
              <w:t>«Развитие федеративных отношений и создание условий для эффективного и ответственного управления региональными и муниципальными финансами»</w:t>
            </w:r>
            <w:r w:rsidRPr="00074598">
              <w:rPr>
                <w:sz w:val="20"/>
                <w:szCs w:val="24"/>
              </w:rPr>
              <w:t xml:space="preserve"> исполнение расходов составило </w:t>
            </w:r>
            <w:r w:rsidR="00274E11" w:rsidRPr="00074598">
              <w:rPr>
                <w:bCs/>
                <w:sz w:val="20"/>
                <w:szCs w:val="20"/>
                <w:lang w:eastAsia="en-US"/>
              </w:rPr>
              <w:t>80,3</w:t>
            </w:r>
            <w:r w:rsidRPr="00074598">
              <w:rPr>
                <w:bCs/>
                <w:sz w:val="20"/>
                <w:szCs w:val="20"/>
                <w:lang w:eastAsia="en-US"/>
              </w:rPr>
              <w:t> % показателя сводной росписи с изменениями</w:t>
            </w:r>
            <w:r w:rsidR="00515268" w:rsidRPr="00074598">
              <w:rPr>
                <w:sz w:val="20"/>
                <w:szCs w:val="24"/>
              </w:rPr>
              <w:t xml:space="preserve">, </w:t>
            </w:r>
            <w:r w:rsidR="00515268" w:rsidRPr="00074598">
              <w:rPr>
                <w:bCs/>
                <w:sz w:val="20"/>
                <w:szCs w:val="24"/>
              </w:rPr>
              <w:t>что выше уровня исполнения за соответствующий период 2019 года (6</w:t>
            </w:r>
            <w:r w:rsidR="00515268">
              <w:rPr>
                <w:bCs/>
                <w:sz w:val="20"/>
                <w:szCs w:val="24"/>
              </w:rPr>
              <w:t>6</w:t>
            </w:r>
            <w:r w:rsidR="00515268" w:rsidRPr="00074598">
              <w:rPr>
                <w:bCs/>
                <w:sz w:val="20"/>
                <w:szCs w:val="24"/>
              </w:rPr>
              <w:t>,</w:t>
            </w:r>
            <w:r w:rsidR="00515268">
              <w:rPr>
                <w:bCs/>
                <w:sz w:val="20"/>
                <w:szCs w:val="24"/>
              </w:rPr>
              <w:t>6</w:t>
            </w:r>
            <w:r w:rsidR="00515268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274E11" w:rsidRPr="00074598" w:rsidRDefault="00614DEE" w:rsidP="00274E11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 xml:space="preserve">В отчетном периоде </w:t>
            </w:r>
            <w:r w:rsidR="0073502B" w:rsidRPr="00074598">
              <w:rPr>
                <w:bCs/>
                <w:sz w:val="20"/>
                <w:szCs w:val="20"/>
                <w:lang w:eastAsia="en-US"/>
              </w:rPr>
              <w:t xml:space="preserve">в связи с отсутствием решений Президента Российской Федерации и Правительства Российской Федерации об использовании бюджетных ассигнований </w:t>
            </w:r>
            <w:r w:rsidRPr="00074598">
              <w:rPr>
                <w:bCs/>
                <w:sz w:val="20"/>
                <w:szCs w:val="20"/>
                <w:lang w:eastAsia="en-US"/>
              </w:rPr>
              <w:t>не осуществлялось исполнение расходов по подпрограмме «</w:t>
            </w:r>
            <w:r w:rsidR="00782292" w:rsidRPr="00074598">
              <w:rPr>
                <w:bCs/>
                <w:sz w:val="20"/>
                <w:szCs w:val="20"/>
                <w:lang w:eastAsia="en-US"/>
              </w:rPr>
              <w:t>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социально-экономического развития субъектов Российской Федерации и муниципальных образований</w:t>
            </w:r>
            <w:r w:rsidR="0073502B" w:rsidRPr="00074598">
              <w:rPr>
                <w:bCs/>
                <w:sz w:val="20"/>
                <w:szCs w:val="20"/>
                <w:lang w:eastAsia="en-US"/>
              </w:rPr>
              <w:t>»</w:t>
            </w:r>
            <w:r w:rsidR="00DD2CBC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DD2CBC" w:rsidRPr="0055245F">
              <w:rPr>
                <w:bCs/>
                <w:sz w:val="20"/>
                <w:szCs w:val="20"/>
                <w:lang w:eastAsia="en-US"/>
              </w:rPr>
              <w:t>(бюджетные ассигнования предусмотрены в сумме 1 </w:t>
            </w:r>
            <w:r w:rsidR="00DD2CBC">
              <w:rPr>
                <w:bCs/>
                <w:sz w:val="20"/>
                <w:szCs w:val="20"/>
                <w:lang w:eastAsia="en-US"/>
              </w:rPr>
              <w:t>040</w:t>
            </w:r>
            <w:r w:rsidR="00DD2CBC" w:rsidRPr="0055245F">
              <w:rPr>
                <w:bCs/>
                <w:sz w:val="20"/>
                <w:szCs w:val="20"/>
                <w:lang w:eastAsia="en-US"/>
              </w:rPr>
              <w:t>,</w:t>
            </w:r>
            <w:r w:rsidR="00DD2CBC">
              <w:rPr>
                <w:bCs/>
                <w:sz w:val="20"/>
                <w:szCs w:val="20"/>
                <w:lang w:eastAsia="en-US"/>
              </w:rPr>
              <w:t>4</w:t>
            </w:r>
            <w:proofErr w:type="gramEnd"/>
            <w:r w:rsidR="00DD2CBC" w:rsidRPr="0055245F">
              <w:rPr>
                <w:bCs/>
                <w:sz w:val="20"/>
                <w:szCs w:val="20"/>
                <w:lang w:eastAsia="en-US"/>
              </w:rPr>
              <w:t> млн. рублей)</w:t>
            </w:r>
            <w:r w:rsidR="00274E11" w:rsidRPr="00074598">
              <w:rPr>
                <w:bCs/>
                <w:sz w:val="20"/>
                <w:szCs w:val="20"/>
                <w:lang w:eastAsia="en-US"/>
              </w:rPr>
              <w:t xml:space="preserve">. </w:t>
            </w:r>
          </w:p>
          <w:p w:rsidR="00274E11" w:rsidRPr="00074598" w:rsidRDefault="00274E11" w:rsidP="008E1DB0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Сводной бюджетной росписью бюджетные ассигнования на 2020 год увеличены на 261</w:t>
            </w:r>
            <w:r w:rsidR="0073502B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>144,3 млн. рублей, или на 27,6 %, и составили 1 206 356,3 млн. рублей, в том числе по подпрограмме «Выравнивание финансовых возможностей бюджетов субъектов Российской Федерации и местных бюджетов» - на 309 504,3 млн. рублей, или на 35,1 %.</w:t>
            </w:r>
          </w:p>
          <w:p w:rsidR="00274E11" w:rsidRPr="00074598" w:rsidRDefault="00274E11" w:rsidP="00274E11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Увеличение бюджетных ассигнований по подпрограмме «Выравнивание финансовых возможностей бюджетов субъектов Российской Федерации и местных бюджетов» связано с</w:t>
            </w:r>
            <w:r w:rsidR="0073502B" w:rsidRPr="00074598">
              <w:rPr>
                <w:bCs/>
                <w:sz w:val="20"/>
                <w:szCs w:val="20"/>
                <w:lang w:eastAsia="en-US"/>
              </w:rPr>
              <w:t xml:space="preserve"> финансовой поддержкой регионов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в условиях ухудшения ситуации в связи с распространением новой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инфекции, а именно компенсацией снижения поступления налоговых и неналоговых доходов консолидированных бюджетов субъектов Российской Федерации и обеспечения их устойчивости в условиях борьбы с эпидемией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коронавируса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>, оснащением (переоснащением) дополнительно создаваемого или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074598">
              <w:rPr>
                <w:bCs/>
                <w:sz w:val="20"/>
                <w:szCs w:val="20"/>
                <w:lang w:eastAsia="en-US"/>
              </w:rPr>
              <w:t>перепрофилируемого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коечного фонда медицинских организаций для оказания </w:t>
            </w:r>
            <w:r w:rsidRPr="00074598">
              <w:rPr>
                <w:bCs/>
                <w:sz w:val="20"/>
                <w:szCs w:val="20"/>
                <w:lang w:eastAsia="en-US"/>
              </w:rPr>
              <w:lastRenderedPageBreak/>
              <w:t xml:space="preserve">медицинской помощи больным новой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инфекцией, на реализацию мероприятий, на предоставление субсидий юридическим лицам и индивидуальным предпринимателям для частичной компенсации затрат, связанных с осуществлением ими деятельности в условиях ухудшения ситуации в результате распространения новой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инфекции, в том числе на сохранение занятости и оплаты труда своих работников связанных с обеспечением санитарно-эпидемиологической безопасности при</w:t>
            </w:r>
            <w:proofErr w:type="gramEnd"/>
            <w:r w:rsidRPr="00074598">
              <w:rPr>
                <w:bCs/>
                <w:sz w:val="20"/>
                <w:szCs w:val="20"/>
                <w:lang w:eastAsia="en-US"/>
              </w:rPr>
              <w:t xml:space="preserve"> подготовке к проведению общероссийского голосования по вопросу одобрения изменений в Конституцию Российской Федерации. </w:t>
            </w:r>
          </w:p>
          <w:p w:rsidR="00274E11" w:rsidRPr="00074598" w:rsidRDefault="00274E11" w:rsidP="00274E11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Дотации на выравнивание бюджетной обеспеченности субъектов Российской Федерации перечислены в бюджеты 72 регионов в объеме 539 786,3 млн. рублей (75,2 % предусмотренных средств).</w:t>
            </w:r>
          </w:p>
          <w:p w:rsidR="00274E11" w:rsidRPr="00074598" w:rsidRDefault="00274E11" w:rsidP="00274E11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Единая субвенция бюджетам субъектов Российской Федерации и бюджету г.</w:t>
            </w:r>
            <w:r w:rsidR="0073502B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>Байконура перечислена регионам в объеме 9 343,4 млн. рублей (63,4 %).</w:t>
            </w:r>
          </w:p>
          <w:p w:rsidR="00614DEE" w:rsidRPr="00074598" w:rsidRDefault="00274E11" w:rsidP="0073502B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Кроме того, премирование победителей Всероссийского конкурса «Лучшая муниципальная практика» (дотации на премирование победителей Всероссийского конкурса «Лучшая муниципальная практика» за счет средств резервного фонда Президента Российской Федерации) предус</w:t>
            </w:r>
            <w:r w:rsidR="0073502B" w:rsidRPr="00074598">
              <w:rPr>
                <w:bCs/>
                <w:sz w:val="20"/>
                <w:szCs w:val="20"/>
                <w:lang w:eastAsia="en-US"/>
              </w:rPr>
              <w:t>мотрено в IV квартале 2020 года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F46B26" w:rsidRDefault="00614DEE" w:rsidP="00257B43">
            <w:pPr>
              <w:spacing w:line="240" w:lineRule="auto"/>
              <w:ind w:left="0" w:right="0" w:firstLine="0"/>
              <w:jc w:val="center"/>
              <w:rPr>
                <w:sz w:val="20"/>
                <w:szCs w:val="24"/>
              </w:rPr>
            </w:pPr>
            <w:r w:rsidRPr="00F46B26">
              <w:rPr>
                <w:sz w:val="20"/>
                <w:szCs w:val="24"/>
              </w:rPr>
              <w:lastRenderedPageBreak/>
              <w:t>2</w:t>
            </w:r>
            <w:r w:rsidR="00257B43">
              <w:rPr>
                <w:sz w:val="20"/>
                <w:szCs w:val="24"/>
              </w:rPr>
              <w:t>6</w:t>
            </w:r>
          </w:p>
        </w:tc>
        <w:tc>
          <w:tcPr>
            <w:tcW w:w="2269" w:type="dxa"/>
          </w:tcPr>
          <w:p w:rsidR="00614DEE" w:rsidRPr="00F12CDA" w:rsidRDefault="00614DEE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F12CDA">
              <w:rPr>
                <w:sz w:val="20"/>
                <w:szCs w:val="24"/>
              </w:rPr>
              <w:t>«Социально-экономическое развитие Калининградской области»</w:t>
            </w:r>
          </w:p>
        </w:tc>
        <w:tc>
          <w:tcPr>
            <w:tcW w:w="8079" w:type="dxa"/>
          </w:tcPr>
          <w:p w:rsidR="00E350C2" w:rsidRPr="00074598" w:rsidRDefault="00614DEE" w:rsidP="00E350C2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госпрограмме </w:t>
            </w:r>
            <w:r w:rsidRPr="00074598">
              <w:rPr>
                <w:b/>
                <w:sz w:val="20"/>
                <w:szCs w:val="24"/>
              </w:rPr>
              <w:t>«Социально-экономическое развитие Калининградской области»</w:t>
            </w:r>
            <w:r w:rsidRPr="00074598">
              <w:rPr>
                <w:sz w:val="20"/>
                <w:szCs w:val="24"/>
              </w:rPr>
              <w:t xml:space="preserve"> исполнение расходов составило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146E7B" w:rsidRPr="00074598">
              <w:rPr>
                <w:bCs/>
                <w:sz w:val="20"/>
                <w:szCs w:val="20"/>
                <w:lang w:eastAsia="en-US"/>
              </w:rPr>
              <w:t>63,6</w:t>
            </w:r>
            <w:r w:rsidRPr="00074598">
              <w:rPr>
                <w:bCs/>
                <w:sz w:val="20"/>
                <w:szCs w:val="20"/>
                <w:lang w:eastAsia="en-US"/>
              </w:rPr>
              <w:t> % показателя сводной росписи с изменениями</w:t>
            </w:r>
            <w:r w:rsidR="00E350C2" w:rsidRPr="00074598">
              <w:rPr>
                <w:sz w:val="20"/>
                <w:szCs w:val="24"/>
              </w:rPr>
              <w:t xml:space="preserve">, </w:t>
            </w:r>
            <w:r w:rsidR="00E350C2" w:rsidRPr="00074598">
              <w:rPr>
                <w:bCs/>
                <w:sz w:val="20"/>
                <w:szCs w:val="24"/>
              </w:rPr>
              <w:t xml:space="preserve">что </w:t>
            </w:r>
            <w:r w:rsidR="00E350C2">
              <w:rPr>
                <w:bCs/>
                <w:sz w:val="20"/>
                <w:szCs w:val="24"/>
              </w:rPr>
              <w:t>ниже</w:t>
            </w:r>
            <w:r w:rsidR="00E350C2" w:rsidRPr="00074598">
              <w:rPr>
                <w:bCs/>
                <w:sz w:val="20"/>
                <w:szCs w:val="24"/>
              </w:rPr>
              <w:t xml:space="preserve"> уровня исполнения за соответствующий период 2019 года (</w:t>
            </w:r>
            <w:r w:rsidR="00E350C2">
              <w:rPr>
                <w:bCs/>
                <w:sz w:val="20"/>
                <w:szCs w:val="24"/>
              </w:rPr>
              <w:t>76,4</w:t>
            </w:r>
            <w:r w:rsidR="00E350C2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8A3082" w:rsidRPr="00074598" w:rsidRDefault="008A3082" w:rsidP="008A3082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В рамках госпрограммы бюджетные ассигнования предусмотрены 4 главным распорядителям средств федерального бюджета: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Росмолодежи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– 64,9 млн. рублей (0,1 % общего объема расходов),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Росавтодору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– 5 884,5 млн. рублей (9,7 %), 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Росморречфлоту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 xml:space="preserve"> – 1</w:t>
            </w:r>
            <w:r w:rsidR="00FE7171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>836,0 млн. рублей (3 %), Минэкономразвития России – 52 913,6 млн. рублей (87,2 %).</w:t>
            </w:r>
            <w:r w:rsidR="00FE7171" w:rsidRPr="00074598">
              <w:rPr>
                <w:bCs/>
                <w:sz w:val="20"/>
                <w:szCs w:val="20"/>
                <w:lang w:eastAsia="en-US"/>
              </w:rPr>
              <w:t xml:space="preserve"> В отчетном периоде на низком уровне исполнены расходы </w:t>
            </w:r>
            <w:proofErr w:type="spellStart"/>
            <w:r w:rsidR="00FE7171" w:rsidRPr="00074598">
              <w:rPr>
                <w:bCs/>
                <w:sz w:val="20"/>
                <w:szCs w:val="20"/>
                <w:lang w:eastAsia="en-US"/>
              </w:rPr>
              <w:t>Росморречфлотом</w:t>
            </w:r>
            <w:proofErr w:type="spellEnd"/>
            <w:r w:rsidR="00FE7171" w:rsidRPr="00074598">
              <w:rPr>
                <w:bCs/>
                <w:sz w:val="20"/>
                <w:szCs w:val="20"/>
                <w:lang w:eastAsia="en-US"/>
              </w:rPr>
              <w:t xml:space="preserve"> – 2 % показателя сводной росписи с изменениями, </w:t>
            </w:r>
            <w:proofErr w:type="spellStart"/>
            <w:r w:rsidR="00FE7171" w:rsidRPr="00074598">
              <w:rPr>
                <w:bCs/>
                <w:sz w:val="20"/>
                <w:szCs w:val="20"/>
                <w:lang w:eastAsia="en-US"/>
              </w:rPr>
              <w:t>Росавтодором</w:t>
            </w:r>
            <w:proofErr w:type="spellEnd"/>
            <w:r w:rsidR="00FE7171" w:rsidRPr="00074598">
              <w:rPr>
                <w:bCs/>
                <w:sz w:val="20"/>
                <w:szCs w:val="20"/>
                <w:lang w:eastAsia="en-US"/>
              </w:rPr>
              <w:t xml:space="preserve"> – 28,5 %.</w:t>
            </w:r>
          </w:p>
          <w:p w:rsidR="008A3082" w:rsidRPr="00074598" w:rsidRDefault="00FE7171" w:rsidP="008A3082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Н</w:t>
            </w:r>
            <w:r w:rsidR="008A3082" w:rsidRPr="00074598">
              <w:rPr>
                <w:bCs/>
                <w:sz w:val="20"/>
                <w:szCs w:val="20"/>
                <w:lang w:eastAsia="en-US"/>
              </w:rPr>
              <w:t>аибольшую долю в объеме расходов по госпрограмме состав</w:t>
            </w:r>
            <w:r w:rsidR="00263F5A" w:rsidRPr="00074598">
              <w:rPr>
                <w:bCs/>
                <w:sz w:val="20"/>
                <w:szCs w:val="20"/>
                <w:lang w:eastAsia="en-US"/>
              </w:rPr>
              <w:t>ляют</w:t>
            </w:r>
            <w:r w:rsidR="008A3082" w:rsidRPr="00074598">
              <w:rPr>
                <w:bCs/>
                <w:sz w:val="20"/>
                <w:szCs w:val="20"/>
                <w:lang w:eastAsia="en-US"/>
              </w:rPr>
              <w:t xml:space="preserve"> межбюджетные трансферты бюджетам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субъектов Российской Федерации (58 863,0 млн. рублей, или 97 %)</w:t>
            </w:r>
          </w:p>
          <w:p w:rsidR="00614DEE" w:rsidRPr="00074598" w:rsidRDefault="008A3082" w:rsidP="008A3082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Наибольший объем (51 191,6 млн. рублей) предусмотрен сводной бюджетной росписью на иные межбюджетные трансферты бюджету Калининградской области на обеспечение поддержки юридических лиц, осуществляющих деятельность на территории Калининградской области, и резидентов Особой экономической зоны в Калининградской области, которые в отчетном периоде перечислены в объеме 36 447,5 млн. рублей</w:t>
            </w:r>
            <w:r w:rsidR="00263F5A" w:rsidRPr="00074598">
              <w:rPr>
                <w:bCs/>
                <w:sz w:val="20"/>
                <w:szCs w:val="20"/>
                <w:lang w:eastAsia="en-US"/>
              </w:rPr>
              <w:t xml:space="preserve"> (71,2 %)</w:t>
            </w:r>
          </w:p>
        </w:tc>
      </w:tr>
      <w:tr w:rsidR="00846AFA" w:rsidRPr="00F46B26" w:rsidTr="00307AC2">
        <w:tc>
          <w:tcPr>
            <w:tcW w:w="567" w:type="dxa"/>
          </w:tcPr>
          <w:p w:rsidR="00846AFA" w:rsidRPr="00F12CDA" w:rsidRDefault="00734A8C" w:rsidP="00257B43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  <w:r w:rsidR="00257B43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269" w:type="dxa"/>
          </w:tcPr>
          <w:p w:rsidR="00846AFA" w:rsidRPr="00846AFA" w:rsidRDefault="00846AFA" w:rsidP="00794911">
            <w:pPr>
              <w:spacing w:line="240" w:lineRule="auto"/>
              <w:ind w:left="0" w:right="0" w:firstLine="0"/>
              <w:rPr>
                <w:sz w:val="20"/>
                <w:szCs w:val="20"/>
              </w:rPr>
            </w:pPr>
            <w:r w:rsidRPr="00846AFA">
              <w:rPr>
                <w:rFonts w:eastAsia="Times New Roman"/>
                <w:sz w:val="20"/>
                <w:szCs w:val="20"/>
              </w:rPr>
              <w:t>«У</w:t>
            </w:r>
            <w:r w:rsidRPr="00846AFA">
              <w:rPr>
                <w:sz w:val="20"/>
                <w:szCs w:val="20"/>
              </w:rPr>
              <w:t>правление государственными финансами и регулирование финансовых рынков»</w:t>
            </w:r>
          </w:p>
        </w:tc>
        <w:tc>
          <w:tcPr>
            <w:tcW w:w="8079" w:type="dxa"/>
          </w:tcPr>
          <w:p w:rsidR="00E350C2" w:rsidRPr="00074598" w:rsidRDefault="00846AFA" w:rsidP="00E350C2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По госпрограмме </w:t>
            </w:r>
            <w:r w:rsidRPr="00074598">
              <w:rPr>
                <w:b/>
                <w:sz w:val="20"/>
                <w:szCs w:val="24"/>
              </w:rPr>
              <w:t>«Управление государственными финансами и регулирование финансовых рынков»</w:t>
            </w:r>
            <w:r w:rsidRPr="00074598">
              <w:rPr>
                <w:sz w:val="20"/>
                <w:szCs w:val="24"/>
              </w:rPr>
              <w:t xml:space="preserve"> исполнение расходов составило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25,1 % показателя сводной росписи с изменениями</w:t>
            </w:r>
            <w:r w:rsidR="00E350C2" w:rsidRPr="00074598">
              <w:rPr>
                <w:sz w:val="20"/>
                <w:szCs w:val="24"/>
              </w:rPr>
              <w:t xml:space="preserve">, </w:t>
            </w:r>
            <w:r w:rsidR="00E350C2" w:rsidRPr="00074598">
              <w:rPr>
                <w:bCs/>
                <w:sz w:val="20"/>
                <w:szCs w:val="24"/>
              </w:rPr>
              <w:t xml:space="preserve">что </w:t>
            </w:r>
            <w:r w:rsidR="00E350C2">
              <w:rPr>
                <w:bCs/>
                <w:sz w:val="20"/>
                <w:szCs w:val="24"/>
              </w:rPr>
              <w:t>ниже</w:t>
            </w:r>
            <w:r w:rsidR="00E350C2" w:rsidRPr="00074598">
              <w:rPr>
                <w:bCs/>
                <w:sz w:val="20"/>
                <w:szCs w:val="24"/>
              </w:rPr>
              <w:t xml:space="preserve"> уровня исполнения за соответствующий период 2019 года (</w:t>
            </w:r>
            <w:r w:rsidR="00E350C2">
              <w:rPr>
                <w:bCs/>
                <w:sz w:val="20"/>
                <w:szCs w:val="24"/>
              </w:rPr>
              <w:t>49,5</w:t>
            </w:r>
            <w:r w:rsidR="00E350C2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846AFA" w:rsidRPr="00074598" w:rsidRDefault="00846AFA" w:rsidP="00846AFA">
            <w:pPr>
              <w:spacing w:line="240" w:lineRule="auto"/>
              <w:ind w:left="0" w:right="0" w:firstLine="318"/>
              <w:rPr>
                <w:sz w:val="20"/>
                <w:szCs w:val="24"/>
              </w:rPr>
            </w:pPr>
            <w:proofErr w:type="gramStart"/>
            <w:r w:rsidRPr="00074598">
              <w:rPr>
                <w:sz w:val="20"/>
                <w:szCs w:val="24"/>
              </w:rPr>
              <w:t>По состоянию на 1 октября 2020 года отмечается низкое кассовое исполнение расходов по подпрограмме «Повышение качества управления бюджетным процессом» (38 254,6 млн. рублей, или 2,2 % показателя сводной росписи с изменениями, что связано с использованием бюджетных ассигнований резервных фондов Правительства Российской Федерации и Президента Российской Федерации, доля которых составляет 96 % бюджетных ассигнований, предусмотренных сводной росписью с изменениями на реализацию указанной подпрограммы</w:t>
            </w:r>
            <w:proofErr w:type="gramEnd"/>
          </w:p>
        </w:tc>
      </w:tr>
      <w:tr w:rsidR="00614DEE" w:rsidRPr="00F46B26" w:rsidTr="00307AC2">
        <w:tc>
          <w:tcPr>
            <w:tcW w:w="567" w:type="dxa"/>
          </w:tcPr>
          <w:p w:rsidR="00614DEE" w:rsidRPr="00F12CDA" w:rsidRDefault="00614DEE" w:rsidP="00257B43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12CDA">
              <w:rPr>
                <w:rFonts w:eastAsia="Times New Roman"/>
                <w:sz w:val="20"/>
                <w:szCs w:val="20"/>
              </w:rPr>
              <w:t>2</w:t>
            </w:r>
            <w:r w:rsidR="00257B43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2269" w:type="dxa"/>
          </w:tcPr>
          <w:p w:rsidR="00614DEE" w:rsidRPr="00F12CDA" w:rsidRDefault="00614DEE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F12CDA">
              <w:rPr>
                <w:sz w:val="20"/>
                <w:szCs w:val="24"/>
              </w:rPr>
              <w:t>«Внешнеполитическая деятельность»</w:t>
            </w:r>
          </w:p>
        </w:tc>
        <w:tc>
          <w:tcPr>
            <w:tcW w:w="8079" w:type="dxa"/>
          </w:tcPr>
          <w:p w:rsidR="001919EE" w:rsidRPr="00074598" w:rsidRDefault="00614DEE" w:rsidP="001919EE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По госпрограмме </w:t>
            </w:r>
            <w:r w:rsidRPr="00074598">
              <w:rPr>
                <w:b/>
                <w:sz w:val="20"/>
                <w:szCs w:val="24"/>
              </w:rPr>
              <w:t>«Внешнеполитическая деятельность»</w:t>
            </w:r>
            <w:r w:rsidRPr="00074598">
              <w:rPr>
                <w:sz w:val="20"/>
                <w:szCs w:val="24"/>
              </w:rPr>
              <w:t xml:space="preserve"> исполнение расходов составило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F009F0" w:rsidRPr="00074598">
              <w:rPr>
                <w:bCs/>
                <w:sz w:val="20"/>
                <w:szCs w:val="20"/>
                <w:lang w:eastAsia="en-US"/>
              </w:rPr>
              <w:t>71,2</w:t>
            </w:r>
            <w:r w:rsidRPr="00074598">
              <w:rPr>
                <w:bCs/>
                <w:sz w:val="20"/>
                <w:szCs w:val="20"/>
                <w:lang w:eastAsia="en-US"/>
              </w:rPr>
              <w:t> % показателя сводной росписи с изменениями</w:t>
            </w:r>
            <w:r w:rsidR="001919EE" w:rsidRPr="00074598">
              <w:rPr>
                <w:sz w:val="20"/>
                <w:szCs w:val="24"/>
              </w:rPr>
              <w:t xml:space="preserve">, </w:t>
            </w:r>
            <w:r w:rsidR="001919EE" w:rsidRPr="00074598">
              <w:rPr>
                <w:bCs/>
                <w:sz w:val="20"/>
                <w:szCs w:val="24"/>
              </w:rPr>
              <w:t>что выше уровня исполнения за соответствующий период 2019 года (</w:t>
            </w:r>
            <w:r w:rsidR="001919EE">
              <w:rPr>
                <w:bCs/>
                <w:sz w:val="20"/>
                <w:szCs w:val="24"/>
              </w:rPr>
              <w:t>67,3</w:t>
            </w:r>
            <w:r w:rsidR="001919EE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614DEE" w:rsidRPr="00074598" w:rsidRDefault="00F009F0" w:rsidP="00F009F0">
            <w:pPr>
              <w:spacing w:line="240" w:lineRule="auto"/>
              <w:ind w:left="0" w:right="0" w:firstLine="318"/>
              <w:rPr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Исполнение расходов по подпрограмме «Выполнение финансовых обязательств Российской Федерации по обеспечению деятельности межгосударственных структур, созданных государствами Содружества Независимых Государств» составило 48,2 %. Что объясняется в основном графиком перечисления соответствующих взносов в международные организации на реализацию межгосударственных договоров в рамках Содружества Независимых Государств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F12CDA" w:rsidRDefault="00257B43" w:rsidP="006406AA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2269" w:type="dxa"/>
          </w:tcPr>
          <w:p w:rsidR="00614DEE" w:rsidRPr="00F12CDA" w:rsidRDefault="00614DEE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F12CDA">
              <w:rPr>
                <w:sz w:val="20"/>
                <w:szCs w:val="24"/>
              </w:rPr>
              <w:t>«Юстиция»</w:t>
            </w:r>
          </w:p>
        </w:tc>
        <w:tc>
          <w:tcPr>
            <w:tcW w:w="8079" w:type="dxa"/>
          </w:tcPr>
          <w:p w:rsidR="001919EE" w:rsidRPr="00074598" w:rsidRDefault="00614DEE" w:rsidP="001919EE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sz w:val="20"/>
              </w:rPr>
              <w:t xml:space="preserve">По госпрограмме </w:t>
            </w:r>
            <w:r w:rsidRPr="00074598">
              <w:rPr>
                <w:b/>
                <w:sz w:val="20"/>
              </w:rPr>
              <w:t>«Юстиция»</w:t>
            </w:r>
            <w:r w:rsidRPr="00074598">
              <w:rPr>
                <w:sz w:val="20"/>
              </w:rPr>
              <w:t xml:space="preserve"> </w:t>
            </w:r>
            <w:r w:rsidRPr="00074598">
              <w:rPr>
                <w:bCs/>
                <w:sz w:val="20"/>
              </w:rPr>
              <w:t xml:space="preserve">исполнение расходов составило </w:t>
            </w:r>
            <w:r w:rsidR="00391068" w:rsidRPr="00074598">
              <w:rPr>
                <w:bCs/>
                <w:sz w:val="20"/>
              </w:rPr>
              <w:t>71,4</w:t>
            </w:r>
            <w:r w:rsidRPr="00074598">
              <w:rPr>
                <w:bCs/>
                <w:sz w:val="20"/>
              </w:rPr>
              <w:t> % показателя сводной росписи с изменениями</w:t>
            </w:r>
            <w:r w:rsidR="001919EE" w:rsidRPr="00074598">
              <w:rPr>
                <w:sz w:val="20"/>
                <w:szCs w:val="24"/>
              </w:rPr>
              <w:t xml:space="preserve">, </w:t>
            </w:r>
            <w:r w:rsidR="001919EE" w:rsidRPr="00074598">
              <w:rPr>
                <w:bCs/>
                <w:sz w:val="20"/>
                <w:szCs w:val="24"/>
              </w:rPr>
              <w:t xml:space="preserve">что </w:t>
            </w:r>
            <w:r w:rsidR="001919EE">
              <w:rPr>
                <w:bCs/>
                <w:sz w:val="20"/>
                <w:szCs w:val="24"/>
              </w:rPr>
              <w:t>ниже</w:t>
            </w:r>
            <w:r w:rsidR="001919EE" w:rsidRPr="00074598">
              <w:rPr>
                <w:bCs/>
                <w:sz w:val="20"/>
                <w:szCs w:val="24"/>
              </w:rPr>
              <w:t xml:space="preserve"> уровня исполнения за соответствующий период 2019 года (</w:t>
            </w:r>
            <w:r w:rsidR="001919EE">
              <w:rPr>
                <w:bCs/>
                <w:sz w:val="20"/>
                <w:szCs w:val="24"/>
              </w:rPr>
              <w:t>73</w:t>
            </w:r>
            <w:r w:rsidR="001919EE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2F691D" w:rsidRPr="00074598" w:rsidRDefault="002F691D" w:rsidP="002F691D">
            <w:pPr>
              <w:spacing w:line="240" w:lineRule="auto"/>
              <w:ind w:left="0" w:right="-1" w:firstLine="318"/>
              <w:rPr>
                <w:bCs/>
                <w:sz w:val="20"/>
              </w:rPr>
            </w:pPr>
            <w:r w:rsidRPr="00074598">
              <w:rPr>
                <w:bCs/>
                <w:sz w:val="20"/>
              </w:rPr>
              <w:t xml:space="preserve">На низком уровне исполнены расходы по ФЦП «Развитие уголовно-исполнительной </w:t>
            </w:r>
            <w:r w:rsidRPr="00074598">
              <w:rPr>
                <w:bCs/>
                <w:sz w:val="20"/>
              </w:rPr>
              <w:lastRenderedPageBreak/>
              <w:t xml:space="preserve">системы (2018 - 2026 годы)» - </w:t>
            </w:r>
            <w:r w:rsidR="00391068" w:rsidRPr="00074598">
              <w:rPr>
                <w:bCs/>
                <w:sz w:val="20"/>
              </w:rPr>
              <w:t>27,1</w:t>
            </w:r>
            <w:r w:rsidRPr="00074598">
              <w:rPr>
                <w:bCs/>
                <w:sz w:val="20"/>
              </w:rPr>
              <w:t xml:space="preserve"> % показателя сводной росписи с изменениями. Следует отметить, что бюджетные ассигнования </w:t>
            </w:r>
            <w:proofErr w:type="gramStart"/>
            <w:r w:rsidRPr="00074598">
              <w:rPr>
                <w:bCs/>
                <w:sz w:val="20"/>
              </w:rPr>
              <w:t>по</w:t>
            </w:r>
            <w:proofErr w:type="gramEnd"/>
            <w:r w:rsidRPr="00074598">
              <w:rPr>
                <w:bCs/>
                <w:sz w:val="20"/>
              </w:rPr>
              <w:t xml:space="preserve"> указанной ФЦП в отчетном периоде 2020 года были увеличены в 2,1 раза и составили 5 015,4 млн. рублей. </w:t>
            </w:r>
          </w:p>
          <w:p w:rsidR="00614DEE" w:rsidRPr="00074598" w:rsidRDefault="00341D22" w:rsidP="00F12CDA">
            <w:pPr>
              <w:spacing w:line="240" w:lineRule="auto"/>
              <w:ind w:left="0" w:right="-1" w:firstLine="318"/>
              <w:rPr>
                <w:sz w:val="20"/>
              </w:rPr>
            </w:pPr>
            <w:proofErr w:type="gramStart"/>
            <w:r>
              <w:rPr>
                <w:bCs/>
                <w:sz w:val="20"/>
              </w:rPr>
              <w:t>И</w:t>
            </w:r>
            <w:r w:rsidR="00614DEE" w:rsidRPr="00074598">
              <w:rPr>
                <w:bCs/>
                <w:sz w:val="20"/>
              </w:rPr>
              <w:t>сполнение расходов по госпрограмме, в том числе, осуществлено за счет доходов, полученных от приносящей доход деятельности федеральными казенными учреждениями, исполняющими наказания в виде лишения свободы, в результате осуществления ими собственной производственной деятельности, которые в соответствии с пунктом 10 статьи 241 Бюджетного кодекса Российской Федерации направляются на финансовое обеспечение осуществления функций указанных казенных учреждений сверх бюджетных ассигнований, предусмотренных в федеральном бюджете</w:t>
            </w:r>
            <w:proofErr w:type="gramEnd"/>
          </w:p>
        </w:tc>
      </w:tr>
      <w:tr w:rsidR="00614DEE" w:rsidRPr="00F46B26" w:rsidTr="00307AC2">
        <w:tc>
          <w:tcPr>
            <w:tcW w:w="567" w:type="dxa"/>
          </w:tcPr>
          <w:p w:rsidR="00614DEE" w:rsidRPr="00F46B26" w:rsidRDefault="00734A8C" w:rsidP="00257B43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3</w:t>
            </w:r>
            <w:r w:rsidR="00257B43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2269" w:type="dxa"/>
          </w:tcPr>
          <w:p w:rsidR="00614DEE" w:rsidRPr="00C3708E" w:rsidRDefault="00614DEE" w:rsidP="004230CC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C3708E">
              <w:rPr>
                <w:sz w:val="20"/>
                <w:szCs w:val="24"/>
              </w:rPr>
              <w:t>«Социально-экономическое развитие Арктической зоны Российской Федерации»</w:t>
            </w:r>
          </w:p>
        </w:tc>
        <w:tc>
          <w:tcPr>
            <w:tcW w:w="8079" w:type="dxa"/>
          </w:tcPr>
          <w:p w:rsidR="001919EE" w:rsidRPr="00074598" w:rsidRDefault="00614DEE" w:rsidP="001919EE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sz w:val="20"/>
              </w:rPr>
              <w:t xml:space="preserve"> </w:t>
            </w:r>
            <w:r w:rsidRPr="00074598">
              <w:rPr>
                <w:b/>
                <w:sz w:val="20"/>
                <w:szCs w:val="24"/>
              </w:rPr>
              <w:t>«Социально-экономическое развитие Арктической зоны Российской Федерации»</w:t>
            </w:r>
            <w:r w:rsidRPr="00074598">
              <w:rPr>
                <w:sz w:val="20"/>
              </w:rPr>
              <w:t xml:space="preserve"> </w:t>
            </w:r>
            <w:r w:rsidRPr="00074598">
              <w:rPr>
                <w:sz w:val="20"/>
                <w:szCs w:val="24"/>
              </w:rPr>
              <w:t>исполнение расходов составило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293825" w:rsidRPr="00074598">
              <w:rPr>
                <w:bCs/>
                <w:sz w:val="20"/>
                <w:szCs w:val="20"/>
                <w:lang w:eastAsia="en-US"/>
              </w:rPr>
              <w:t>32,7</w:t>
            </w:r>
            <w:r w:rsidRPr="00074598">
              <w:rPr>
                <w:bCs/>
                <w:sz w:val="20"/>
                <w:szCs w:val="20"/>
                <w:lang w:eastAsia="en-US"/>
              </w:rPr>
              <w:t> % показателя сводной росписи с изменениями</w:t>
            </w:r>
            <w:r w:rsidR="001919EE" w:rsidRPr="00074598">
              <w:rPr>
                <w:sz w:val="20"/>
                <w:szCs w:val="24"/>
              </w:rPr>
              <w:t xml:space="preserve">, </w:t>
            </w:r>
            <w:r w:rsidR="001919EE" w:rsidRPr="00074598">
              <w:rPr>
                <w:bCs/>
                <w:sz w:val="20"/>
                <w:szCs w:val="24"/>
              </w:rPr>
              <w:t>что выше уровня исполнения за соответствующий период 2019 года (</w:t>
            </w:r>
            <w:r w:rsidR="001919EE">
              <w:rPr>
                <w:bCs/>
                <w:sz w:val="20"/>
                <w:szCs w:val="24"/>
              </w:rPr>
              <w:t>29,9</w:t>
            </w:r>
            <w:r w:rsidR="001919EE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DB29AE" w:rsidRPr="00074598" w:rsidRDefault="00DB29AE" w:rsidP="00471458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Сводной бюджетной росписью на 1 октября 2020 года бюджетные ассигнования увеличены на 226,2 млн. рублей, или в 2,4 раза, и составили 391,4 млн. рублей.</w:t>
            </w:r>
          </w:p>
          <w:p w:rsidR="00DB29AE" w:rsidRPr="00074598" w:rsidRDefault="00DB29AE" w:rsidP="00DB29AE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 рамках госпрограммы предусмотрены:</w:t>
            </w:r>
          </w:p>
          <w:p w:rsidR="00DB29AE" w:rsidRPr="00074598" w:rsidRDefault="00DB29AE" w:rsidP="00DB29AE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субсидия федеральному автономному научному учреждению «Восточный центр государственного планирования» (ФАНУ «</w:t>
            </w:r>
            <w:proofErr w:type="spellStart"/>
            <w:r w:rsidRPr="00074598">
              <w:rPr>
                <w:bCs/>
                <w:sz w:val="20"/>
                <w:szCs w:val="20"/>
                <w:lang w:eastAsia="en-US"/>
              </w:rPr>
              <w:t>Востокгосплан</w:t>
            </w:r>
            <w:proofErr w:type="spellEnd"/>
            <w:r w:rsidRPr="00074598">
              <w:rPr>
                <w:bCs/>
                <w:sz w:val="20"/>
                <w:szCs w:val="20"/>
                <w:lang w:eastAsia="en-US"/>
              </w:rPr>
              <w:t>») на выполнение работ в объеме 85,0 млн. рублей, кассовое исполнение составило 63,75 млн. рублей, или 75 %;</w:t>
            </w:r>
          </w:p>
          <w:p w:rsidR="00DB29AE" w:rsidRPr="00074598" w:rsidRDefault="00DB29AE" w:rsidP="00DB29AE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субсидия автономной некоммерческой организации «Информационно-аналитический центр Государственной комиссии по вопросам развития Арктики» на финансовое обеспечение ее деятельности в объеме 114,9 млн. рублей, кассовое исполнение составило 43,2 млн. рублей, или 37,6 %;</w:t>
            </w:r>
          </w:p>
          <w:p w:rsidR="002E7F11" w:rsidRPr="00074598" w:rsidRDefault="00DB29AE" w:rsidP="00DB29AE">
            <w:pPr>
              <w:spacing w:line="240" w:lineRule="auto"/>
              <w:ind w:left="0" w:right="-1" w:firstLine="318"/>
              <w:rPr>
                <w:sz w:val="20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субсидия автономной некоммерческой организации «Агентство по развитию человеческого капитала на Дальнем Востоке и в Арктике» на финансовое обеспечение ее деятельности в объеме 80,1 млн. рублей, кассовое исполнение составило 21,0 млн. рублей, или 26,4 %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E558B9" w:rsidRDefault="00734A8C" w:rsidP="00257B43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  <w:r w:rsidR="00257B43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</w:tcPr>
          <w:p w:rsidR="00614DEE" w:rsidRPr="00E558B9" w:rsidRDefault="00614DEE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E558B9">
              <w:rPr>
                <w:sz w:val="20"/>
                <w:szCs w:val="24"/>
              </w:rPr>
              <w:t xml:space="preserve">«Социально-экономическое развитие Республики Крым и г. Севастополя» </w:t>
            </w:r>
          </w:p>
        </w:tc>
        <w:tc>
          <w:tcPr>
            <w:tcW w:w="8079" w:type="dxa"/>
          </w:tcPr>
          <w:p w:rsidR="001919EE" w:rsidRPr="00074598" w:rsidRDefault="00614DEE" w:rsidP="001919EE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Реализация госпрограммы </w:t>
            </w:r>
            <w:r w:rsidRPr="00074598">
              <w:rPr>
                <w:b/>
                <w:sz w:val="20"/>
              </w:rPr>
              <w:t>«Социально-экономическое развитие Республики Крым и г. Севастополя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осуществляется в рамках ФЦП «Социально-экономическое развитие Республики Крым и г. Севастополя до 2022 года». Кассовое исполнение по указанной ФЦП составило </w:t>
            </w:r>
            <w:r w:rsidR="008D1233" w:rsidRPr="00074598">
              <w:rPr>
                <w:bCs/>
                <w:sz w:val="20"/>
                <w:szCs w:val="20"/>
                <w:lang w:eastAsia="en-US"/>
              </w:rPr>
              <w:t>48,8</w:t>
            </w:r>
            <w:r w:rsidRPr="00074598">
              <w:rPr>
                <w:bCs/>
                <w:sz w:val="20"/>
                <w:szCs w:val="20"/>
                <w:lang w:eastAsia="en-US"/>
              </w:rPr>
              <w:t> % показателя сводной росписи с изменениями</w:t>
            </w:r>
            <w:r w:rsidR="001919EE" w:rsidRPr="00074598">
              <w:rPr>
                <w:sz w:val="20"/>
                <w:szCs w:val="24"/>
              </w:rPr>
              <w:t xml:space="preserve">, </w:t>
            </w:r>
            <w:r w:rsidR="001919EE" w:rsidRPr="00074598">
              <w:rPr>
                <w:bCs/>
                <w:sz w:val="20"/>
                <w:szCs w:val="24"/>
              </w:rPr>
              <w:t>что выше уровня исполнения за соответствующий период 2019 года (</w:t>
            </w:r>
            <w:r w:rsidR="001919EE">
              <w:rPr>
                <w:bCs/>
                <w:sz w:val="20"/>
                <w:szCs w:val="24"/>
              </w:rPr>
              <w:t>44,3</w:t>
            </w:r>
            <w:r w:rsidR="001919EE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153949" w:rsidRPr="00074598" w:rsidRDefault="005460FE" w:rsidP="0015394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Исполнение расходов по указанной госпрограмме осуществляется 9 главными распорядителями средств федерального бюджета. </w:t>
            </w:r>
            <w:r w:rsidR="00153949" w:rsidRPr="00074598">
              <w:rPr>
                <w:bCs/>
                <w:sz w:val="20"/>
                <w:szCs w:val="20"/>
                <w:lang w:eastAsia="en-US"/>
              </w:rPr>
              <w:t xml:space="preserve">По состоянию на 1 октября 2020 года </w:t>
            </w:r>
            <w:r w:rsidRPr="00074598">
              <w:rPr>
                <w:bCs/>
                <w:sz w:val="20"/>
                <w:szCs w:val="20"/>
                <w:lang w:eastAsia="en-US"/>
              </w:rPr>
              <w:t>не осуществлялось</w:t>
            </w:r>
            <w:r w:rsidR="00153949" w:rsidRPr="00074598">
              <w:rPr>
                <w:bCs/>
                <w:sz w:val="20"/>
                <w:szCs w:val="20"/>
                <w:lang w:eastAsia="en-US"/>
              </w:rPr>
              <w:t xml:space="preserve"> исполнения расходов по Минздраву России.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Низкий уровень исполнения отмечается </w:t>
            </w:r>
            <w:r w:rsidR="00153949" w:rsidRPr="00074598">
              <w:rPr>
                <w:bCs/>
                <w:sz w:val="20"/>
                <w:szCs w:val="20"/>
                <w:lang w:eastAsia="en-US"/>
              </w:rPr>
              <w:t xml:space="preserve">по 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Минкультуры России - 0,6 % показателя сводной росписи с изменениями, по </w:t>
            </w:r>
            <w:proofErr w:type="spellStart"/>
            <w:r w:rsidR="00153949" w:rsidRPr="00074598">
              <w:rPr>
                <w:bCs/>
                <w:sz w:val="20"/>
                <w:szCs w:val="20"/>
                <w:lang w:eastAsia="en-US"/>
              </w:rPr>
              <w:t>Минобрнауки</w:t>
            </w:r>
            <w:proofErr w:type="spellEnd"/>
            <w:r w:rsidR="00153949" w:rsidRPr="00074598">
              <w:rPr>
                <w:bCs/>
                <w:sz w:val="20"/>
                <w:szCs w:val="20"/>
                <w:lang w:eastAsia="en-US"/>
              </w:rPr>
              <w:t xml:space="preserve"> России </w:t>
            </w:r>
            <w:r w:rsidRPr="00074598">
              <w:rPr>
                <w:bCs/>
                <w:sz w:val="20"/>
                <w:szCs w:val="20"/>
                <w:lang w:eastAsia="en-US"/>
              </w:rPr>
              <w:t>–5,4 %</w:t>
            </w:r>
            <w:r w:rsidR="00153949" w:rsidRPr="00074598">
              <w:rPr>
                <w:bCs/>
                <w:sz w:val="20"/>
                <w:szCs w:val="20"/>
                <w:lang w:eastAsia="en-US"/>
              </w:rPr>
              <w:t xml:space="preserve">, 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по </w:t>
            </w:r>
            <w:proofErr w:type="spellStart"/>
            <w:r w:rsidR="00153949" w:rsidRPr="00074598">
              <w:rPr>
                <w:bCs/>
                <w:sz w:val="20"/>
                <w:szCs w:val="20"/>
                <w:lang w:eastAsia="en-US"/>
              </w:rPr>
              <w:t>Минпросвещения</w:t>
            </w:r>
            <w:proofErr w:type="spellEnd"/>
            <w:r w:rsidR="00153949" w:rsidRPr="00074598">
              <w:rPr>
                <w:bCs/>
                <w:sz w:val="20"/>
                <w:szCs w:val="20"/>
                <w:lang w:eastAsia="en-US"/>
              </w:rPr>
              <w:t xml:space="preserve"> России – 10,7 %.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153949" w:rsidRPr="00074598">
              <w:rPr>
                <w:bCs/>
                <w:sz w:val="20"/>
                <w:szCs w:val="20"/>
                <w:lang w:eastAsia="en-US"/>
              </w:rPr>
              <w:t xml:space="preserve">Кассовое исполнение расходов государственным заказчиком-координатором Минэкономразвития России составило 47 235,2 млн. рублей, или 53,9 % </w:t>
            </w:r>
            <w:r w:rsidRPr="00074598">
              <w:rPr>
                <w:bCs/>
                <w:sz w:val="20"/>
                <w:szCs w:val="20"/>
                <w:lang w:eastAsia="en-US"/>
              </w:rPr>
              <w:t>показателя</w:t>
            </w:r>
            <w:r w:rsidR="00153949" w:rsidRPr="00074598">
              <w:rPr>
                <w:bCs/>
                <w:sz w:val="20"/>
                <w:szCs w:val="20"/>
                <w:lang w:eastAsia="en-US"/>
              </w:rPr>
              <w:t xml:space="preserve"> сводной росписи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с изменениями</w:t>
            </w:r>
            <w:r w:rsidR="00153949" w:rsidRPr="00074598">
              <w:rPr>
                <w:bCs/>
                <w:sz w:val="20"/>
                <w:szCs w:val="20"/>
                <w:lang w:eastAsia="en-US"/>
              </w:rPr>
              <w:t>.</w:t>
            </w:r>
          </w:p>
          <w:p w:rsidR="00153949" w:rsidRPr="00074598" w:rsidRDefault="00153949" w:rsidP="0015394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Наибольшую долю (87 521,1 млн. рублей, или 72,3 %) в объеме расходов по госпрограмме состав</w:t>
            </w:r>
            <w:r w:rsidR="005460FE" w:rsidRPr="00074598">
              <w:rPr>
                <w:bCs/>
                <w:sz w:val="20"/>
                <w:szCs w:val="20"/>
                <w:lang w:eastAsia="en-US"/>
              </w:rPr>
              <w:t>ляют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субсидии на реализацию мероприятий </w:t>
            </w:r>
            <w:r w:rsidR="005460FE" w:rsidRPr="00074598">
              <w:rPr>
                <w:bCs/>
                <w:sz w:val="20"/>
                <w:szCs w:val="20"/>
                <w:lang w:eastAsia="en-US"/>
              </w:rPr>
              <w:t>ФЦП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«Социально-экономическое развитие Республики Крым и г. Севастополя до 2022 года».</w:t>
            </w:r>
          </w:p>
          <w:p w:rsidR="00153949" w:rsidRPr="00074598" w:rsidRDefault="00153949" w:rsidP="0015394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Кассовое исполнение по межбюджетным трансфертам по госпрограмме составило 47</w:t>
            </w:r>
            <w:r w:rsidR="005460FE"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165,8 млн. рублей, или 53,9 % </w:t>
            </w:r>
            <w:r w:rsidR="005460FE" w:rsidRPr="00074598">
              <w:rPr>
                <w:bCs/>
                <w:sz w:val="20"/>
                <w:szCs w:val="20"/>
                <w:lang w:eastAsia="en-US"/>
              </w:rPr>
              <w:t>показателя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сводной роспис</w:t>
            </w:r>
            <w:r w:rsidR="005460FE" w:rsidRPr="00074598">
              <w:rPr>
                <w:bCs/>
                <w:sz w:val="20"/>
                <w:szCs w:val="20"/>
                <w:lang w:eastAsia="en-US"/>
              </w:rPr>
              <w:t>и с изменениями</w:t>
            </w:r>
            <w:r w:rsidRPr="00074598">
              <w:rPr>
                <w:bCs/>
                <w:sz w:val="20"/>
                <w:szCs w:val="20"/>
                <w:lang w:eastAsia="en-US"/>
              </w:rPr>
              <w:t>.</w:t>
            </w:r>
          </w:p>
          <w:p w:rsidR="00153949" w:rsidRPr="00074598" w:rsidRDefault="005460FE" w:rsidP="00153949">
            <w:pPr>
              <w:spacing w:line="240" w:lineRule="auto"/>
              <w:ind w:left="0" w:right="-1" w:firstLine="318"/>
              <w:rPr>
                <w:bCs/>
                <w:sz w:val="20"/>
                <w:szCs w:val="20"/>
                <w:lang w:eastAsia="en-US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В рамках</w:t>
            </w:r>
            <w:r w:rsidR="00153949" w:rsidRPr="00074598">
              <w:rPr>
                <w:bCs/>
                <w:sz w:val="20"/>
                <w:szCs w:val="20"/>
                <w:lang w:eastAsia="en-US"/>
              </w:rPr>
              <w:t xml:space="preserve"> госпрограмм</w:t>
            </w:r>
            <w:r w:rsidRPr="00074598">
              <w:rPr>
                <w:bCs/>
                <w:sz w:val="20"/>
                <w:szCs w:val="20"/>
                <w:lang w:eastAsia="en-US"/>
              </w:rPr>
              <w:t>ы</w:t>
            </w:r>
            <w:r w:rsidR="00153949" w:rsidRPr="00074598">
              <w:rPr>
                <w:bCs/>
                <w:sz w:val="20"/>
                <w:szCs w:val="20"/>
                <w:lang w:eastAsia="en-US"/>
              </w:rPr>
              <w:t xml:space="preserve"> сводной росписью предусмотрен взнос в уставный капитал акционерного общества «</w:t>
            </w:r>
            <w:proofErr w:type="spellStart"/>
            <w:r w:rsidR="00153949" w:rsidRPr="00074598">
              <w:rPr>
                <w:bCs/>
                <w:sz w:val="20"/>
                <w:szCs w:val="20"/>
                <w:lang w:eastAsia="en-US"/>
              </w:rPr>
              <w:t>Крымэнерго</w:t>
            </w:r>
            <w:proofErr w:type="spellEnd"/>
            <w:r w:rsidR="00153949" w:rsidRPr="00074598">
              <w:rPr>
                <w:bCs/>
                <w:sz w:val="20"/>
                <w:szCs w:val="20"/>
                <w:lang w:eastAsia="en-US"/>
              </w:rPr>
              <w:t>», Республика Крым, г. Симферополь, в объеме 2</w:t>
            </w:r>
            <w:r w:rsidRPr="00074598">
              <w:rPr>
                <w:bCs/>
                <w:sz w:val="20"/>
                <w:szCs w:val="20"/>
                <w:lang w:eastAsia="en-US"/>
              </w:rPr>
              <w:t> </w:t>
            </w:r>
            <w:r w:rsidR="00153949" w:rsidRPr="00074598">
              <w:rPr>
                <w:bCs/>
                <w:sz w:val="20"/>
                <w:szCs w:val="20"/>
                <w:lang w:eastAsia="en-US"/>
              </w:rPr>
              <w:t>402,1 млн. рублей, кассовое исполнение составило 1 828,2 млн. рублей, или 76,1 %.</w:t>
            </w:r>
          </w:p>
          <w:p w:rsidR="00614DEE" w:rsidRPr="00074598" w:rsidRDefault="00153949" w:rsidP="005460FE">
            <w:pPr>
              <w:spacing w:line="240" w:lineRule="auto"/>
              <w:ind w:left="0" w:right="-1" w:firstLine="318"/>
              <w:rPr>
                <w:sz w:val="20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Также предусмотрен имущественный взнос Российской Федерации в автономную некоммерческую организацию «Дирекция по управлению федеральной целевой программой «Социально-экономическое развитие Республики Крым и г. Севастополя до 2020 года» в объеме 129,6 млн. рублей, кассовое исполнение составило 69,4 млн. рублей (53,6 %)</w:t>
            </w:r>
          </w:p>
        </w:tc>
      </w:tr>
      <w:tr w:rsidR="00614DEE" w:rsidRPr="00F46B26" w:rsidTr="00307AC2">
        <w:tc>
          <w:tcPr>
            <w:tcW w:w="567" w:type="dxa"/>
          </w:tcPr>
          <w:p w:rsidR="00614DEE" w:rsidRPr="004F6097" w:rsidRDefault="00734A8C" w:rsidP="00257B43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  <w:r w:rsidR="00257B43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</w:tcPr>
          <w:p w:rsidR="00614DEE" w:rsidRPr="002E4835" w:rsidRDefault="00614DEE" w:rsidP="00794911">
            <w:pPr>
              <w:spacing w:line="240" w:lineRule="auto"/>
              <w:ind w:left="0" w:right="0" w:firstLine="0"/>
              <w:rPr>
                <w:sz w:val="20"/>
                <w:szCs w:val="24"/>
              </w:rPr>
            </w:pPr>
            <w:r w:rsidRPr="002E4835">
              <w:rPr>
                <w:sz w:val="20"/>
                <w:szCs w:val="24"/>
              </w:rPr>
              <w:t>«Реализация государственной национальной политики»</w:t>
            </w:r>
          </w:p>
        </w:tc>
        <w:tc>
          <w:tcPr>
            <w:tcW w:w="8079" w:type="dxa"/>
          </w:tcPr>
          <w:p w:rsidR="001919EE" w:rsidRPr="00074598" w:rsidRDefault="00614DEE" w:rsidP="001919EE">
            <w:pPr>
              <w:widowControl w:val="0"/>
              <w:spacing w:line="240" w:lineRule="auto"/>
              <w:ind w:left="34" w:right="-1" w:firstLine="318"/>
              <w:rPr>
                <w:bCs/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 xml:space="preserve">По госпрограмме </w:t>
            </w:r>
            <w:r w:rsidRPr="00074598">
              <w:rPr>
                <w:b/>
                <w:sz w:val="20"/>
                <w:szCs w:val="24"/>
              </w:rPr>
              <w:t>«Реализация государственной национальной политики»</w:t>
            </w:r>
            <w:r w:rsidRPr="00074598">
              <w:rPr>
                <w:sz w:val="20"/>
                <w:szCs w:val="24"/>
              </w:rPr>
              <w:t xml:space="preserve"> исполнение расходов составило</w:t>
            </w:r>
            <w:r w:rsidRPr="0007459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A65316" w:rsidRPr="00074598">
              <w:rPr>
                <w:bCs/>
                <w:sz w:val="20"/>
                <w:szCs w:val="20"/>
                <w:lang w:eastAsia="en-US"/>
              </w:rPr>
              <w:t>37,6</w:t>
            </w:r>
            <w:r w:rsidRPr="00074598">
              <w:rPr>
                <w:bCs/>
                <w:sz w:val="20"/>
                <w:szCs w:val="20"/>
                <w:lang w:eastAsia="en-US"/>
              </w:rPr>
              <w:t> % показателя сводной росписи с изменениями</w:t>
            </w:r>
            <w:r w:rsidR="001919EE" w:rsidRPr="00074598">
              <w:rPr>
                <w:sz w:val="20"/>
                <w:szCs w:val="24"/>
              </w:rPr>
              <w:t xml:space="preserve">, </w:t>
            </w:r>
            <w:r w:rsidR="001919EE" w:rsidRPr="00074598">
              <w:rPr>
                <w:bCs/>
                <w:sz w:val="20"/>
                <w:szCs w:val="24"/>
              </w:rPr>
              <w:t xml:space="preserve">что </w:t>
            </w:r>
            <w:r w:rsidR="001919EE">
              <w:rPr>
                <w:bCs/>
                <w:sz w:val="20"/>
                <w:szCs w:val="24"/>
              </w:rPr>
              <w:t>ниже</w:t>
            </w:r>
            <w:r w:rsidR="001919EE" w:rsidRPr="00074598">
              <w:rPr>
                <w:bCs/>
                <w:sz w:val="20"/>
                <w:szCs w:val="24"/>
              </w:rPr>
              <w:t xml:space="preserve"> уровня исполнения за соответствующий период 2019 года (</w:t>
            </w:r>
            <w:r w:rsidR="001919EE">
              <w:rPr>
                <w:bCs/>
                <w:sz w:val="20"/>
                <w:szCs w:val="24"/>
              </w:rPr>
              <w:t>39,7</w:t>
            </w:r>
            <w:r w:rsidR="001919EE" w:rsidRPr="00074598">
              <w:rPr>
                <w:bCs/>
                <w:sz w:val="20"/>
                <w:szCs w:val="24"/>
              </w:rPr>
              <w:t xml:space="preserve"> %). </w:t>
            </w:r>
          </w:p>
          <w:p w:rsidR="00A653AD" w:rsidRPr="00074598" w:rsidRDefault="00A653AD" w:rsidP="00BD5042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>Сводной росписью</w:t>
            </w:r>
            <w:r w:rsidR="004F6097" w:rsidRPr="00074598">
              <w:rPr>
                <w:sz w:val="20"/>
                <w:szCs w:val="24"/>
              </w:rPr>
              <w:t xml:space="preserve"> с изменениями</w:t>
            </w:r>
            <w:r w:rsidRPr="00074598">
              <w:rPr>
                <w:sz w:val="20"/>
                <w:szCs w:val="24"/>
              </w:rPr>
              <w:t xml:space="preserve"> бюджетные ассигнования по госпрограмме </w:t>
            </w:r>
            <w:r w:rsidRPr="00074598">
              <w:rPr>
                <w:sz w:val="20"/>
                <w:szCs w:val="24"/>
              </w:rPr>
              <w:lastRenderedPageBreak/>
              <w:t xml:space="preserve">предусмотрены 6 главным распорядителям средств федерального бюджета (Минкультуры России, Роспечать, </w:t>
            </w:r>
            <w:proofErr w:type="spellStart"/>
            <w:r w:rsidRPr="00074598">
              <w:rPr>
                <w:sz w:val="20"/>
                <w:szCs w:val="24"/>
              </w:rPr>
              <w:t>Росмолодежи</w:t>
            </w:r>
            <w:proofErr w:type="spellEnd"/>
            <w:r w:rsidRPr="00074598">
              <w:rPr>
                <w:sz w:val="20"/>
                <w:szCs w:val="24"/>
              </w:rPr>
              <w:t>, МВД России, Управление делами Президента Росси</w:t>
            </w:r>
            <w:r w:rsidR="004230CC" w:rsidRPr="00074598">
              <w:rPr>
                <w:sz w:val="20"/>
                <w:szCs w:val="24"/>
              </w:rPr>
              <w:t>йской Федерации</w:t>
            </w:r>
            <w:r w:rsidRPr="00074598">
              <w:rPr>
                <w:sz w:val="20"/>
                <w:szCs w:val="24"/>
              </w:rPr>
              <w:t>, ФАДН</w:t>
            </w:r>
            <w:r w:rsidR="00BD5042" w:rsidRPr="00074598">
              <w:rPr>
                <w:sz w:val="20"/>
                <w:szCs w:val="24"/>
              </w:rPr>
              <w:t xml:space="preserve"> России</w:t>
            </w:r>
            <w:r w:rsidRPr="00074598">
              <w:rPr>
                <w:sz w:val="20"/>
                <w:szCs w:val="24"/>
              </w:rPr>
              <w:t>).</w:t>
            </w:r>
          </w:p>
          <w:p w:rsidR="00A653AD" w:rsidRPr="00074598" w:rsidRDefault="00A653AD" w:rsidP="00BD5042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В отчетном периоде </w:t>
            </w:r>
            <w:r w:rsidR="004F6097" w:rsidRPr="00074598">
              <w:rPr>
                <w:sz w:val="20"/>
                <w:szCs w:val="24"/>
              </w:rPr>
              <w:t>не осуществлялись расходы</w:t>
            </w:r>
            <w:r w:rsidRPr="00074598">
              <w:rPr>
                <w:sz w:val="20"/>
                <w:szCs w:val="24"/>
              </w:rPr>
              <w:t xml:space="preserve"> по государственным заказчикам </w:t>
            </w:r>
            <w:proofErr w:type="spellStart"/>
            <w:r w:rsidRPr="00074598">
              <w:rPr>
                <w:sz w:val="20"/>
                <w:szCs w:val="24"/>
              </w:rPr>
              <w:t>Росмолодеж</w:t>
            </w:r>
            <w:r w:rsidR="00406A1C">
              <w:rPr>
                <w:sz w:val="20"/>
                <w:szCs w:val="24"/>
              </w:rPr>
              <w:t>ью</w:t>
            </w:r>
            <w:proofErr w:type="spellEnd"/>
            <w:r w:rsidRPr="00074598">
              <w:rPr>
                <w:sz w:val="20"/>
                <w:szCs w:val="24"/>
              </w:rPr>
              <w:t>, Управлению делами Президента России.</w:t>
            </w:r>
          </w:p>
          <w:p w:rsidR="00A65316" w:rsidRPr="00074598" w:rsidRDefault="00A65316" w:rsidP="00A65316">
            <w:pPr>
              <w:spacing w:line="240" w:lineRule="auto"/>
              <w:ind w:left="0" w:right="0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>На низком уровне осуществлялось кассо</w:t>
            </w:r>
            <w:r w:rsidR="00563E3B">
              <w:rPr>
                <w:sz w:val="20"/>
                <w:szCs w:val="24"/>
              </w:rPr>
              <w:t>вое исполнение Роспечатью – 5,5 </w:t>
            </w:r>
            <w:r w:rsidRPr="00074598">
              <w:rPr>
                <w:sz w:val="20"/>
                <w:szCs w:val="24"/>
              </w:rPr>
              <w:t>%, Минкультуры России – 5,2 %, ФАДН России – 37,8 %.</w:t>
            </w:r>
          </w:p>
          <w:p w:rsidR="00A65316" w:rsidRPr="00074598" w:rsidRDefault="00A65316" w:rsidP="00A65316">
            <w:pPr>
              <w:spacing w:line="240" w:lineRule="auto"/>
              <w:ind w:left="0" w:right="0" w:firstLine="318"/>
              <w:rPr>
                <w:sz w:val="20"/>
              </w:rPr>
            </w:pPr>
            <w:proofErr w:type="gramStart"/>
            <w:r w:rsidRPr="00074598">
              <w:rPr>
                <w:sz w:val="20"/>
                <w:szCs w:val="24"/>
              </w:rPr>
              <w:t>Сложившийся уровень исполнения расходов федерального бюджета по госпрограмме обусловлен следующими основными причинами: длительностью проведения процедур подачи и рассмотрения заявок от некоммерческих организаций в рамках реализации мероприятий, направленных на поддержку некоммерческих организаций в сфере духовно-просветительской деятельности; перечислением межбюджетных трансфертов в пределах сумм, необходимых для оплаты денежных обязательств по расходам получателей средств бюджета субъекта Российской Федерации;</w:t>
            </w:r>
            <w:proofErr w:type="gramEnd"/>
            <w:r w:rsidRPr="00074598">
              <w:rPr>
                <w:sz w:val="20"/>
                <w:szCs w:val="24"/>
              </w:rPr>
              <w:t xml:space="preserve"> отменой массовых мероприятий в связи с ограничениями, связанными с </w:t>
            </w:r>
            <w:proofErr w:type="spellStart"/>
            <w:r w:rsidRPr="00074598">
              <w:rPr>
                <w:sz w:val="20"/>
                <w:szCs w:val="24"/>
              </w:rPr>
              <w:t>эпидимиологической</w:t>
            </w:r>
            <w:proofErr w:type="spellEnd"/>
            <w:r w:rsidRPr="00074598">
              <w:rPr>
                <w:sz w:val="20"/>
                <w:szCs w:val="24"/>
              </w:rPr>
              <w:t xml:space="preserve"> ситуацией; оплатой работ, услуг «по факту» в соответствии с условиями заключенных государственных контрактов; длительностью проведения конкурсных процедур</w:t>
            </w:r>
          </w:p>
        </w:tc>
      </w:tr>
      <w:tr w:rsidR="00307AC2" w:rsidRPr="00074598" w:rsidTr="00307AC2">
        <w:tc>
          <w:tcPr>
            <w:tcW w:w="567" w:type="dxa"/>
          </w:tcPr>
          <w:p w:rsidR="00307AC2" w:rsidRPr="00110E1E" w:rsidRDefault="00257B43" w:rsidP="007410BF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269" w:type="dxa"/>
          </w:tcPr>
          <w:p w:rsidR="00307AC2" w:rsidRPr="00110E1E" w:rsidRDefault="00307AC2" w:rsidP="007410BF">
            <w:pPr>
              <w:spacing w:line="240" w:lineRule="auto"/>
              <w:ind w:left="0" w:right="0" w:firstLine="0"/>
              <w:rPr>
                <w:bCs/>
                <w:sz w:val="20"/>
                <w:szCs w:val="24"/>
              </w:rPr>
            </w:pPr>
            <w:r w:rsidRPr="00110E1E">
              <w:rPr>
                <w:bCs/>
                <w:sz w:val="20"/>
                <w:szCs w:val="24"/>
              </w:rPr>
              <w:t>«Комплексное развитие сельских территорий»</w:t>
            </w:r>
          </w:p>
        </w:tc>
        <w:tc>
          <w:tcPr>
            <w:tcW w:w="8079" w:type="dxa"/>
          </w:tcPr>
          <w:p w:rsidR="00307AC2" w:rsidRPr="00074598" w:rsidRDefault="00307AC2" w:rsidP="007410BF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bCs/>
                <w:sz w:val="20"/>
                <w:szCs w:val="20"/>
                <w:lang w:eastAsia="en-US"/>
              </w:rPr>
              <w:t>По госпрограмме</w:t>
            </w:r>
            <w:r w:rsidRPr="00074598">
              <w:rPr>
                <w:bCs/>
                <w:sz w:val="20"/>
                <w:szCs w:val="24"/>
              </w:rPr>
              <w:t xml:space="preserve"> </w:t>
            </w:r>
            <w:r w:rsidRPr="00074598">
              <w:rPr>
                <w:b/>
                <w:bCs/>
                <w:sz w:val="20"/>
                <w:szCs w:val="24"/>
              </w:rPr>
              <w:t>«Комплексное развитие сельских территорий»</w:t>
            </w:r>
            <w:r w:rsidRPr="00074598">
              <w:rPr>
                <w:bCs/>
                <w:sz w:val="20"/>
                <w:szCs w:val="24"/>
              </w:rPr>
              <w:t xml:space="preserve"> </w:t>
            </w:r>
            <w:r w:rsidRPr="00074598">
              <w:rPr>
                <w:sz w:val="20"/>
                <w:szCs w:val="24"/>
              </w:rPr>
              <w:t xml:space="preserve">исполнение расходов составило 43,3 % показателя сводной росписи с изменениями. </w:t>
            </w:r>
          </w:p>
          <w:p w:rsidR="00307AC2" w:rsidRPr="00074598" w:rsidRDefault="00307AC2" w:rsidP="007410BF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Следует отметить, что межбюджетные трансферты по госпрограмме, на долю которых приходится 93,9 %, представлены одной субсидией на обеспечение комплексного развития сельских территорий. </w:t>
            </w:r>
          </w:p>
          <w:p w:rsidR="00307AC2" w:rsidRPr="00074598" w:rsidRDefault="00307AC2" w:rsidP="007410BF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В отчетном периоде по подпрограмме «Развитие рынка труда (кадрового потенциала) на сельских территориях» финансирование осуществлено на низком уровне (0,01 % показателя сводной росписи с изменениями). При этом бюджетные ассигнования были сокращены в 2 раза (с 606,0 до 306,0 млн. рублей) в рамках ведомственного проекта «Содействие занятости населению», основной объем которого предусмотрен на предоставление льготных </w:t>
            </w:r>
            <w:proofErr w:type="gramStart"/>
            <w:r w:rsidRPr="00074598">
              <w:rPr>
                <w:sz w:val="20"/>
                <w:szCs w:val="24"/>
              </w:rPr>
              <w:t>кредитов</w:t>
            </w:r>
            <w:proofErr w:type="gramEnd"/>
            <w:r w:rsidRPr="00074598">
              <w:rPr>
                <w:sz w:val="20"/>
                <w:szCs w:val="24"/>
              </w:rPr>
              <w:t xml:space="preserve"> на развитие инженерной и транспортной инфраструктуры, строительство жилых зданий  (с 500,0 до 200,0 млн. рублей). Исполнение расходов по указанному направлению в отчетном периоде не осуществлялось, в том числе в связи с корректировкой нормативного правового обеспечения. Правила предоставления указанных субсидий утверждены постановлением Правительства Российской Федерации от 24 декабря 2019 г. № 1804. Минсельхозом России разработан проект постановления Правительства Российской Федерации о внесении изменений в указанные Правила, </w:t>
            </w:r>
            <w:proofErr w:type="gramStart"/>
            <w:r w:rsidRPr="00074598">
              <w:rPr>
                <w:sz w:val="20"/>
                <w:szCs w:val="24"/>
              </w:rPr>
              <w:t>направленный</w:t>
            </w:r>
            <w:proofErr w:type="gramEnd"/>
            <w:r w:rsidRPr="00074598">
              <w:rPr>
                <w:sz w:val="20"/>
                <w:szCs w:val="24"/>
              </w:rPr>
              <w:t xml:space="preserve"> в том числе на расширение круга получателей субсидий, уточнение перечня лиц имеющих право на получение льготного кредита и другое. </w:t>
            </w:r>
          </w:p>
          <w:p w:rsidR="00307AC2" w:rsidRPr="00074598" w:rsidRDefault="00307AC2" w:rsidP="007410BF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>По данным Единого портала бюджетной системы, соглашения с юридическими лицами заключены лишь на 7,5 млн. рублей, или 3,4 % общего объема расходов по указанному направлению. При этом объем финансирования по соглашениям, первоначально заключенным в мае текущего года (109,2 млн. рублей), в ходе исполнения федерального бюджета был существенно скорректирован в сторону уменьшения в сентябре 2020 года.</w:t>
            </w:r>
          </w:p>
          <w:p w:rsidR="00307AC2" w:rsidRPr="00074598" w:rsidRDefault="00307AC2" w:rsidP="007410BF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Кроме того, по указанному ведомственному проекту предусмотрено субсидирование до 30 % фактически понесенных затрат по заключенным с работниками, проходящими обучение в ФГОУ </w:t>
            </w:r>
            <w:proofErr w:type="gramStart"/>
            <w:r w:rsidRPr="00074598">
              <w:rPr>
                <w:sz w:val="20"/>
                <w:szCs w:val="24"/>
              </w:rPr>
              <w:t>ВО</w:t>
            </w:r>
            <w:proofErr w:type="gramEnd"/>
            <w:r w:rsidRPr="00074598">
              <w:rPr>
                <w:sz w:val="20"/>
                <w:szCs w:val="24"/>
              </w:rPr>
              <w:t xml:space="preserve"> Минсельхоза России, ученическим договорам, а также с оплатой труда и проживанием студентов, обучающихся в ФГБОУ ВО Минсельхоза России, привлеченных для прохождения производственной практики. По состоянию на 1 октября 2020 года исполнение указанных расходов (КБК 082 0405 48</w:t>
            </w:r>
            <w:r w:rsidR="00406A1C">
              <w:rPr>
                <w:sz w:val="20"/>
                <w:szCs w:val="24"/>
              </w:rPr>
              <w:t> </w:t>
            </w:r>
            <w:r w:rsidRPr="00074598">
              <w:rPr>
                <w:sz w:val="20"/>
                <w:szCs w:val="24"/>
              </w:rPr>
              <w:t>3</w:t>
            </w:r>
            <w:r w:rsidR="00406A1C">
              <w:rPr>
                <w:sz w:val="20"/>
                <w:szCs w:val="24"/>
              </w:rPr>
              <w:t> </w:t>
            </w:r>
            <w:r w:rsidRPr="00074598">
              <w:rPr>
                <w:sz w:val="20"/>
                <w:szCs w:val="24"/>
              </w:rPr>
              <w:t>В</w:t>
            </w:r>
            <w:proofErr w:type="gramStart"/>
            <w:r w:rsidRPr="00074598">
              <w:rPr>
                <w:sz w:val="20"/>
                <w:szCs w:val="24"/>
              </w:rPr>
              <w:t>1</w:t>
            </w:r>
            <w:proofErr w:type="gramEnd"/>
            <w:r w:rsidR="00406A1C">
              <w:rPr>
                <w:sz w:val="20"/>
                <w:szCs w:val="24"/>
              </w:rPr>
              <w:t> </w:t>
            </w:r>
            <w:r w:rsidRPr="00074598">
              <w:rPr>
                <w:sz w:val="20"/>
                <w:szCs w:val="24"/>
              </w:rPr>
              <w:t>55760 521) не осуществлялось (3</w:t>
            </w:r>
            <w:r w:rsidR="00406A1C">
              <w:rPr>
                <w:sz w:val="20"/>
                <w:szCs w:val="24"/>
              </w:rPr>
              <w:t>3,4</w:t>
            </w:r>
            <w:r w:rsidRPr="00074598">
              <w:rPr>
                <w:sz w:val="20"/>
                <w:szCs w:val="24"/>
              </w:rPr>
              <w:t xml:space="preserve"> млн. рублей), по КБК 082 0709</w:t>
            </w:r>
            <w:r w:rsidR="00406A1C">
              <w:rPr>
                <w:sz w:val="20"/>
                <w:szCs w:val="24"/>
              </w:rPr>
              <w:t> </w:t>
            </w:r>
            <w:r w:rsidRPr="00074598">
              <w:rPr>
                <w:sz w:val="20"/>
                <w:szCs w:val="24"/>
              </w:rPr>
              <w:t>48</w:t>
            </w:r>
            <w:r w:rsidR="00406A1C">
              <w:rPr>
                <w:sz w:val="20"/>
                <w:szCs w:val="24"/>
              </w:rPr>
              <w:t> </w:t>
            </w:r>
            <w:r w:rsidRPr="00074598">
              <w:rPr>
                <w:sz w:val="20"/>
                <w:szCs w:val="24"/>
              </w:rPr>
              <w:t>3</w:t>
            </w:r>
            <w:r w:rsidR="00406A1C">
              <w:rPr>
                <w:sz w:val="20"/>
                <w:szCs w:val="24"/>
              </w:rPr>
              <w:t> </w:t>
            </w:r>
            <w:r w:rsidRPr="00074598">
              <w:rPr>
                <w:sz w:val="20"/>
                <w:szCs w:val="24"/>
              </w:rPr>
              <w:t>В1</w:t>
            </w:r>
            <w:r w:rsidR="00406A1C">
              <w:rPr>
                <w:sz w:val="20"/>
                <w:szCs w:val="24"/>
              </w:rPr>
              <w:t> </w:t>
            </w:r>
            <w:r w:rsidRPr="00074598">
              <w:rPr>
                <w:sz w:val="20"/>
                <w:szCs w:val="24"/>
              </w:rPr>
              <w:t xml:space="preserve">55760 составило </w:t>
            </w:r>
            <w:r w:rsidR="00406A1C">
              <w:rPr>
                <w:sz w:val="20"/>
                <w:szCs w:val="24"/>
              </w:rPr>
              <w:t>0,04</w:t>
            </w:r>
            <w:r w:rsidRPr="00074598">
              <w:rPr>
                <w:sz w:val="20"/>
                <w:szCs w:val="24"/>
              </w:rPr>
              <w:t xml:space="preserve"> % (0,03</w:t>
            </w:r>
            <w:r w:rsidR="00406A1C">
              <w:rPr>
                <w:sz w:val="20"/>
                <w:szCs w:val="24"/>
              </w:rPr>
              <w:t> </w:t>
            </w:r>
            <w:r w:rsidRPr="00074598">
              <w:rPr>
                <w:sz w:val="20"/>
                <w:szCs w:val="24"/>
              </w:rPr>
              <w:t>млн. рублей из 72,6 млн. рублей).</w:t>
            </w:r>
          </w:p>
          <w:p w:rsidR="00307AC2" w:rsidRPr="00074598" w:rsidRDefault="00307AC2" w:rsidP="007410BF">
            <w:pPr>
              <w:spacing w:line="240" w:lineRule="auto"/>
              <w:ind w:left="0" w:right="-1" w:firstLine="318"/>
              <w:rPr>
                <w:sz w:val="20"/>
                <w:szCs w:val="24"/>
              </w:rPr>
            </w:pPr>
            <w:r w:rsidRPr="00074598">
              <w:rPr>
                <w:sz w:val="20"/>
                <w:szCs w:val="24"/>
              </w:rPr>
              <w:t xml:space="preserve">По подпрограмме «Аналитическое, нормативное, методическое обеспечение комплексного развития сельских территорий» расходы на закупку товаров, работ, услуг в рамках двух ведомственных целевых программ, исполнены на уровне 3 %. По ВЦП «Обеспечение государственного мониторинга сельских территорий», на </w:t>
            </w:r>
            <w:proofErr w:type="gramStart"/>
            <w:r w:rsidRPr="00074598">
              <w:rPr>
                <w:sz w:val="20"/>
                <w:szCs w:val="24"/>
              </w:rPr>
              <w:t>долю</w:t>
            </w:r>
            <w:proofErr w:type="gramEnd"/>
            <w:r w:rsidRPr="00074598">
              <w:rPr>
                <w:sz w:val="20"/>
                <w:szCs w:val="24"/>
              </w:rPr>
              <w:t xml:space="preserve"> которой приходится основной объем расходов (300,0 млн. рублей), исполнение составило 3,4 % (государственные контракты заключены на 30 % общего объема расходов)</w:t>
            </w:r>
          </w:p>
        </w:tc>
      </w:tr>
    </w:tbl>
    <w:p w:rsidR="00257B43" w:rsidRDefault="00257B43" w:rsidP="00F65278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</w:p>
    <w:p w:rsidR="002011E8" w:rsidRDefault="002011E8" w:rsidP="00F65278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  <w:bookmarkStart w:id="0" w:name="_GoBack"/>
      <w:bookmarkEnd w:id="0"/>
    </w:p>
    <w:p w:rsidR="00F65278" w:rsidRPr="00F46B26" w:rsidRDefault="00F65278" w:rsidP="00F65278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  <w:r w:rsidRPr="00F46B26">
        <w:rPr>
          <w:rFonts w:eastAsia="Times New Roman"/>
          <w:sz w:val="24"/>
        </w:rPr>
        <w:lastRenderedPageBreak/>
        <w:t xml:space="preserve">Таблица </w:t>
      </w:r>
      <w:r w:rsidR="0043678A">
        <w:rPr>
          <w:rFonts w:eastAsia="Times New Roman"/>
          <w:sz w:val="24"/>
        </w:rPr>
        <w:t>3</w:t>
      </w:r>
    </w:p>
    <w:p w:rsidR="00F65278" w:rsidRPr="00F46B26" w:rsidRDefault="00F65278" w:rsidP="00F65278">
      <w:pPr>
        <w:spacing w:line="240" w:lineRule="auto"/>
        <w:ind w:left="0" w:right="0" w:firstLine="0"/>
        <w:jc w:val="right"/>
        <w:rPr>
          <w:rFonts w:eastAsia="Times New Roman"/>
          <w:b/>
          <w:sz w:val="24"/>
        </w:rPr>
      </w:pPr>
    </w:p>
    <w:p w:rsidR="00F65278" w:rsidRDefault="00F65278" w:rsidP="00F65278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  <w:r w:rsidRPr="00F46B26">
        <w:rPr>
          <w:rFonts w:eastAsia="Times New Roman"/>
          <w:b/>
          <w:sz w:val="24"/>
        </w:rPr>
        <w:t xml:space="preserve">Информация об исполнении бюджетных ассигнований на реализацию госпрограмм по направлениям реализации </w:t>
      </w:r>
      <w:r w:rsidR="00AB1895">
        <w:rPr>
          <w:rFonts w:eastAsia="Times New Roman"/>
          <w:b/>
          <w:sz w:val="24"/>
        </w:rPr>
        <w:t>за январь – </w:t>
      </w:r>
      <w:r w:rsidR="0000706E">
        <w:rPr>
          <w:rFonts w:eastAsia="Times New Roman"/>
          <w:b/>
          <w:sz w:val="24"/>
        </w:rPr>
        <w:t>сентябр</w:t>
      </w:r>
      <w:r w:rsidR="00AB1895">
        <w:rPr>
          <w:rFonts w:eastAsia="Times New Roman"/>
          <w:b/>
          <w:sz w:val="24"/>
        </w:rPr>
        <w:t xml:space="preserve">ь 2020 года </w:t>
      </w:r>
      <w:r w:rsidRPr="00F46B26">
        <w:rPr>
          <w:rFonts w:eastAsia="Times New Roman"/>
          <w:b/>
          <w:sz w:val="24"/>
        </w:rPr>
        <w:t>(в части открытых расходов)</w:t>
      </w:r>
    </w:p>
    <w:p w:rsidR="00AB1895" w:rsidRPr="00F46B26" w:rsidRDefault="00AB1895" w:rsidP="00F65278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</w:p>
    <w:p w:rsidR="00D55D8C" w:rsidRDefault="00F65278" w:rsidP="0000706E">
      <w:pPr>
        <w:spacing w:line="240" w:lineRule="auto"/>
        <w:ind w:left="0" w:right="0" w:firstLine="0"/>
        <w:jc w:val="right"/>
        <w:rPr>
          <w:rFonts w:eastAsia="Times New Roman"/>
          <w:b/>
          <w:sz w:val="24"/>
        </w:rPr>
      </w:pPr>
      <w:r w:rsidRPr="00F46B26">
        <w:rPr>
          <w:rFonts w:eastAsia="Times New Roman"/>
          <w:sz w:val="20"/>
        </w:rPr>
        <w:t>(млн. рублей)</w:t>
      </w:r>
    </w:p>
    <w:tbl>
      <w:tblPr>
        <w:tblW w:w="10930" w:type="dxa"/>
        <w:tblInd w:w="93" w:type="dxa"/>
        <w:tblLook w:val="04A0" w:firstRow="1" w:lastRow="0" w:firstColumn="1" w:lastColumn="0" w:noHBand="0" w:noVBand="1"/>
      </w:tblPr>
      <w:tblGrid>
        <w:gridCol w:w="724"/>
        <w:gridCol w:w="1985"/>
        <w:gridCol w:w="1417"/>
        <w:gridCol w:w="1188"/>
        <w:gridCol w:w="1222"/>
        <w:gridCol w:w="1134"/>
        <w:gridCol w:w="992"/>
        <w:gridCol w:w="1134"/>
        <w:gridCol w:w="1134"/>
      </w:tblGrid>
      <w:tr w:rsidR="0000706E" w:rsidRPr="0000706E" w:rsidTr="00563E3B">
        <w:trPr>
          <w:trHeight w:val="255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Бюджетные ассигнования (открытая часть),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Исполнено (открытая часть)</w:t>
            </w:r>
          </w:p>
        </w:tc>
      </w:tr>
      <w:tr w:rsidR="0000706E" w:rsidRPr="0000706E" w:rsidTr="00563E3B">
        <w:trPr>
          <w:trHeight w:val="1419"/>
          <w:tblHeader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закон№ 380-ФЗ </w:t>
            </w: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br/>
              <w:t>(с изменениями)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с изменениями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структура </w:t>
            </w:r>
            <w:proofErr w:type="spellStart"/>
            <w:proofErr w:type="gramStart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направле-ний</w:t>
            </w:r>
            <w:proofErr w:type="spellEnd"/>
            <w:proofErr w:type="gramEnd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 в сводной бюджетной росписи с </w:t>
            </w:r>
            <w:proofErr w:type="spellStart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изме</w:t>
            </w:r>
            <w:proofErr w:type="spellEnd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-нениями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eastAsia="Times New Roman"/>
                <w:b/>
                <w:bCs/>
                <w:sz w:val="16"/>
                <w:szCs w:val="16"/>
              </w:rPr>
              <w:t>в % к сводной бюджет-ной роспи</w:t>
            </w: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си с </w:t>
            </w:r>
            <w:proofErr w:type="spellStart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изме</w:t>
            </w:r>
            <w:proofErr w:type="spellEnd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-нениями 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структура </w:t>
            </w:r>
            <w:proofErr w:type="spellStart"/>
            <w:proofErr w:type="gramStart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направле-ний</w:t>
            </w:r>
            <w:proofErr w:type="spellEnd"/>
            <w:proofErr w:type="gramEnd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 по </w:t>
            </w:r>
            <w:proofErr w:type="spellStart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исполне-нию</w:t>
            </w:r>
            <w:proofErr w:type="spellEnd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 расходов в 2020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справочно: </w:t>
            </w:r>
            <w:proofErr w:type="gramStart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 xml:space="preserve"> % к сводной бюджетной росписи на 1 октября 2019 года</w:t>
            </w:r>
          </w:p>
        </w:tc>
      </w:tr>
      <w:tr w:rsidR="0000706E" w:rsidRPr="0000706E" w:rsidTr="00563E3B">
        <w:trPr>
          <w:trHeight w:val="64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Расходы на реализацию госпрограмм (открытая часть)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12 299 049,1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16 078 743,6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9 753 389,5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00706E">
              <w:rPr>
                <w:rFonts w:eastAsia="Times New Roman"/>
                <w:b/>
                <w:bCs/>
                <w:sz w:val="16"/>
                <w:szCs w:val="16"/>
              </w:rPr>
              <w:t>61,9</w:t>
            </w:r>
          </w:p>
        </w:tc>
      </w:tr>
      <w:tr w:rsidR="0000706E" w:rsidRPr="0000706E" w:rsidTr="00563E3B">
        <w:trPr>
          <w:trHeight w:val="5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563E3B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563E3B">
              <w:rPr>
                <w:rFonts w:eastAsia="Times New Roman"/>
                <w:bCs/>
                <w:sz w:val="16"/>
                <w:szCs w:val="16"/>
              </w:rPr>
              <w:t>I.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563E3B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563E3B">
              <w:rPr>
                <w:rFonts w:eastAsia="Times New Roman"/>
                <w:bCs/>
                <w:sz w:val="16"/>
                <w:szCs w:val="16"/>
              </w:rPr>
              <w:t>НОВОЕ КАЧЕСТВО ЖИЗНИ (10 госпрограмм)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3 430 850,3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4 594 977,5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3 313 313,3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64,6</w:t>
            </w:r>
          </w:p>
        </w:tc>
      </w:tr>
      <w:tr w:rsidR="0000706E" w:rsidRPr="0000706E" w:rsidTr="00563E3B">
        <w:trPr>
          <w:trHeight w:val="9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563E3B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563E3B">
              <w:rPr>
                <w:rFonts w:eastAsia="Times New Roman"/>
                <w:bCs/>
                <w:sz w:val="16"/>
                <w:szCs w:val="16"/>
              </w:rPr>
              <w:t>II.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563E3B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563E3B">
              <w:rPr>
                <w:rFonts w:eastAsia="Times New Roman"/>
                <w:bCs/>
                <w:sz w:val="16"/>
                <w:szCs w:val="16"/>
              </w:rPr>
              <w:t>ИННОВАЦИОННОЕ РАЗВИТИЕ И МОДЕРНИЗАЦИЯ ЭКОНОМИКИ (19 госпрограмм)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3 611 046,3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4 108 113,4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2 470 670,7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00706E">
              <w:rPr>
                <w:rFonts w:eastAsia="Times New Roman"/>
                <w:b/>
                <w:color w:val="C00000"/>
                <w:sz w:val="16"/>
                <w:szCs w:val="16"/>
              </w:rPr>
              <w:t>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57,2</w:t>
            </w:r>
          </w:p>
        </w:tc>
      </w:tr>
      <w:tr w:rsidR="0000706E" w:rsidRPr="0000706E" w:rsidTr="00563E3B">
        <w:trPr>
          <w:trHeight w:val="70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563E3B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563E3B">
              <w:rPr>
                <w:rFonts w:eastAsia="Times New Roman"/>
                <w:bCs/>
                <w:sz w:val="16"/>
                <w:szCs w:val="16"/>
              </w:rPr>
              <w:t>III.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563E3B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563E3B">
              <w:rPr>
                <w:rFonts w:eastAsia="Times New Roman"/>
                <w:bCs/>
                <w:sz w:val="16"/>
                <w:szCs w:val="16"/>
              </w:rPr>
              <w:t>ОБЕСПЕЧЕНИЕ НАЦИОНАЛЬНОЙ БЕЗОПАСНОСТИ (5 госпрограмм)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2 438 671,0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2 509 845,4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1 793 662,5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70,6</w:t>
            </w:r>
          </w:p>
        </w:tc>
      </w:tr>
      <w:tr w:rsidR="0000706E" w:rsidRPr="0000706E" w:rsidTr="00563E3B">
        <w:trPr>
          <w:trHeight w:val="81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563E3B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563E3B">
              <w:rPr>
                <w:rFonts w:eastAsia="Times New Roman"/>
                <w:bCs/>
                <w:sz w:val="16"/>
                <w:szCs w:val="16"/>
              </w:rPr>
              <w:t>IV.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563E3B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proofErr w:type="gramStart"/>
            <w:r w:rsidRPr="00563E3B">
              <w:rPr>
                <w:rFonts w:eastAsia="Times New Roman"/>
                <w:bCs/>
                <w:sz w:val="16"/>
                <w:szCs w:val="16"/>
              </w:rPr>
              <w:t>СБАЛАНСИРО-ВАННОЕ</w:t>
            </w:r>
            <w:proofErr w:type="gramEnd"/>
            <w:r w:rsidRPr="00563E3B">
              <w:rPr>
                <w:rFonts w:eastAsia="Times New Roman"/>
                <w:bCs/>
                <w:sz w:val="16"/>
                <w:szCs w:val="16"/>
              </w:rPr>
              <w:t xml:space="preserve"> РЕГИОНАЛЬНОЕ РАЗВИТИЕ (6 госпрограмм)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1 174 770,1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1 460 119,2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1 110 615,4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63,5</w:t>
            </w:r>
          </w:p>
        </w:tc>
      </w:tr>
      <w:tr w:rsidR="0000706E" w:rsidRPr="0000706E" w:rsidTr="00563E3B">
        <w:trPr>
          <w:trHeight w:val="4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563E3B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563E3B">
              <w:rPr>
                <w:rFonts w:eastAsia="Times New Roman"/>
                <w:bCs/>
                <w:sz w:val="16"/>
                <w:szCs w:val="16"/>
              </w:rPr>
              <w:t>V.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06E" w:rsidRPr="00563E3B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563E3B">
              <w:rPr>
                <w:rFonts w:eastAsia="Times New Roman"/>
                <w:bCs/>
                <w:sz w:val="16"/>
                <w:szCs w:val="16"/>
              </w:rPr>
              <w:t>ЭФФЕКТИВНОЕ ГОСУДАРСТВО (3 госпрограммы)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1 643 711,4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3 405 688,1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1 065 127,4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00706E">
              <w:rPr>
                <w:rFonts w:eastAsia="Times New Roman"/>
                <w:b/>
                <w:color w:val="C00000"/>
                <w:sz w:val="16"/>
                <w:szCs w:val="16"/>
              </w:rPr>
              <w:t>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06E" w:rsidRPr="0000706E" w:rsidRDefault="0000706E" w:rsidP="000070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16"/>
                <w:szCs w:val="16"/>
              </w:rPr>
            </w:pPr>
            <w:r w:rsidRPr="0000706E">
              <w:rPr>
                <w:rFonts w:eastAsia="Times New Roman"/>
                <w:sz w:val="16"/>
                <w:szCs w:val="16"/>
              </w:rPr>
              <w:t>54,5</w:t>
            </w:r>
          </w:p>
        </w:tc>
      </w:tr>
    </w:tbl>
    <w:p w:rsidR="0000706E" w:rsidRDefault="0000706E" w:rsidP="00AB1895">
      <w:pPr>
        <w:ind w:left="0" w:right="0"/>
        <w:rPr>
          <w:sz w:val="24"/>
          <w:szCs w:val="24"/>
        </w:rPr>
      </w:pPr>
    </w:p>
    <w:p w:rsidR="00AB1895" w:rsidRDefault="00AB1895" w:rsidP="00AB1895">
      <w:pPr>
        <w:ind w:left="0" w:right="0"/>
        <w:rPr>
          <w:sz w:val="24"/>
          <w:szCs w:val="16"/>
        </w:rPr>
      </w:pPr>
      <w:r>
        <w:rPr>
          <w:sz w:val="24"/>
          <w:szCs w:val="24"/>
        </w:rPr>
        <w:t xml:space="preserve">В </w:t>
      </w:r>
      <w:r w:rsidR="0000706E">
        <w:rPr>
          <w:sz w:val="24"/>
          <w:szCs w:val="24"/>
        </w:rPr>
        <w:t>январе - сентябре</w:t>
      </w:r>
      <w:r w:rsidRPr="00A86270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A86270">
        <w:rPr>
          <w:sz w:val="24"/>
          <w:szCs w:val="24"/>
        </w:rPr>
        <w:t xml:space="preserve"> года</w:t>
      </w:r>
      <w:r>
        <w:rPr>
          <w:sz w:val="24"/>
          <w:szCs w:val="24"/>
        </w:rPr>
        <w:t>, как и в аналогичном периоде 2019 года,</w:t>
      </w:r>
      <w:r w:rsidRPr="00A86270">
        <w:rPr>
          <w:sz w:val="24"/>
          <w:szCs w:val="24"/>
        </w:rPr>
        <w:t xml:space="preserve"> </w:t>
      </w:r>
      <w:r w:rsidRPr="00AB1895">
        <w:rPr>
          <w:sz w:val="24"/>
          <w:szCs w:val="24"/>
        </w:rPr>
        <w:t xml:space="preserve">низкий уровень исполнения </w:t>
      </w:r>
      <w:r w:rsidRPr="00A86270">
        <w:rPr>
          <w:sz w:val="24"/>
          <w:szCs w:val="24"/>
        </w:rPr>
        <w:t>сложился по направлени</w:t>
      </w:r>
      <w:r>
        <w:rPr>
          <w:sz w:val="24"/>
          <w:szCs w:val="24"/>
        </w:rPr>
        <w:t>ям</w:t>
      </w:r>
      <w:r w:rsidRPr="00A86270">
        <w:rPr>
          <w:sz w:val="24"/>
          <w:szCs w:val="24"/>
        </w:rPr>
        <w:t xml:space="preserve"> «Эффективное государство»</w:t>
      </w:r>
      <w:r>
        <w:rPr>
          <w:sz w:val="24"/>
          <w:szCs w:val="24"/>
        </w:rPr>
        <w:t xml:space="preserve"> (</w:t>
      </w:r>
      <w:r w:rsidR="0000706E">
        <w:rPr>
          <w:sz w:val="24"/>
          <w:szCs w:val="24"/>
        </w:rPr>
        <w:t>31,3</w:t>
      </w:r>
      <w:r>
        <w:rPr>
          <w:sz w:val="24"/>
          <w:szCs w:val="24"/>
        </w:rPr>
        <w:t> % показателя</w:t>
      </w:r>
      <w:r w:rsidRPr="00A862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сводной росписи с изменениями) и </w:t>
      </w:r>
      <w:r w:rsidRPr="00A86270">
        <w:rPr>
          <w:sz w:val="24"/>
          <w:szCs w:val="24"/>
        </w:rPr>
        <w:t xml:space="preserve">«Инновационное развитие и модернизация экономики» </w:t>
      </w:r>
      <w:r>
        <w:rPr>
          <w:sz w:val="24"/>
          <w:szCs w:val="24"/>
        </w:rPr>
        <w:t>(</w:t>
      </w:r>
      <w:r w:rsidR="0000706E">
        <w:rPr>
          <w:sz w:val="24"/>
          <w:szCs w:val="24"/>
        </w:rPr>
        <w:t>60,1</w:t>
      </w:r>
      <w:r>
        <w:rPr>
          <w:sz w:val="24"/>
          <w:szCs w:val="24"/>
        </w:rPr>
        <w:t> %)</w:t>
      </w:r>
      <w:r w:rsidRPr="00A86270">
        <w:rPr>
          <w:sz w:val="24"/>
          <w:szCs w:val="24"/>
        </w:rPr>
        <w:t>.</w:t>
      </w:r>
    </w:p>
    <w:p w:rsidR="00D55D8C" w:rsidRPr="00F46B26" w:rsidRDefault="00D55D8C" w:rsidP="00FB3068">
      <w:pPr>
        <w:overflowPunct/>
        <w:autoSpaceDE/>
        <w:autoSpaceDN/>
        <w:adjustRightInd/>
        <w:spacing w:after="200" w:line="276" w:lineRule="auto"/>
        <w:ind w:left="-1134" w:right="0" w:firstLine="0"/>
        <w:jc w:val="left"/>
        <w:textAlignment w:val="auto"/>
        <w:rPr>
          <w:rFonts w:eastAsia="Times New Roman"/>
          <w:b/>
          <w:sz w:val="24"/>
        </w:rPr>
      </w:pPr>
    </w:p>
    <w:sectPr w:rsidR="00D55D8C" w:rsidRPr="00F46B26" w:rsidSect="00FB3068">
      <w:headerReference w:type="default" r:id="rId9"/>
      <w:headerReference w:type="first" r:id="rId10"/>
      <w:pgSz w:w="11906" w:h="16838"/>
      <w:pgMar w:top="1276" w:right="850" w:bottom="1134" w:left="56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6DC" w:rsidRDefault="00FE56DC" w:rsidP="000C15AB">
      <w:pPr>
        <w:spacing w:line="240" w:lineRule="auto"/>
      </w:pPr>
      <w:r>
        <w:separator/>
      </w:r>
    </w:p>
  </w:endnote>
  <w:endnote w:type="continuationSeparator" w:id="0">
    <w:p w:rsidR="00FE56DC" w:rsidRDefault="00FE56DC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FuturaOrto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6DC" w:rsidRDefault="00FE56DC" w:rsidP="0069619C">
      <w:pPr>
        <w:spacing w:line="240" w:lineRule="auto"/>
        <w:ind w:left="0" w:firstLine="0"/>
      </w:pPr>
      <w:r>
        <w:separator/>
      </w:r>
    </w:p>
  </w:footnote>
  <w:footnote w:type="continuationSeparator" w:id="0">
    <w:p w:rsidR="00FE56DC" w:rsidRDefault="00FE56DC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277287"/>
      <w:docPartObj>
        <w:docPartGallery w:val="Page Numbers (Top of Page)"/>
        <w:docPartUnique/>
      </w:docPartObj>
    </w:sdtPr>
    <w:sdtEndPr/>
    <w:sdtContent>
      <w:p w:rsidR="007410BF" w:rsidRDefault="007410BF" w:rsidP="00200CD9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1E8">
          <w:rPr>
            <w:noProof/>
          </w:rPr>
          <w:t>23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0BF" w:rsidRDefault="007410BF" w:rsidP="00200CD9">
    <w:pPr>
      <w:pStyle w:val="a6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0173"/>
    <w:rsid w:val="00000D88"/>
    <w:rsid w:val="000018BC"/>
    <w:rsid w:val="00001F68"/>
    <w:rsid w:val="00003BEF"/>
    <w:rsid w:val="00004EA1"/>
    <w:rsid w:val="00005E95"/>
    <w:rsid w:val="00006798"/>
    <w:rsid w:val="0000706E"/>
    <w:rsid w:val="0001038B"/>
    <w:rsid w:val="00010D18"/>
    <w:rsid w:val="00010D2A"/>
    <w:rsid w:val="00015E74"/>
    <w:rsid w:val="000170C0"/>
    <w:rsid w:val="00020734"/>
    <w:rsid w:val="00020808"/>
    <w:rsid w:val="00020BFC"/>
    <w:rsid w:val="000215AB"/>
    <w:rsid w:val="0002349D"/>
    <w:rsid w:val="000255C2"/>
    <w:rsid w:val="0002601C"/>
    <w:rsid w:val="000279C1"/>
    <w:rsid w:val="00027ADE"/>
    <w:rsid w:val="00030572"/>
    <w:rsid w:val="000328BC"/>
    <w:rsid w:val="00033619"/>
    <w:rsid w:val="00034179"/>
    <w:rsid w:val="00035DD3"/>
    <w:rsid w:val="00037B55"/>
    <w:rsid w:val="000405BB"/>
    <w:rsid w:val="0004088E"/>
    <w:rsid w:val="00040A94"/>
    <w:rsid w:val="00041835"/>
    <w:rsid w:val="00041A39"/>
    <w:rsid w:val="00041AA0"/>
    <w:rsid w:val="00043E10"/>
    <w:rsid w:val="000440B6"/>
    <w:rsid w:val="0004448F"/>
    <w:rsid w:val="000455ED"/>
    <w:rsid w:val="00045774"/>
    <w:rsid w:val="00046384"/>
    <w:rsid w:val="00047C4B"/>
    <w:rsid w:val="000504E6"/>
    <w:rsid w:val="00050D5B"/>
    <w:rsid w:val="00052949"/>
    <w:rsid w:val="00052BD4"/>
    <w:rsid w:val="0005386C"/>
    <w:rsid w:val="0005726D"/>
    <w:rsid w:val="00060A18"/>
    <w:rsid w:val="00061580"/>
    <w:rsid w:val="00063894"/>
    <w:rsid w:val="000649FA"/>
    <w:rsid w:val="000651B5"/>
    <w:rsid w:val="00066F62"/>
    <w:rsid w:val="00070995"/>
    <w:rsid w:val="00070EE3"/>
    <w:rsid w:val="00071D9D"/>
    <w:rsid w:val="00073453"/>
    <w:rsid w:val="00074598"/>
    <w:rsid w:val="00076677"/>
    <w:rsid w:val="000778AA"/>
    <w:rsid w:val="00081E85"/>
    <w:rsid w:val="00082359"/>
    <w:rsid w:val="00082693"/>
    <w:rsid w:val="00082F08"/>
    <w:rsid w:val="00083AB0"/>
    <w:rsid w:val="00086594"/>
    <w:rsid w:val="00092DA2"/>
    <w:rsid w:val="0009657E"/>
    <w:rsid w:val="00096B17"/>
    <w:rsid w:val="00097755"/>
    <w:rsid w:val="000A069E"/>
    <w:rsid w:val="000A1940"/>
    <w:rsid w:val="000A34DB"/>
    <w:rsid w:val="000A3C82"/>
    <w:rsid w:val="000A4BB6"/>
    <w:rsid w:val="000A5BA2"/>
    <w:rsid w:val="000A69A4"/>
    <w:rsid w:val="000A7265"/>
    <w:rsid w:val="000A7BF1"/>
    <w:rsid w:val="000B02DC"/>
    <w:rsid w:val="000B0F7F"/>
    <w:rsid w:val="000B1189"/>
    <w:rsid w:val="000B17AC"/>
    <w:rsid w:val="000B1841"/>
    <w:rsid w:val="000B19BA"/>
    <w:rsid w:val="000B1E88"/>
    <w:rsid w:val="000C0014"/>
    <w:rsid w:val="000C0836"/>
    <w:rsid w:val="000C0841"/>
    <w:rsid w:val="000C09FE"/>
    <w:rsid w:val="000C111B"/>
    <w:rsid w:val="000C15AB"/>
    <w:rsid w:val="000C4DEB"/>
    <w:rsid w:val="000C4F38"/>
    <w:rsid w:val="000C4F9A"/>
    <w:rsid w:val="000C79EA"/>
    <w:rsid w:val="000D0993"/>
    <w:rsid w:val="000D1372"/>
    <w:rsid w:val="000D4E4A"/>
    <w:rsid w:val="000D6938"/>
    <w:rsid w:val="000D70DA"/>
    <w:rsid w:val="000D7DD0"/>
    <w:rsid w:val="000E1501"/>
    <w:rsid w:val="000E1678"/>
    <w:rsid w:val="000E2131"/>
    <w:rsid w:val="000E2399"/>
    <w:rsid w:val="000E444E"/>
    <w:rsid w:val="000E4A55"/>
    <w:rsid w:val="000E63CA"/>
    <w:rsid w:val="000F581F"/>
    <w:rsid w:val="000F5E86"/>
    <w:rsid w:val="000F6A12"/>
    <w:rsid w:val="000F7828"/>
    <w:rsid w:val="00101AD9"/>
    <w:rsid w:val="00102DBA"/>
    <w:rsid w:val="00103889"/>
    <w:rsid w:val="00104BCC"/>
    <w:rsid w:val="001050E4"/>
    <w:rsid w:val="00106B5F"/>
    <w:rsid w:val="0010798C"/>
    <w:rsid w:val="001109FC"/>
    <w:rsid w:val="00110E1E"/>
    <w:rsid w:val="0011336D"/>
    <w:rsid w:val="00114D9A"/>
    <w:rsid w:val="00114E37"/>
    <w:rsid w:val="00114F7E"/>
    <w:rsid w:val="001173FC"/>
    <w:rsid w:val="0011762F"/>
    <w:rsid w:val="00120209"/>
    <w:rsid w:val="0012211A"/>
    <w:rsid w:val="00122CB1"/>
    <w:rsid w:val="0012428D"/>
    <w:rsid w:val="001278FF"/>
    <w:rsid w:val="001304C0"/>
    <w:rsid w:val="001349FE"/>
    <w:rsid w:val="0014334F"/>
    <w:rsid w:val="00143A35"/>
    <w:rsid w:val="00144604"/>
    <w:rsid w:val="00146E7B"/>
    <w:rsid w:val="001477BC"/>
    <w:rsid w:val="00147B76"/>
    <w:rsid w:val="00150046"/>
    <w:rsid w:val="00150B2A"/>
    <w:rsid w:val="0015152E"/>
    <w:rsid w:val="00151814"/>
    <w:rsid w:val="001527D6"/>
    <w:rsid w:val="00153949"/>
    <w:rsid w:val="00153AFB"/>
    <w:rsid w:val="0015699D"/>
    <w:rsid w:val="00157C8A"/>
    <w:rsid w:val="001608BF"/>
    <w:rsid w:val="00164668"/>
    <w:rsid w:val="00164A56"/>
    <w:rsid w:val="00165E46"/>
    <w:rsid w:val="0016612A"/>
    <w:rsid w:val="00166449"/>
    <w:rsid w:val="00167F44"/>
    <w:rsid w:val="00170D22"/>
    <w:rsid w:val="00170EBD"/>
    <w:rsid w:val="00171DC7"/>
    <w:rsid w:val="001748AF"/>
    <w:rsid w:val="001763B3"/>
    <w:rsid w:val="00176568"/>
    <w:rsid w:val="00176DF8"/>
    <w:rsid w:val="001775CE"/>
    <w:rsid w:val="001830BE"/>
    <w:rsid w:val="0018491F"/>
    <w:rsid w:val="0018622D"/>
    <w:rsid w:val="001870C0"/>
    <w:rsid w:val="00190E86"/>
    <w:rsid w:val="001910AF"/>
    <w:rsid w:val="001919EE"/>
    <w:rsid w:val="00193F1B"/>
    <w:rsid w:val="00195112"/>
    <w:rsid w:val="00197C5F"/>
    <w:rsid w:val="00197D20"/>
    <w:rsid w:val="001A2E20"/>
    <w:rsid w:val="001A3723"/>
    <w:rsid w:val="001A4146"/>
    <w:rsid w:val="001A59C6"/>
    <w:rsid w:val="001A78C8"/>
    <w:rsid w:val="001A7C0F"/>
    <w:rsid w:val="001A7D1E"/>
    <w:rsid w:val="001B04C2"/>
    <w:rsid w:val="001B079D"/>
    <w:rsid w:val="001B25BA"/>
    <w:rsid w:val="001B27A6"/>
    <w:rsid w:val="001B4A45"/>
    <w:rsid w:val="001B599F"/>
    <w:rsid w:val="001B5E5C"/>
    <w:rsid w:val="001B6A1B"/>
    <w:rsid w:val="001B6D8E"/>
    <w:rsid w:val="001C2C48"/>
    <w:rsid w:val="001C35C0"/>
    <w:rsid w:val="001C4A68"/>
    <w:rsid w:val="001C6EB8"/>
    <w:rsid w:val="001D0B59"/>
    <w:rsid w:val="001D1BAE"/>
    <w:rsid w:val="001D490A"/>
    <w:rsid w:val="001D586F"/>
    <w:rsid w:val="001D5B43"/>
    <w:rsid w:val="001D6556"/>
    <w:rsid w:val="001D76C3"/>
    <w:rsid w:val="001D78D5"/>
    <w:rsid w:val="001D790F"/>
    <w:rsid w:val="001E0AA2"/>
    <w:rsid w:val="001E1B6A"/>
    <w:rsid w:val="001E21C7"/>
    <w:rsid w:val="001E35B7"/>
    <w:rsid w:val="001E40C6"/>
    <w:rsid w:val="001E613B"/>
    <w:rsid w:val="001E7E01"/>
    <w:rsid w:val="001F127D"/>
    <w:rsid w:val="001F1E01"/>
    <w:rsid w:val="001F2550"/>
    <w:rsid w:val="001F28B7"/>
    <w:rsid w:val="001F2D19"/>
    <w:rsid w:val="001F4897"/>
    <w:rsid w:val="001F6622"/>
    <w:rsid w:val="001F66AE"/>
    <w:rsid w:val="00200832"/>
    <w:rsid w:val="00200CD9"/>
    <w:rsid w:val="002011E8"/>
    <w:rsid w:val="00202617"/>
    <w:rsid w:val="00204C2E"/>
    <w:rsid w:val="002068A4"/>
    <w:rsid w:val="00207071"/>
    <w:rsid w:val="002078B8"/>
    <w:rsid w:val="00210DD7"/>
    <w:rsid w:val="00214E0B"/>
    <w:rsid w:val="00215C8E"/>
    <w:rsid w:val="0021604F"/>
    <w:rsid w:val="00217618"/>
    <w:rsid w:val="002204C9"/>
    <w:rsid w:val="00223A6F"/>
    <w:rsid w:val="00224217"/>
    <w:rsid w:val="0022584B"/>
    <w:rsid w:val="002258B5"/>
    <w:rsid w:val="00227FE6"/>
    <w:rsid w:val="0023087B"/>
    <w:rsid w:val="002308CF"/>
    <w:rsid w:val="00233755"/>
    <w:rsid w:val="00233C36"/>
    <w:rsid w:val="00235ABA"/>
    <w:rsid w:val="00235D60"/>
    <w:rsid w:val="00237412"/>
    <w:rsid w:val="00240B60"/>
    <w:rsid w:val="002432FE"/>
    <w:rsid w:val="002433B6"/>
    <w:rsid w:val="00245182"/>
    <w:rsid w:val="00251370"/>
    <w:rsid w:val="00251F94"/>
    <w:rsid w:val="002522E6"/>
    <w:rsid w:val="002539BA"/>
    <w:rsid w:val="00254B87"/>
    <w:rsid w:val="002570FA"/>
    <w:rsid w:val="00257B43"/>
    <w:rsid w:val="002608D5"/>
    <w:rsid w:val="00261BBF"/>
    <w:rsid w:val="00261F13"/>
    <w:rsid w:val="0026201B"/>
    <w:rsid w:val="002622DE"/>
    <w:rsid w:val="002636CA"/>
    <w:rsid w:val="002639A6"/>
    <w:rsid w:val="00263F5A"/>
    <w:rsid w:val="00264BE7"/>
    <w:rsid w:val="0026658B"/>
    <w:rsid w:val="0026670F"/>
    <w:rsid w:val="002677A5"/>
    <w:rsid w:val="002678F3"/>
    <w:rsid w:val="002701B7"/>
    <w:rsid w:val="00271160"/>
    <w:rsid w:val="00274E11"/>
    <w:rsid w:val="00274FAC"/>
    <w:rsid w:val="00274FDF"/>
    <w:rsid w:val="00276575"/>
    <w:rsid w:val="00277957"/>
    <w:rsid w:val="0028405D"/>
    <w:rsid w:val="00284506"/>
    <w:rsid w:val="00284C14"/>
    <w:rsid w:val="00286D2B"/>
    <w:rsid w:val="002908A3"/>
    <w:rsid w:val="00290D25"/>
    <w:rsid w:val="0029108C"/>
    <w:rsid w:val="002926CC"/>
    <w:rsid w:val="002929F9"/>
    <w:rsid w:val="00293825"/>
    <w:rsid w:val="002939F2"/>
    <w:rsid w:val="00293F47"/>
    <w:rsid w:val="002940D6"/>
    <w:rsid w:val="0029537D"/>
    <w:rsid w:val="002A00EB"/>
    <w:rsid w:val="002A0B1E"/>
    <w:rsid w:val="002A0D3E"/>
    <w:rsid w:val="002A20ED"/>
    <w:rsid w:val="002A2DC1"/>
    <w:rsid w:val="002A38F4"/>
    <w:rsid w:val="002A55CC"/>
    <w:rsid w:val="002A5989"/>
    <w:rsid w:val="002A5B62"/>
    <w:rsid w:val="002A5F53"/>
    <w:rsid w:val="002A65E4"/>
    <w:rsid w:val="002A6A76"/>
    <w:rsid w:val="002A7ABB"/>
    <w:rsid w:val="002B01DC"/>
    <w:rsid w:val="002B25DA"/>
    <w:rsid w:val="002B4465"/>
    <w:rsid w:val="002B4648"/>
    <w:rsid w:val="002B5221"/>
    <w:rsid w:val="002C181B"/>
    <w:rsid w:val="002C1E0A"/>
    <w:rsid w:val="002C3300"/>
    <w:rsid w:val="002C34D6"/>
    <w:rsid w:val="002C35DA"/>
    <w:rsid w:val="002C4532"/>
    <w:rsid w:val="002C45FF"/>
    <w:rsid w:val="002D0250"/>
    <w:rsid w:val="002D1633"/>
    <w:rsid w:val="002D16C8"/>
    <w:rsid w:val="002D217F"/>
    <w:rsid w:val="002D51CD"/>
    <w:rsid w:val="002D6295"/>
    <w:rsid w:val="002D6709"/>
    <w:rsid w:val="002D6878"/>
    <w:rsid w:val="002D6EC9"/>
    <w:rsid w:val="002E1466"/>
    <w:rsid w:val="002E1E58"/>
    <w:rsid w:val="002E272B"/>
    <w:rsid w:val="002E28FB"/>
    <w:rsid w:val="002E2E0F"/>
    <w:rsid w:val="002E3C68"/>
    <w:rsid w:val="002E4835"/>
    <w:rsid w:val="002E488F"/>
    <w:rsid w:val="002E4F13"/>
    <w:rsid w:val="002E5E0D"/>
    <w:rsid w:val="002E7F11"/>
    <w:rsid w:val="002F1D67"/>
    <w:rsid w:val="002F502A"/>
    <w:rsid w:val="002F550F"/>
    <w:rsid w:val="002F691D"/>
    <w:rsid w:val="003008BF"/>
    <w:rsid w:val="00300982"/>
    <w:rsid w:val="0030104B"/>
    <w:rsid w:val="003014FC"/>
    <w:rsid w:val="00301BFF"/>
    <w:rsid w:val="003035DA"/>
    <w:rsid w:val="00303927"/>
    <w:rsid w:val="0030467A"/>
    <w:rsid w:val="00304C6F"/>
    <w:rsid w:val="00304CA8"/>
    <w:rsid w:val="003053FD"/>
    <w:rsid w:val="00306270"/>
    <w:rsid w:val="00307AC2"/>
    <w:rsid w:val="00307BB8"/>
    <w:rsid w:val="00307D8C"/>
    <w:rsid w:val="00314004"/>
    <w:rsid w:val="003155A2"/>
    <w:rsid w:val="00317FB3"/>
    <w:rsid w:val="00320152"/>
    <w:rsid w:val="00321CC7"/>
    <w:rsid w:val="0032336E"/>
    <w:rsid w:val="00326254"/>
    <w:rsid w:val="0032761E"/>
    <w:rsid w:val="0033024F"/>
    <w:rsid w:val="0033046F"/>
    <w:rsid w:val="00331C19"/>
    <w:rsid w:val="00331C1D"/>
    <w:rsid w:val="003322DC"/>
    <w:rsid w:val="00333245"/>
    <w:rsid w:val="003352D5"/>
    <w:rsid w:val="00336EBC"/>
    <w:rsid w:val="00337344"/>
    <w:rsid w:val="00337BCC"/>
    <w:rsid w:val="003417BE"/>
    <w:rsid w:val="00341D22"/>
    <w:rsid w:val="00341F6F"/>
    <w:rsid w:val="00342E63"/>
    <w:rsid w:val="00343A39"/>
    <w:rsid w:val="003453F2"/>
    <w:rsid w:val="00346F71"/>
    <w:rsid w:val="003527C4"/>
    <w:rsid w:val="00354A95"/>
    <w:rsid w:val="003559DA"/>
    <w:rsid w:val="00355B9F"/>
    <w:rsid w:val="00356264"/>
    <w:rsid w:val="00357A64"/>
    <w:rsid w:val="00360B8F"/>
    <w:rsid w:val="00361A8A"/>
    <w:rsid w:val="00361E7B"/>
    <w:rsid w:val="00362219"/>
    <w:rsid w:val="003647C5"/>
    <w:rsid w:val="003667F5"/>
    <w:rsid w:val="00370442"/>
    <w:rsid w:val="00373121"/>
    <w:rsid w:val="003735F1"/>
    <w:rsid w:val="003740F5"/>
    <w:rsid w:val="00374D30"/>
    <w:rsid w:val="00375622"/>
    <w:rsid w:val="0038218B"/>
    <w:rsid w:val="0038305B"/>
    <w:rsid w:val="00385D77"/>
    <w:rsid w:val="00386F89"/>
    <w:rsid w:val="00387519"/>
    <w:rsid w:val="003877F5"/>
    <w:rsid w:val="00390226"/>
    <w:rsid w:val="00391068"/>
    <w:rsid w:val="00391232"/>
    <w:rsid w:val="00392B5A"/>
    <w:rsid w:val="00393C8C"/>
    <w:rsid w:val="003946F6"/>
    <w:rsid w:val="00395FA5"/>
    <w:rsid w:val="00396E58"/>
    <w:rsid w:val="003A00FB"/>
    <w:rsid w:val="003A1A3B"/>
    <w:rsid w:val="003A2313"/>
    <w:rsid w:val="003A3084"/>
    <w:rsid w:val="003A51E1"/>
    <w:rsid w:val="003A663F"/>
    <w:rsid w:val="003B166D"/>
    <w:rsid w:val="003B175E"/>
    <w:rsid w:val="003B17EF"/>
    <w:rsid w:val="003B3769"/>
    <w:rsid w:val="003B5289"/>
    <w:rsid w:val="003B603D"/>
    <w:rsid w:val="003B79E1"/>
    <w:rsid w:val="003B7AEF"/>
    <w:rsid w:val="003C0D4C"/>
    <w:rsid w:val="003C16BE"/>
    <w:rsid w:val="003C187F"/>
    <w:rsid w:val="003C33C1"/>
    <w:rsid w:val="003C3542"/>
    <w:rsid w:val="003C3DAA"/>
    <w:rsid w:val="003C4180"/>
    <w:rsid w:val="003C4F07"/>
    <w:rsid w:val="003C57E1"/>
    <w:rsid w:val="003D1B73"/>
    <w:rsid w:val="003D2580"/>
    <w:rsid w:val="003D3331"/>
    <w:rsid w:val="003D373C"/>
    <w:rsid w:val="003D5270"/>
    <w:rsid w:val="003D5557"/>
    <w:rsid w:val="003D6DBA"/>
    <w:rsid w:val="003D7C3A"/>
    <w:rsid w:val="003E0D33"/>
    <w:rsid w:val="003E1E6A"/>
    <w:rsid w:val="003E365E"/>
    <w:rsid w:val="003E537C"/>
    <w:rsid w:val="003F43AF"/>
    <w:rsid w:val="003F5B1B"/>
    <w:rsid w:val="003F6140"/>
    <w:rsid w:val="003F7DC2"/>
    <w:rsid w:val="0040117B"/>
    <w:rsid w:val="004015A3"/>
    <w:rsid w:val="00402C83"/>
    <w:rsid w:val="004047F7"/>
    <w:rsid w:val="00406A1C"/>
    <w:rsid w:val="00406AE7"/>
    <w:rsid w:val="00412E60"/>
    <w:rsid w:val="0041362B"/>
    <w:rsid w:val="004140E3"/>
    <w:rsid w:val="00415211"/>
    <w:rsid w:val="00416711"/>
    <w:rsid w:val="0041697F"/>
    <w:rsid w:val="004173E7"/>
    <w:rsid w:val="00417434"/>
    <w:rsid w:val="004177D5"/>
    <w:rsid w:val="00420247"/>
    <w:rsid w:val="00420DC9"/>
    <w:rsid w:val="00421133"/>
    <w:rsid w:val="00421380"/>
    <w:rsid w:val="00421EA7"/>
    <w:rsid w:val="004225B8"/>
    <w:rsid w:val="00422E37"/>
    <w:rsid w:val="004230CC"/>
    <w:rsid w:val="004236A3"/>
    <w:rsid w:val="0042383B"/>
    <w:rsid w:val="00425814"/>
    <w:rsid w:val="00425C90"/>
    <w:rsid w:val="00426B7B"/>
    <w:rsid w:val="004271A3"/>
    <w:rsid w:val="00427457"/>
    <w:rsid w:val="00427DA3"/>
    <w:rsid w:val="00430414"/>
    <w:rsid w:val="0043046B"/>
    <w:rsid w:val="00430642"/>
    <w:rsid w:val="004311B8"/>
    <w:rsid w:val="00431201"/>
    <w:rsid w:val="004318C4"/>
    <w:rsid w:val="00435042"/>
    <w:rsid w:val="004352D6"/>
    <w:rsid w:val="0043539D"/>
    <w:rsid w:val="004361EC"/>
    <w:rsid w:val="0043678A"/>
    <w:rsid w:val="00436EAE"/>
    <w:rsid w:val="004403E6"/>
    <w:rsid w:val="00440A25"/>
    <w:rsid w:val="00442674"/>
    <w:rsid w:val="004427C4"/>
    <w:rsid w:val="004442A5"/>
    <w:rsid w:val="004443C0"/>
    <w:rsid w:val="00444BDD"/>
    <w:rsid w:val="00451284"/>
    <w:rsid w:val="004549D8"/>
    <w:rsid w:val="004557CD"/>
    <w:rsid w:val="00455925"/>
    <w:rsid w:val="00456A98"/>
    <w:rsid w:val="00457459"/>
    <w:rsid w:val="00461F0A"/>
    <w:rsid w:val="00462998"/>
    <w:rsid w:val="004657F1"/>
    <w:rsid w:val="00466A97"/>
    <w:rsid w:val="00466C63"/>
    <w:rsid w:val="00467CD4"/>
    <w:rsid w:val="00467EE7"/>
    <w:rsid w:val="00470339"/>
    <w:rsid w:val="00471458"/>
    <w:rsid w:val="00471D19"/>
    <w:rsid w:val="004725F1"/>
    <w:rsid w:val="00473011"/>
    <w:rsid w:val="00474718"/>
    <w:rsid w:val="004756AB"/>
    <w:rsid w:val="00476B24"/>
    <w:rsid w:val="00480DF3"/>
    <w:rsid w:val="0048143B"/>
    <w:rsid w:val="004822CC"/>
    <w:rsid w:val="00482C34"/>
    <w:rsid w:val="00482E69"/>
    <w:rsid w:val="00483041"/>
    <w:rsid w:val="00483137"/>
    <w:rsid w:val="0048405B"/>
    <w:rsid w:val="00484245"/>
    <w:rsid w:val="00484FFC"/>
    <w:rsid w:val="0048632F"/>
    <w:rsid w:val="00490932"/>
    <w:rsid w:val="00491203"/>
    <w:rsid w:val="004913D3"/>
    <w:rsid w:val="004914EE"/>
    <w:rsid w:val="00491E51"/>
    <w:rsid w:val="00492254"/>
    <w:rsid w:val="00492DF2"/>
    <w:rsid w:val="00497021"/>
    <w:rsid w:val="0049726F"/>
    <w:rsid w:val="004A1676"/>
    <w:rsid w:val="004A1DFB"/>
    <w:rsid w:val="004A26A1"/>
    <w:rsid w:val="004A2AEA"/>
    <w:rsid w:val="004A2F96"/>
    <w:rsid w:val="004A3E05"/>
    <w:rsid w:val="004A4CFB"/>
    <w:rsid w:val="004A53DF"/>
    <w:rsid w:val="004A65DA"/>
    <w:rsid w:val="004B0B6F"/>
    <w:rsid w:val="004B12B5"/>
    <w:rsid w:val="004B1E91"/>
    <w:rsid w:val="004B5477"/>
    <w:rsid w:val="004B5943"/>
    <w:rsid w:val="004C08E1"/>
    <w:rsid w:val="004C4AD6"/>
    <w:rsid w:val="004D1BB5"/>
    <w:rsid w:val="004D1F5A"/>
    <w:rsid w:val="004D2D4A"/>
    <w:rsid w:val="004D400F"/>
    <w:rsid w:val="004D4738"/>
    <w:rsid w:val="004D6AB1"/>
    <w:rsid w:val="004E1A5B"/>
    <w:rsid w:val="004E36A3"/>
    <w:rsid w:val="004E395C"/>
    <w:rsid w:val="004E3BCF"/>
    <w:rsid w:val="004E3EF1"/>
    <w:rsid w:val="004E4DA2"/>
    <w:rsid w:val="004E516D"/>
    <w:rsid w:val="004E59D3"/>
    <w:rsid w:val="004E6838"/>
    <w:rsid w:val="004E71E1"/>
    <w:rsid w:val="004E7C0F"/>
    <w:rsid w:val="004F0A9F"/>
    <w:rsid w:val="004F2B32"/>
    <w:rsid w:val="004F30D0"/>
    <w:rsid w:val="004F48F2"/>
    <w:rsid w:val="004F5652"/>
    <w:rsid w:val="004F56E8"/>
    <w:rsid w:val="004F59AA"/>
    <w:rsid w:val="004F6097"/>
    <w:rsid w:val="004F6767"/>
    <w:rsid w:val="004F718E"/>
    <w:rsid w:val="0050174C"/>
    <w:rsid w:val="00502824"/>
    <w:rsid w:val="0050295F"/>
    <w:rsid w:val="005030AB"/>
    <w:rsid w:val="005041FE"/>
    <w:rsid w:val="005058F8"/>
    <w:rsid w:val="00505B08"/>
    <w:rsid w:val="00507796"/>
    <w:rsid w:val="005121DB"/>
    <w:rsid w:val="00512326"/>
    <w:rsid w:val="00512550"/>
    <w:rsid w:val="00512D2F"/>
    <w:rsid w:val="00513A66"/>
    <w:rsid w:val="00514AB8"/>
    <w:rsid w:val="00515268"/>
    <w:rsid w:val="00516D10"/>
    <w:rsid w:val="005202CA"/>
    <w:rsid w:val="0052098E"/>
    <w:rsid w:val="0052332D"/>
    <w:rsid w:val="005239A9"/>
    <w:rsid w:val="00526109"/>
    <w:rsid w:val="0052654B"/>
    <w:rsid w:val="00526D43"/>
    <w:rsid w:val="005277D7"/>
    <w:rsid w:val="005306E5"/>
    <w:rsid w:val="0053242D"/>
    <w:rsid w:val="00532C6A"/>
    <w:rsid w:val="00534238"/>
    <w:rsid w:val="00534D62"/>
    <w:rsid w:val="00535356"/>
    <w:rsid w:val="00535919"/>
    <w:rsid w:val="00536438"/>
    <w:rsid w:val="005400A3"/>
    <w:rsid w:val="005401CA"/>
    <w:rsid w:val="005407A3"/>
    <w:rsid w:val="005437E4"/>
    <w:rsid w:val="00543BD4"/>
    <w:rsid w:val="005440E8"/>
    <w:rsid w:val="005445AE"/>
    <w:rsid w:val="005449A1"/>
    <w:rsid w:val="005456FC"/>
    <w:rsid w:val="005460FE"/>
    <w:rsid w:val="00547AF7"/>
    <w:rsid w:val="00550032"/>
    <w:rsid w:val="0055044E"/>
    <w:rsid w:val="00551747"/>
    <w:rsid w:val="005518C2"/>
    <w:rsid w:val="00551E6C"/>
    <w:rsid w:val="0055213F"/>
    <w:rsid w:val="005522E3"/>
    <w:rsid w:val="0055245F"/>
    <w:rsid w:val="00552A26"/>
    <w:rsid w:val="0055388B"/>
    <w:rsid w:val="00553DAB"/>
    <w:rsid w:val="00553FBA"/>
    <w:rsid w:val="005565C0"/>
    <w:rsid w:val="00557E17"/>
    <w:rsid w:val="00562E3E"/>
    <w:rsid w:val="00562E60"/>
    <w:rsid w:val="00563DDB"/>
    <w:rsid w:val="00563E3B"/>
    <w:rsid w:val="00565CC8"/>
    <w:rsid w:val="00572947"/>
    <w:rsid w:val="00573319"/>
    <w:rsid w:val="0057595A"/>
    <w:rsid w:val="00577873"/>
    <w:rsid w:val="00583821"/>
    <w:rsid w:val="00583B0B"/>
    <w:rsid w:val="00590D2F"/>
    <w:rsid w:val="00591F5E"/>
    <w:rsid w:val="0059204E"/>
    <w:rsid w:val="005937F1"/>
    <w:rsid w:val="0059513F"/>
    <w:rsid w:val="00596E1C"/>
    <w:rsid w:val="005A0828"/>
    <w:rsid w:val="005A16CE"/>
    <w:rsid w:val="005A1EFD"/>
    <w:rsid w:val="005A2D65"/>
    <w:rsid w:val="005A36A7"/>
    <w:rsid w:val="005A4F8E"/>
    <w:rsid w:val="005A5C51"/>
    <w:rsid w:val="005A635B"/>
    <w:rsid w:val="005A6C8B"/>
    <w:rsid w:val="005A700D"/>
    <w:rsid w:val="005A72DD"/>
    <w:rsid w:val="005B2C58"/>
    <w:rsid w:val="005B4CB4"/>
    <w:rsid w:val="005B57EE"/>
    <w:rsid w:val="005B5FA0"/>
    <w:rsid w:val="005B6F5B"/>
    <w:rsid w:val="005C0C9D"/>
    <w:rsid w:val="005C1BDC"/>
    <w:rsid w:val="005C1CDE"/>
    <w:rsid w:val="005C2868"/>
    <w:rsid w:val="005C2A30"/>
    <w:rsid w:val="005C4BF2"/>
    <w:rsid w:val="005C4CDB"/>
    <w:rsid w:val="005C5A8D"/>
    <w:rsid w:val="005C67BC"/>
    <w:rsid w:val="005C7315"/>
    <w:rsid w:val="005C77AE"/>
    <w:rsid w:val="005D0CBE"/>
    <w:rsid w:val="005D0D84"/>
    <w:rsid w:val="005D10E4"/>
    <w:rsid w:val="005D12E0"/>
    <w:rsid w:val="005D384E"/>
    <w:rsid w:val="005D491E"/>
    <w:rsid w:val="005D5249"/>
    <w:rsid w:val="005D604D"/>
    <w:rsid w:val="005D683D"/>
    <w:rsid w:val="005D7FBC"/>
    <w:rsid w:val="005E1631"/>
    <w:rsid w:val="005E1A97"/>
    <w:rsid w:val="005E2458"/>
    <w:rsid w:val="005E2B66"/>
    <w:rsid w:val="005E4EE7"/>
    <w:rsid w:val="005E5728"/>
    <w:rsid w:val="005E7C87"/>
    <w:rsid w:val="005F167D"/>
    <w:rsid w:val="005F191C"/>
    <w:rsid w:val="005F1BF3"/>
    <w:rsid w:val="005F1DC9"/>
    <w:rsid w:val="005F57AE"/>
    <w:rsid w:val="005F5961"/>
    <w:rsid w:val="00601CF4"/>
    <w:rsid w:val="00603245"/>
    <w:rsid w:val="00603ADB"/>
    <w:rsid w:val="00603F37"/>
    <w:rsid w:val="00605252"/>
    <w:rsid w:val="006052E1"/>
    <w:rsid w:val="0060724B"/>
    <w:rsid w:val="00610EF9"/>
    <w:rsid w:val="006130A7"/>
    <w:rsid w:val="00613D6E"/>
    <w:rsid w:val="00614908"/>
    <w:rsid w:val="00614DEE"/>
    <w:rsid w:val="00615306"/>
    <w:rsid w:val="00616734"/>
    <w:rsid w:val="006205BE"/>
    <w:rsid w:val="00621E5A"/>
    <w:rsid w:val="006230BA"/>
    <w:rsid w:val="006255DD"/>
    <w:rsid w:val="00627128"/>
    <w:rsid w:val="00630438"/>
    <w:rsid w:val="00631C9E"/>
    <w:rsid w:val="00632C96"/>
    <w:rsid w:val="0063360D"/>
    <w:rsid w:val="006360E3"/>
    <w:rsid w:val="00636520"/>
    <w:rsid w:val="00640560"/>
    <w:rsid w:val="006406AA"/>
    <w:rsid w:val="00641306"/>
    <w:rsid w:val="00642162"/>
    <w:rsid w:val="006425AC"/>
    <w:rsid w:val="0064397E"/>
    <w:rsid w:val="0064410F"/>
    <w:rsid w:val="006448C4"/>
    <w:rsid w:val="00645E7A"/>
    <w:rsid w:val="006471E6"/>
    <w:rsid w:val="00651576"/>
    <w:rsid w:val="0065559A"/>
    <w:rsid w:val="006557C3"/>
    <w:rsid w:val="006561A0"/>
    <w:rsid w:val="00660883"/>
    <w:rsid w:val="00660E56"/>
    <w:rsid w:val="006617D7"/>
    <w:rsid w:val="00662F15"/>
    <w:rsid w:val="0066351D"/>
    <w:rsid w:val="00664738"/>
    <w:rsid w:val="006649F8"/>
    <w:rsid w:val="00671F0B"/>
    <w:rsid w:val="00673095"/>
    <w:rsid w:val="006732A8"/>
    <w:rsid w:val="0067489B"/>
    <w:rsid w:val="006753A6"/>
    <w:rsid w:val="00675ED8"/>
    <w:rsid w:val="006770E2"/>
    <w:rsid w:val="00677CE7"/>
    <w:rsid w:val="00685813"/>
    <w:rsid w:val="00691627"/>
    <w:rsid w:val="00692380"/>
    <w:rsid w:val="006926F3"/>
    <w:rsid w:val="00693530"/>
    <w:rsid w:val="006936D7"/>
    <w:rsid w:val="0069619C"/>
    <w:rsid w:val="00696463"/>
    <w:rsid w:val="00696D09"/>
    <w:rsid w:val="00696D82"/>
    <w:rsid w:val="006A00DF"/>
    <w:rsid w:val="006A1205"/>
    <w:rsid w:val="006A1D66"/>
    <w:rsid w:val="006A1D84"/>
    <w:rsid w:val="006A4FF3"/>
    <w:rsid w:val="006B12EA"/>
    <w:rsid w:val="006B20EC"/>
    <w:rsid w:val="006B34FE"/>
    <w:rsid w:val="006B59F5"/>
    <w:rsid w:val="006B5E01"/>
    <w:rsid w:val="006B6511"/>
    <w:rsid w:val="006B7039"/>
    <w:rsid w:val="006B7E95"/>
    <w:rsid w:val="006C0B17"/>
    <w:rsid w:val="006C25C9"/>
    <w:rsid w:val="006C29C6"/>
    <w:rsid w:val="006C2AD2"/>
    <w:rsid w:val="006C3C2F"/>
    <w:rsid w:val="006C57B3"/>
    <w:rsid w:val="006D12CA"/>
    <w:rsid w:val="006D3AD3"/>
    <w:rsid w:val="006D4925"/>
    <w:rsid w:val="006D56FD"/>
    <w:rsid w:val="006D68FA"/>
    <w:rsid w:val="006D7268"/>
    <w:rsid w:val="006E17C4"/>
    <w:rsid w:val="006E1CA6"/>
    <w:rsid w:val="006E1FE3"/>
    <w:rsid w:val="006E33C9"/>
    <w:rsid w:val="006F0139"/>
    <w:rsid w:val="006F2034"/>
    <w:rsid w:val="006F2B97"/>
    <w:rsid w:val="006F363B"/>
    <w:rsid w:val="006F4F66"/>
    <w:rsid w:val="006F7703"/>
    <w:rsid w:val="006F7D6A"/>
    <w:rsid w:val="0070048F"/>
    <w:rsid w:val="00701655"/>
    <w:rsid w:val="00702540"/>
    <w:rsid w:val="00702C5E"/>
    <w:rsid w:val="00705A31"/>
    <w:rsid w:val="007061DA"/>
    <w:rsid w:val="00706C1E"/>
    <w:rsid w:val="0071052E"/>
    <w:rsid w:val="00711052"/>
    <w:rsid w:val="007125DA"/>
    <w:rsid w:val="00712BFB"/>
    <w:rsid w:val="007151C8"/>
    <w:rsid w:val="00717EDF"/>
    <w:rsid w:val="00720E95"/>
    <w:rsid w:val="007213C9"/>
    <w:rsid w:val="00721D92"/>
    <w:rsid w:val="00721F1B"/>
    <w:rsid w:val="00722ACA"/>
    <w:rsid w:val="007240D1"/>
    <w:rsid w:val="00724202"/>
    <w:rsid w:val="00724B97"/>
    <w:rsid w:val="007252FF"/>
    <w:rsid w:val="007253C5"/>
    <w:rsid w:val="007270EB"/>
    <w:rsid w:val="00727675"/>
    <w:rsid w:val="0073245D"/>
    <w:rsid w:val="00733DAE"/>
    <w:rsid w:val="00734A24"/>
    <w:rsid w:val="00734A8C"/>
    <w:rsid w:val="0073502B"/>
    <w:rsid w:val="0073621F"/>
    <w:rsid w:val="007362CB"/>
    <w:rsid w:val="00736FF9"/>
    <w:rsid w:val="007373C5"/>
    <w:rsid w:val="00740442"/>
    <w:rsid w:val="00740672"/>
    <w:rsid w:val="007410BF"/>
    <w:rsid w:val="00742842"/>
    <w:rsid w:val="00743568"/>
    <w:rsid w:val="007441F3"/>
    <w:rsid w:val="00746C03"/>
    <w:rsid w:val="00747E75"/>
    <w:rsid w:val="007514B7"/>
    <w:rsid w:val="0075397E"/>
    <w:rsid w:val="0075479E"/>
    <w:rsid w:val="00754D18"/>
    <w:rsid w:val="007561D7"/>
    <w:rsid w:val="007564DD"/>
    <w:rsid w:val="0075671C"/>
    <w:rsid w:val="00756FA3"/>
    <w:rsid w:val="00757F93"/>
    <w:rsid w:val="00761643"/>
    <w:rsid w:val="00762736"/>
    <w:rsid w:val="00762BE2"/>
    <w:rsid w:val="00763138"/>
    <w:rsid w:val="00763A00"/>
    <w:rsid w:val="00765135"/>
    <w:rsid w:val="00770653"/>
    <w:rsid w:val="00772F28"/>
    <w:rsid w:val="007742F7"/>
    <w:rsid w:val="007777D8"/>
    <w:rsid w:val="00777C75"/>
    <w:rsid w:val="00780C7E"/>
    <w:rsid w:val="007820C2"/>
    <w:rsid w:val="00782292"/>
    <w:rsid w:val="00782A88"/>
    <w:rsid w:val="00783063"/>
    <w:rsid w:val="0078361B"/>
    <w:rsid w:val="0078569A"/>
    <w:rsid w:val="00787BEE"/>
    <w:rsid w:val="00790BD9"/>
    <w:rsid w:val="00790F73"/>
    <w:rsid w:val="00791CA1"/>
    <w:rsid w:val="0079240A"/>
    <w:rsid w:val="00794611"/>
    <w:rsid w:val="00794911"/>
    <w:rsid w:val="007955EF"/>
    <w:rsid w:val="007A1232"/>
    <w:rsid w:val="007A2D4E"/>
    <w:rsid w:val="007A5517"/>
    <w:rsid w:val="007A5F93"/>
    <w:rsid w:val="007A6396"/>
    <w:rsid w:val="007B05FF"/>
    <w:rsid w:val="007B0D97"/>
    <w:rsid w:val="007B1A5F"/>
    <w:rsid w:val="007B5A48"/>
    <w:rsid w:val="007C054B"/>
    <w:rsid w:val="007C0ECE"/>
    <w:rsid w:val="007C132C"/>
    <w:rsid w:val="007C1662"/>
    <w:rsid w:val="007C35C3"/>
    <w:rsid w:val="007C3AB1"/>
    <w:rsid w:val="007C3EA0"/>
    <w:rsid w:val="007C73F8"/>
    <w:rsid w:val="007D0D98"/>
    <w:rsid w:val="007D1170"/>
    <w:rsid w:val="007D1FB8"/>
    <w:rsid w:val="007D37B0"/>
    <w:rsid w:val="007E0283"/>
    <w:rsid w:val="007E1DF7"/>
    <w:rsid w:val="007E3D2C"/>
    <w:rsid w:val="007E4FAA"/>
    <w:rsid w:val="007E651A"/>
    <w:rsid w:val="007F0852"/>
    <w:rsid w:val="007F0D59"/>
    <w:rsid w:val="007F5D28"/>
    <w:rsid w:val="007F6136"/>
    <w:rsid w:val="00802586"/>
    <w:rsid w:val="00803C48"/>
    <w:rsid w:val="00803DB0"/>
    <w:rsid w:val="008043EE"/>
    <w:rsid w:val="00806624"/>
    <w:rsid w:val="00806929"/>
    <w:rsid w:val="00807BED"/>
    <w:rsid w:val="008106C3"/>
    <w:rsid w:val="008131AC"/>
    <w:rsid w:val="00814399"/>
    <w:rsid w:val="00814CCB"/>
    <w:rsid w:val="00815651"/>
    <w:rsid w:val="00816C97"/>
    <w:rsid w:val="00817964"/>
    <w:rsid w:val="0082130E"/>
    <w:rsid w:val="00822F1D"/>
    <w:rsid w:val="00825204"/>
    <w:rsid w:val="008253B0"/>
    <w:rsid w:val="0082588E"/>
    <w:rsid w:val="008268CE"/>
    <w:rsid w:val="00827BBB"/>
    <w:rsid w:val="00830D8B"/>
    <w:rsid w:val="00832149"/>
    <w:rsid w:val="00832F27"/>
    <w:rsid w:val="00833CFC"/>
    <w:rsid w:val="0083406F"/>
    <w:rsid w:val="00835FCE"/>
    <w:rsid w:val="00836FE0"/>
    <w:rsid w:val="0083726B"/>
    <w:rsid w:val="00837647"/>
    <w:rsid w:val="00842EC4"/>
    <w:rsid w:val="00844300"/>
    <w:rsid w:val="008445D8"/>
    <w:rsid w:val="00845523"/>
    <w:rsid w:val="00846AFA"/>
    <w:rsid w:val="0084758C"/>
    <w:rsid w:val="00847702"/>
    <w:rsid w:val="00847F2D"/>
    <w:rsid w:val="008507CE"/>
    <w:rsid w:val="00851FF0"/>
    <w:rsid w:val="00852535"/>
    <w:rsid w:val="008557FC"/>
    <w:rsid w:val="0085665D"/>
    <w:rsid w:val="0085666F"/>
    <w:rsid w:val="00857581"/>
    <w:rsid w:val="008579DE"/>
    <w:rsid w:val="00857C11"/>
    <w:rsid w:val="00862ED2"/>
    <w:rsid w:val="008631E5"/>
    <w:rsid w:val="00864A16"/>
    <w:rsid w:val="00865610"/>
    <w:rsid w:val="0086596E"/>
    <w:rsid w:val="008665AE"/>
    <w:rsid w:val="00867AA4"/>
    <w:rsid w:val="008712FB"/>
    <w:rsid w:val="00873AF1"/>
    <w:rsid w:val="0087401E"/>
    <w:rsid w:val="0087446D"/>
    <w:rsid w:val="00874C86"/>
    <w:rsid w:val="00877B37"/>
    <w:rsid w:val="00877DB1"/>
    <w:rsid w:val="00881A8A"/>
    <w:rsid w:val="00882175"/>
    <w:rsid w:val="008828F9"/>
    <w:rsid w:val="008835CE"/>
    <w:rsid w:val="00884D58"/>
    <w:rsid w:val="00884FB1"/>
    <w:rsid w:val="00885B88"/>
    <w:rsid w:val="00885C4A"/>
    <w:rsid w:val="00890F16"/>
    <w:rsid w:val="00893721"/>
    <w:rsid w:val="00893E1D"/>
    <w:rsid w:val="00896A71"/>
    <w:rsid w:val="00896DFA"/>
    <w:rsid w:val="00897D68"/>
    <w:rsid w:val="008A1B6F"/>
    <w:rsid w:val="008A294E"/>
    <w:rsid w:val="008A3082"/>
    <w:rsid w:val="008A5857"/>
    <w:rsid w:val="008A6CA3"/>
    <w:rsid w:val="008A7D71"/>
    <w:rsid w:val="008A7F5C"/>
    <w:rsid w:val="008B5C79"/>
    <w:rsid w:val="008B61C0"/>
    <w:rsid w:val="008B62DF"/>
    <w:rsid w:val="008B6768"/>
    <w:rsid w:val="008B733E"/>
    <w:rsid w:val="008C19EE"/>
    <w:rsid w:val="008C491A"/>
    <w:rsid w:val="008C6F08"/>
    <w:rsid w:val="008C6FF2"/>
    <w:rsid w:val="008C7232"/>
    <w:rsid w:val="008C7C6D"/>
    <w:rsid w:val="008D0E9F"/>
    <w:rsid w:val="008D1233"/>
    <w:rsid w:val="008D1635"/>
    <w:rsid w:val="008D5037"/>
    <w:rsid w:val="008D60CF"/>
    <w:rsid w:val="008D67A0"/>
    <w:rsid w:val="008E0418"/>
    <w:rsid w:val="008E0C33"/>
    <w:rsid w:val="008E1DB0"/>
    <w:rsid w:val="008E3396"/>
    <w:rsid w:val="008E3522"/>
    <w:rsid w:val="008E3FC0"/>
    <w:rsid w:val="008E4691"/>
    <w:rsid w:val="008E4C67"/>
    <w:rsid w:val="008F0288"/>
    <w:rsid w:val="008F28E9"/>
    <w:rsid w:val="008F2E86"/>
    <w:rsid w:val="008F2ED1"/>
    <w:rsid w:val="008F2FC4"/>
    <w:rsid w:val="008F34B4"/>
    <w:rsid w:val="00901545"/>
    <w:rsid w:val="009049DC"/>
    <w:rsid w:val="00905178"/>
    <w:rsid w:val="009063DB"/>
    <w:rsid w:val="00906830"/>
    <w:rsid w:val="00906B5D"/>
    <w:rsid w:val="0091056B"/>
    <w:rsid w:val="009115A2"/>
    <w:rsid w:val="009136AA"/>
    <w:rsid w:val="00913BF7"/>
    <w:rsid w:val="009146AF"/>
    <w:rsid w:val="00915001"/>
    <w:rsid w:val="0091528D"/>
    <w:rsid w:val="009163CD"/>
    <w:rsid w:val="009166D4"/>
    <w:rsid w:val="00916C28"/>
    <w:rsid w:val="00922D31"/>
    <w:rsid w:val="009246D9"/>
    <w:rsid w:val="00925CD5"/>
    <w:rsid w:val="00926CF7"/>
    <w:rsid w:val="00927FCB"/>
    <w:rsid w:val="0093275E"/>
    <w:rsid w:val="0093289C"/>
    <w:rsid w:val="00932E97"/>
    <w:rsid w:val="00932FE0"/>
    <w:rsid w:val="00934363"/>
    <w:rsid w:val="009345DE"/>
    <w:rsid w:val="00934768"/>
    <w:rsid w:val="00936156"/>
    <w:rsid w:val="009375D8"/>
    <w:rsid w:val="00937B3C"/>
    <w:rsid w:val="00940A9E"/>
    <w:rsid w:val="00942E5A"/>
    <w:rsid w:val="00944CFD"/>
    <w:rsid w:val="009462B7"/>
    <w:rsid w:val="00947077"/>
    <w:rsid w:val="00950615"/>
    <w:rsid w:val="00950D80"/>
    <w:rsid w:val="00953880"/>
    <w:rsid w:val="00953BFD"/>
    <w:rsid w:val="009549F0"/>
    <w:rsid w:val="00955233"/>
    <w:rsid w:val="00955242"/>
    <w:rsid w:val="00955D4F"/>
    <w:rsid w:val="009618A0"/>
    <w:rsid w:val="009636A8"/>
    <w:rsid w:val="00963FB8"/>
    <w:rsid w:val="00966963"/>
    <w:rsid w:val="0096702E"/>
    <w:rsid w:val="00967A42"/>
    <w:rsid w:val="009704CA"/>
    <w:rsid w:val="00970DE7"/>
    <w:rsid w:val="009716A9"/>
    <w:rsid w:val="009719DE"/>
    <w:rsid w:val="00971A67"/>
    <w:rsid w:val="00972755"/>
    <w:rsid w:val="009735AA"/>
    <w:rsid w:val="009739C8"/>
    <w:rsid w:val="009740B0"/>
    <w:rsid w:val="00981D4A"/>
    <w:rsid w:val="00981D8A"/>
    <w:rsid w:val="009828E1"/>
    <w:rsid w:val="00984296"/>
    <w:rsid w:val="00984845"/>
    <w:rsid w:val="00985461"/>
    <w:rsid w:val="009860AE"/>
    <w:rsid w:val="009906F5"/>
    <w:rsid w:val="009930D3"/>
    <w:rsid w:val="00995A47"/>
    <w:rsid w:val="009966C6"/>
    <w:rsid w:val="00996A80"/>
    <w:rsid w:val="009A654B"/>
    <w:rsid w:val="009A6D71"/>
    <w:rsid w:val="009A7523"/>
    <w:rsid w:val="009B00DB"/>
    <w:rsid w:val="009B185A"/>
    <w:rsid w:val="009B1ECB"/>
    <w:rsid w:val="009B3A70"/>
    <w:rsid w:val="009B5BAE"/>
    <w:rsid w:val="009B5BB4"/>
    <w:rsid w:val="009B73B2"/>
    <w:rsid w:val="009C33EC"/>
    <w:rsid w:val="009C7378"/>
    <w:rsid w:val="009C73F1"/>
    <w:rsid w:val="009D521D"/>
    <w:rsid w:val="009D6978"/>
    <w:rsid w:val="009D76B6"/>
    <w:rsid w:val="009E1BC8"/>
    <w:rsid w:val="009E2543"/>
    <w:rsid w:val="009E3A9F"/>
    <w:rsid w:val="009E6361"/>
    <w:rsid w:val="009E78C8"/>
    <w:rsid w:val="009E7A5A"/>
    <w:rsid w:val="009F405B"/>
    <w:rsid w:val="009F5781"/>
    <w:rsid w:val="009F6685"/>
    <w:rsid w:val="009F6F8E"/>
    <w:rsid w:val="009F74ED"/>
    <w:rsid w:val="00A00AFB"/>
    <w:rsid w:val="00A0481D"/>
    <w:rsid w:val="00A050C2"/>
    <w:rsid w:val="00A0610F"/>
    <w:rsid w:val="00A0650F"/>
    <w:rsid w:val="00A07EBA"/>
    <w:rsid w:val="00A10233"/>
    <w:rsid w:val="00A10DC6"/>
    <w:rsid w:val="00A122F2"/>
    <w:rsid w:val="00A129EF"/>
    <w:rsid w:val="00A12A1F"/>
    <w:rsid w:val="00A13955"/>
    <w:rsid w:val="00A13F40"/>
    <w:rsid w:val="00A15D20"/>
    <w:rsid w:val="00A16A86"/>
    <w:rsid w:val="00A16D2F"/>
    <w:rsid w:val="00A20527"/>
    <w:rsid w:val="00A2280C"/>
    <w:rsid w:val="00A2283F"/>
    <w:rsid w:val="00A22B16"/>
    <w:rsid w:val="00A27657"/>
    <w:rsid w:val="00A27740"/>
    <w:rsid w:val="00A32770"/>
    <w:rsid w:val="00A35491"/>
    <w:rsid w:val="00A35700"/>
    <w:rsid w:val="00A365F2"/>
    <w:rsid w:val="00A41EE0"/>
    <w:rsid w:val="00A422D3"/>
    <w:rsid w:val="00A433DF"/>
    <w:rsid w:val="00A46422"/>
    <w:rsid w:val="00A46851"/>
    <w:rsid w:val="00A474E5"/>
    <w:rsid w:val="00A50039"/>
    <w:rsid w:val="00A5107D"/>
    <w:rsid w:val="00A527C0"/>
    <w:rsid w:val="00A54B0B"/>
    <w:rsid w:val="00A554FF"/>
    <w:rsid w:val="00A556A2"/>
    <w:rsid w:val="00A55F83"/>
    <w:rsid w:val="00A601A1"/>
    <w:rsid w:val="00A61F1C"/>
    <w:rsid w:val="00A6446F"/>
    <w:rsid w:val="00A64543"/>
    <w:rsid w:val="00A65316"/>
    <w:rsid w:val="00A653AD"/>
    <w:rsid w:val="00A65877"/>
    <w:rsid w:val="00A65E75"/>
    <w:rsid w:val="00A67868"/>
    <w:rsid w:val="00A71FAA"/>
    <w:rsid w:val="00A72BE9"/>
    <w:rsid w:val="00A737F6"/>
    <w:rsid w:val="00A75922"/>
    <w:rsid w:val="00A759C6"/>
    <w:rsid w:val="00A763B7"/>
    <w:rsid w:val="00A76B8E"/>
    <w:rsid w:val="00A770F8"/>
    <w:rsid w:val="00A80ADA"/>
    <w:rsid w:val="00A86B6D"/>
    <w:rsid w:val="00A86FCD"/>
    <w:rsid w:val="00A871F6"/>
    <w:rsid w:val="00A9141A"/>
    <w:rsid w:val="00A91C11"/>
    <w:rsid w:val="00A93224"/>
    <w:rsid w:val="00A93692"/>
    <w:rsid w:val="00A93999"/>
    <w:rsid w:val="00A94FDB"/>
    <w:rsid w:val="00AA0D5C"/>
    <w:rsid w:val="00AA424E"/>
    <w:rsid w:val="00AA4B97"/>
    <w:rsid w:val="00AA4D10"/>
    <w:rsid w:val="00AA5E61"/>
    <w:rsid w:val="00AA7531"/>
    <w:rsid w:val="00AB0E64"/>
    <w:rsid w:val="00AB1895"/>
    <w:rsid w:val="00AB1D39"/>
    <w:rsid w:val="00AB44B9"/>
    <w:rsid w:val="00AB646F"/>
    <w:rsid w:val="00AB7162"/>
    <w:rsid w:val="00AC223E"/>
    <w:rsid w:val="00AC2560"/>
    <w:rsid w:val="00AC3751"/>
    <w:rsid w:val="00AC64F4"/>
    <w:rsid w:val="00AC654A"/>
    <w:rsid w:val="00AC6A22"/>
    <w:rsid w:val="00AD04B6"/>
    <w:rsid w:val="00AD2127"/>
    <w:rsid w:val="00AD375F"/>
    <w:rsid w:val="00AD400D"/>
    <w:rsid w:val="00AD5E2D"/>
    <w:rsid w:val="00AD5FCC"/>
    <w:rsid w:val="00AD6F21"/>
    <w:rsid w:val="00AD7C2E"/>
    <w:rsid w:val="00AE0445"/>
    <w:rsid w:val="00AE0ACA"/>
    <w:rsid w:val="00AE1F5D"/>
    <w:rsid w:val="00AE5AE2"/>
    <w:rsid w:val="00AE685F"/>
    <w:rsid w:val="00AF00AA"/>
    <w:rsid w:val="00AF3F89"/>
    <w:rsid w:val="00AF3FBB"/>
    <w:rsid w:val="00AF56B0"/>
    <w:rsid w:val="00AF5979"/>
    <w:rsid w:val="00AF6AA1"/>
    <w:rsid w:val="00B006DD"/>
    <w:rsid w:val="00B00FF8"/>
    <w:rsid w:val="00B02797"/>
    <w:rsid w:val="00B0324B"/>
    <w:rsid w:val="00B03B1F"/>
    <w:rsid w:val="00B04587"/>
    <w:rsid w:val="00B062DD"/>
    <w:rsid w:val="00B11A2D"/>
    <w:rsid w:val="00B11F91"/>
    <w:rsid w:val="00B12754"/>
    <w:rsid w:val="00B16E34"/>
    <w:rsid w:val="00B20D28"/>
    <w:rsid w:val="00B216C0"/>
    <w:rsid w:val="00B262CA"/>
    <w:rsid w:val="00B2673F"/>
    <w:rsid w:val="00B31035"/>
    <w:rsid w:val="00B31AC3"/>
    <w:rsid w:val="00B32D95"/>
    <w:rsid w:val="00B34A34"/>
    <w:rsid w:val="00B361B9"/>
    <w:rsid w:val="00B363D1"/>
    <w:rsid w:val="00B37873"/>
    <w:rsid w:val="00B410F9"/>
    <w:rsid w:val="00B41CCC"/>
    <w:rsid w:val="00B41DA3"/>
    <w:rsid w:val="00B4278F"/>
    <w:rsid w:val="00B439B6"/>
    <w:rsid w:val="00B441C8"/>
    <w:rsid w:val="00B441D5"/>
    <w:rsid w:val="00B4496C"/>
    <w:rsid w:val="00B47A66"/>
    <w:rsid w:val="00B503D8"/>
    <w:rsid w:val="00B50FF3"/>
    <w:rsid w:val="00B51DE0"/>
    <w:rsid w:val="00B5325C"/>
    <w:rsid w:val="00B54090"/>
    <w:rsid w:val="00B55692"/>
    <w:rsid w:val="00B57978"/>
    <w:rsid w:val="00B61CCF"/>
    <w:rsid w:val="00B623B6"/>
    <w:rsid w:val="00B6658D"/>
    <w:rsid w:val="00B758F9"/>
    <w:rsid w:val="00B76323"/>
    <w:rsid w:val="00B76A63"/>
    <w:rsid w:val="00B80775"/>
    <w:rsid w:val="00B84368"/>
    <w:rsid w:val="00B84535"/>
    <w:rsid w:val="00B8704D"/>
    <w:rsid w:val="00B90A51"/>
    <w:rsid w:val="00B9244F"/>
    <w:rsid w:val="00B92472"/>
    <w:rsid w:val="00B927E3"/>
    <w:rsid w:val="00B93867"/>
    <w:rsid w:val="00B942E3"/>
    <w:rsid w:val="00B9646A"/>
    <w:rsid w:val="00B96F2D"/>
    <w:rsid w:val="00B977A1"/>
    <w:rsid w:val="00BA1DE6"/>
    <w:rsid w:val="00BA1E52"/>
    <w:rsid w:val="00BA1EE6"/>
    <w:rsid w:val="00BA50AC"/>
    <w:rsid w:val="00BA63AB"/>
    <w:rsid w:val="00BA73A9"/>
    <w:rsid w:val="00BB00A3"/>
    <w:rsid w:val="00BB031F"/>
    <w:rsid w:val="00BB1F9D"/>
    <w:rsid w:val="00BB273E"/>
    <w:rsid w:val="00BB624A"/>
    <w:rsid w:val="00BB62E6"/>
    <w:rsid w:val="00BB7B7C"/>
    <w:rsid w:val="00BC1023"/>
    <w:rsid w:val="00BC1EE1"/>
    <w:rsid w:val="00BC31D4"/>
    <w:rsid w:val="00BC517B"/>
    <w:rsid w:val="00BC5E71"/>
    <w:rsid w:val="00BC6326"/>
    <w:rsid w:val="00BC6F88"/>
    <w:rsid w:val="00BD054F"/>
    <w:rsid w:val="00BD0E38"/>
    <w:rsid w:val="00BD17C3"/>
    <w:rsid w:val="00BD3842"/>
    <w:rsid w:val="00BD5042"/>
    <w:rsid w:val="00BD659B"/>
    <w:rsid w:val="00BD7CC7"/>
    <w:rsid w:val="00BE0BBA"/>
    <w:rsid w:val="00BE3478"/>
    <w:rsid w:val="00BE41B8"/>
    <w:rsid w:val="00BE56D5"/>
    <w:rsid w:val="00BE645F"/>
    <w:rsid w:val="00BF432F"/>
    <w:rsid w:val="00BF4F85"/>
    <w:rsid w:val="00BF55B1"/>
    <w:rsid w:val="00BF685B"/>
    <w:rsid w:val="00BF6C92"/>
    <w:rsid w:val="00BF7809"/>
    <w:rsid w:val="00C018EA"/>
    <w:rsid w:val="00C02F03"/>
    <w:rsid w:val="00C07588"/>
    <w:rsid w:val="00C10CC2"/>
    <w:rsid w:val="00C11596"/>
    <w:rsid w:val="00C11F3F"/>
    <w:rsid w:val="00C13E4A"/>
    <w:rsid w:val="00C15CEF"/>
    <w:rsid w:val="00C221A7"/>
    <w:rsid w:val="00C24FC8"/>
    <w:rsid w:val="00C25112"/>
    <w:rsid w:val="00C257D0"/>
    <w:rsid w:val="00C27976"/>
    <w:rsid w:val="00C324D1"/>
    <w:rsid w:val="00C336F2"/>
    <w:rsid w:val="00C357F6"/>
    <w:rsid w:val="00C35DD7"/>
    <w:rsid w:val="00C365FC"/>
    <w:rsid w:val="00C3708E"/>
    <w:rsid w:val="00C3779A"/>
    <w:rsid w:val="00C4217C"/>
    <w:rsid w:val="00C42DDC"/>
    <w:rsid w:val="00C45FCA"/>
    <w:rsid w:val="00C47E14"/>
    <w:rsid w:val="00C520CA"/>
    <w:rsid w:val="00C52237"/>
    <w:rsid w:val="00C5228C"/>
    <w:rsid w:val="00C524C1"/>
    <w:rsid w:val="00C556CD"/>
    <w:rsid w:val="00C607BD"/>
    <w:rsid w:val="00C63402"/>
    <w:rsid w:val="00C64080"/>
    <w:rsid w:val="00C640E4"/>
    <w:rsid w:val="00C6485C"/>
    <w:rsid w:val="00C650A4"/>
    <w:rsid w:val="00C654D7"/>
    <w:rsid w:val="00C65AA7"/>
    <w:rsid w:val="00C66234"/>
    <w:rsid w:val="00C70BE9"/>
    <w:rsid w:val="00C728D3"/>
    <w:rsid w:val="00C74395"/>
    <w:rsid w:val="00C74D3D"/>
    <w:rsid w:val="00C75AB4"/>
    <w:rsid w:val="00C80A0B"/>
    <w:rsid w:val="00C8201A"/>
    <w:rsid w:val="00C83CBB"/>
    <w:rsid w:val="00C870F6"/>
    <w:rsid w:val="00C90877"/>
    <w:rsid w:val="00C93880"/>
    <w:rsid w:val="00C959AE"/>
    <w:rsid w:val="00C97048"/>
    <w:rsid w:val="00C97F83"/>
    <w:rsid w:val="00CA0D75"/>
    <w:rsid w:val="00CA1968"/>
    <w:rsid w:val="00CA2324"/>
    <w:rsid w:val="00CA2934"/>
    <w:rsid w:val="00CA31BE"/>
    <w:rsid w:val="00CA7A19"/>
    <w:rsid w:val="00CB1A7C"/>
    <w:rsid w:val="00CB202B"/>
    <w:rsid w:val="00CB33B9"/>
    <w:rsid w:val="00CB3E3C"/>
    <w:rsid w:val="00CB5F96"/>
    <w:rsid w:val="00CB60B7"/>
    <w:rsid w:val="00CB7DA3"/>
    <w:rsid w:val="00CC0358"/>
    <w:rsid w:val="00CC4B35"/>
    <w:rsid w:val="00CC54F1"/>
    <w:rsid w:val="00CC7CA3"/>
    <w:rsid w:val="00CD0C02"/>
    <w:rsid w:val="00CD1592"/>
    <w:rsid w:val="00CD2241"/>
    <w:rsid w:val="00CD5095"/>
    <w:rsid w:val="00CD59DE"/>
    <w:rsid w:val="00CD6A9F"/>
    <w:rsid w:val="00CD75D3"/>
    <w:rsid w:val="00CD77A3"/>
    <w:rsid w:val="00CE1667"/>
    <w:rsid w:val="00CE1DB8"/>
    <w:rsid w:val="00CE2770"/>
    <w:rsid w:val="00CE41C1"/>
    <w:rsid w:val="00CE4D65"/>
    <w:rsid w:val="00CE58D9"/>
    <w:rsid w:val="00CE5A62"/>
    <w:rsid w:val="00CE7539"/>
    <w:rsid w:val="00CF16C7"/>
    <w:rsid w:val="00CF1A96"/>
    <w:rsid w:val="00CF3A04"/>
    <w:rsid w:val="00CF5185"/>
    <w:rsid w:val="00CF70FB"/>
    <w:rsid w:val="00CF71A5"/>
    <w:rsid w:val="00CF7BA5"/>
    <w:rsid w:val="00D00CA1"/>
    <w:rsid w:val="00D05580"/>
    <w:rsid w:val="00D059FE"/>
    <w:rsid w:val="00D06B7B"/>
    <w:rsid w:val="00D06D85"/>
    <w:rsid w:val="00D07C5F"/>
    <w:rsid w:val="00D10193"/>
    <w:rsid w:val="00D10647"/>
    <w:rsid w:val="00D11ACD"/>
    <w:rsid w:val="00D127E1"/>
    <w:rsid w:val="00D12815"/>
    <w:rsid w:val="00D12FC0"/>
    <w:rsid w:val="00D13BD8"/>
    <w:rsid w:val="00D1438A"/>
    <w:rsid w:val="00D166A6"/>
    <w:rsid w:val="00D178E7"/>
    <w:rsid w:val="00D20531"/>
    <w:rsid w:val="00D212B9"/>
    <w:rsid w:val="00D23CF4"/>
    <w:rsid w:val="00D23D31"/>
    <w:rsid w:val="00D251BC"/>
    <w:rsid w:val="00D262B3"/>
    <w:rsid w:val="00D31383"/>
    <w:rsid w:val="00D337C7"/>
    <w:rsid w:val="00D346EB"/>
    <w:rsid w:val="00D35786"/>
    <w:rsid w:val="00D35F92"/>
    <w:rsid w:val="00D36740"/>
    <w:rsid w:val="00D37C71"/>
    <w:rsid w:val="00D41DC0"/>
    <w:rsid w:val="00D424ED"/>
    <w:rsid w:val="00D4460C"/>
    <w:rsid w:val="00D44C7B"/>
    <w:rsid w:val="00D46C44"/>
    <w:rsid w:val="00D47B43"/>
    <w:rsid w:val="00D504A9"/>
    <w:rsid w:val="00D5098C"/>
    <w:rsid w:val="00D520E2"/>
    <w:rsid w:val="00D5295C"/>
    <w:rsid w:val="00D55D8C"/>
    <w:rsid w:val="00D55EC0"/>
    <w:rsid w:val="00D5620A"/>
    <w:rsid w:val="00D56281"/>
    <w:rsid w:val="00D562C0"/>
    <w:rsid w:val="00D56461"/>
    <w:rsid w:val="00D56C18"/>
    <w:rsid w:val="00D57638"/>
    <w:rsid w:val="00D5797A"/>
    <w:rsid w:val="00D611EB"/>
    <w:rsid w:val="00D61AF7"/>
    <w:rsid w:val="00D66EA6"/>
    <w:rsid w:val="00D66F39"/>
    <w:rsid w:val="00D705A8"/>
    <w:rsid w:val="00D711D6"/>
    <w:rsid w:val="00D71EB1"/>
    <w:rsid w:val="00D7362D"/>
    <w:rsid w:val="00D75536"/>
    <w:rsid w:val="00D7660B"/>
    <w:rsid w:val="00D77115"/>
    <w:rsid w:val="00D81E96"/>
    <w:rsid w:val="00D81F3B"/>
    <w:rsid w:val="00D830D4"/>
    <w:rsid w:val="00D83DE5"/>
    <w:rsid w:val="00D8457B"/>
    <w:rsid w:val="00D87677"/>
    <w:rsid w:val="00D90EA8"/>
    <w:rsid w:val="00D9228C"/>
    <w:rsid w:val="00D93BD6"/>
    <w:rsid w:val="00D96170"/>
    <w:rsid w:val="00DA04B5"/>
    <w:rsid w:val="00DA271C"/>
    <w:rsid w:val="00DA2F2B"/>
    <w:rsid w:val="00DA4282"/>
    <w:rsid w:val="00DA43B7"/>
    <w:rsid w:val="00DA61E6"/>
    <w:rsid w:val="00DA6970"/>
    <w:rsid w:val="00DA7B11"/>
    <w:rsid w:val="00DB009C"/>
    <w:rsid w:val="00DB09FB"/>
    <w:rsid w:val="00DB0F4B"/>
    <w:rsid w:val="00DB2756"/>
    <w:rsid w:val="00DB29AE"/>
    <w:rsid w:val="00DB3754"/>
    <w:rsid w:val="00DB46EF"/>
    <w:rsid w:val="00DB5972"/>
    <w:rsid w:val="00DB5DCE"/>
    <w:rsid w:val="00DB7324"/>
    <w:rsid w:val="00DC1513"/>
    <w:rsid w:val="00DC22B4"/>
    <w:rsid w:val="00DC519B"/>
    <w:rsid w:val="00DC5228"/>
    <w:rsid w:val="00DC77FD"/>
    <w:rsid w:val="00DD0ED0"/>
    <w:rsid w:val="00DD2CBC"/>
    <w:rsid w:val="00DD7F82"/>
    <w:rsid w:val="00DE00C2"/>
    <w:rsid w:val="00DE0DB2"/>
    <w:rsid w:val="00DE3E37"/>
    <w:rsid w:val="00DE40E7"/>
    <w:rsid w:val="00DE439A"/>
    <w:rsid w:val="00DE4BDF"/>
    <w:rsid w:val="00DE7570"/>
    <w:rsid w:val="00DF0B81"/>
    <w:rsid w:val="00DF1EBA"/>
    <w:rsid w:val="00DF4A40"/>
    <w:rsid w:val="00DF5056"/>
    <w:rsid w:val="00DF7574"/>
    <w:rsid w:val="00DF77FB"/>
    <w:rsid w:val="00E018F2"/>
    <w:rsid w:val="00E029DE"/>
    <w:rsid w:val="00E044BA"/>
    <w:rsid w:val="00E065C8"/>
    <w:rsid w:val="00E07B74"/>
    <w:rsid w:val="00E103D3"/>
    <w:rsid w:val="00E1093A"/>
    <w:rsid w:val="00E140E6"/>
    <w:rsid w:val="00E152CD"/>
    <w:rsid w:val="00E15389"/>
    <w:rsid w:val="00E167B1"/>
    <w:rsid w:val="00E203DA"/>
    <w:rsid w:val="00E266CF"/>
    <w:rsid w:val="00E277E1"/>
    <w:rsid w:val="00E30094"/>
    <w:rsid w:val="00E30D89"/>
    <w:rsid w:val="00E31002"/>
    <w:rsid w:val="00E31CD4"/>
    <w:rsid w:val="00E31F36"/>
    <w:rsid w:val="00E328E8"/>
    <w:rsid w:val="00E350C2"/>
    <w:rsid w:val="00E35333"/>
    <w:rsid w:val="00E36E9C"/>
    <w:rsid w:val="00E3710F"/>
    <w:rsid w:val="00E416F7"/>
    <w:rsid w:val="00E43ADF"/>
    <w:rsid w:val="00E441EB"/>
    <w:rsid w:val="00E5098B"/>
    <w:rsid w:val="00E52DC0"/>
    <w:rsid w:val="00E52E38"/>
    <w:rsid w:val="00E538AF"/>
    <w:rsid w:val="00E5462A"/>
    <w:rsid w:val="00E558B9"/>
    <w:rsid w:val="00E56E34"/>
    <w:rsid w:val="00E60D2E"/>
    <w:rsid w:val="00E612FB"/>
    <w:rsid w:val="00E646F2"/>
    <w:rsid w:val="00E6523A"/>
    <w:rsid w:val="00E65D11"/>
    <w:rsid w:val="00E7105D"/>
    <w:rsid w:val="00E719F2"/>
    <w:rsid w:val="00E726A2"/>
    <w:rsid w:val="00E75206"/>
    <w:rsid w:val="00E77479"/>
    <w:rsid w:val="00E77E72"/>
    <w:rsid w:val="00E77F31"/>
    <w:rsid w:val="00E82199"/>
    <w:rsid w:val="00E82792"/>
    <w:rsid w:val="00E82AA9"/>
    <w:rsid w:val="00E82CC1"/>
    <w:rsid w:val="00E82FF8"/>
    <w:rsid w:val="00E8414B"/>
    <w:rsid w:val="00E86EF3"/>
    <w:rsid w:val="00E91312"/>
    <w:rsid w:val="00E91812"/>
    <w:rsid w:val="00E91E2D"/>
    <w:rsid w:val="00E96C51"/>
    <w:rsid w:val="00EA1CA7"/>
    <w:rsid w:val="00EA1FD2"/>
    <w:rsid w:val="00EA2DAF"/>
    <w:rsid w:val="00EA5116"/>
    <w:rsid w:val="00EA52F6"/>
    <w:rsid w:val="00EA53A1"/>
    <w:rsid w:val="00EA5DA2"/>
    <w:rsid w:val="00EB0209"/>
    <w:rsid w:val="00EB1B79"/>
    <w:rsid w:val="00EB22A2"/>
    <w:rsid w:val="00EB25A4"/>
    <w:rsid w:val="00EB579B"/>
    <w:rsid w:val="00EC072E"/>
    <w:rsid w:val="00EC08D2"/>
    <w:rsid w:val="00EC33D3"/>
    <w:rsid w:val="00EC7450"/>
    <w:rsid w:val="00ED0638"/>
    <w:rsid w:val="00ED1860"/>
    <w:rsid w:val="00ED1A9F"/>
    <w:rsid w:val="00ED1D86"/>
    <w:rsid w:val="00ED2CA7"/>
    <w:rsid w:val="00ED40A4"/>
    <w:rsid w:val="00ED60DF"/>
    <w:rsid w:val="00EE2944"/>
    <w:rsid w:val="00EE2B13"/>
    <w:rsid w:val="00EE5E30"/>
    <w:rsid w:val="00EF1473"/>
    <w:rsid w:val="00EF1A07"/>
    <w:rsid w:val="00EF2A87"/>
    <w:rsid w:val="00EF39F8"/>
    <w:rsid w:val="00EF459F"/>
    <w:rsid w:val="00EF528B"/>
    <w:rsid w:val="00EF6729"/>
    <w:rsid w:val="00EF7E72"/>
    <w:rsid w:val="00F009F0"/>
    <w:rsid w:val="00F015B5"/>
    <w:rsid w:val="00F04718"/>
    <w:rsid w:val="00F06883"/>
    <w:rsid w:val="00F079B2"/>
    <w:rsid w:val="00F101E8"/>
    <w:rsid w:val="00F108BE"/>
    <w:rsid w:val="00F12CDA"/>
    <w:rsid w:val="00F12F59"/>
    <w:rsid w:val="00F135F5"/>
    <w:rsid w:val="00F13631"/>
    <w:rsid w:val="00F1622B"/>
    <w:rsid w:val="00F1697E"/>
    <w:rsid w:val="00F17C44"/>
    <w:rsid w:val="00F21803"/>
    <w:rsid w:val="00F21D4A"/>
    <w:rsid w:val="00F2312B"/>
    <w:rsid w:val="00F23267"/>
    <w:rsid w:val="00F242B9"/>
    <w:rsid w:val="00F25797"/>
    <w:rsid w:val="00F25EF7"/>
    <w:rsid w:val="00F26317"/>
    <w:rsid w:val="00F275BC"/>
    <w:rsid w:val="00F32770"/>
    <w:rsid w:val="00F32A2C"/>
    <w:rsid w:val="00F32A55"/>
    <w:rsid w:val="00F32A71"/>
    <w:rsid w:val="00F34043"/>
    <w:rsid w:val="00F3549F"/>
    <w:rsid w:val="00F36320"/>
    <w:rsid w:val="00F407A8"/>
    <w:rsid w:val="00F45C77"/>
    <w:rsid w:val="00F4680B"/>
    <w:rsid w:val="00F46B26"/>
    <w:rsid w:val="00F526D7"/>
    <w:rsid w:val="00F55B55"/>
    <w:rsid w:val="00F56413"/>
    <w:rsid w:val="00F60B0F"/>
    <w:rsid w:val="00F613C3"/>
    <w:rsid w:val="00F637D4"/>
    <w:rsid w:val="00F63C73"/>
    <w:rsid w:val="00F65278"/>
    <w:rsid w:val="00F65464"/>
    <w:rsid w:val="00F667A7"/>
    <w:rsid w:val="00F668D1"/>
    <w:rsid w:val="00F67C52"/>
    <w:rsid w:val="00F7008F"/>
    <w:rsid w:val="00F71E0A"/>
    <w:rsid w:val="00F7214A"/>
    <w:rsid w:val="00F7264D"/>
    <w:rsid w:val="00F7479D"/>
    <w:rsid w:val="00F74C14"/>
    <w:rsid w:val="00F750BD"/>
    <w:rsid w:val="00F765E8"/>
    <w:rsid w:val="00F77F31"/>
    <w:rsid w:val="00F823D7"/>
    <w:rsid w:val="00F92AAB"/>
    <w:rsid w:val="00F9325D"/>
    <w:rsid w:val="00F97E4D"/>
    <w:rsid w:val="00FA0089"/>
    <w:rsid w:val="00FA1DC3"/>
    <w:rsid w:val="00FA3902"/>
    <w:rsid w:val="00FA3E56"/>
    <w:rsid w:val="00FA4197"/>
    <w:rsid w:val="00FA553E"/>
    <w:rsid w:val="00FA5774"/>
    <w:rsid w:val="00FA592B"/>
    <w:rsid w:val="00FA5EF2"/>
    <w:rsid w:val="00FA65DD"/>
    <w:rsid w:val="00FB26BF"/>
    <w:rsid w:val="00FB3068"/>
    <w:rsid w:val="00FB4D76"/>
    <w:rsid w:val="00FB5C64"/>
    <w:rsid w:val="00FB6E92"/>
    <w:rsid w:val="00FB706B"/>
    <w:rsid w:val="00FB72EE"/>
    <w:rsid w:val="00FB7831"/>
    <w:rsid w:val="00FB78F4"/>
    <w:rsid w:val="00FC0C58"/>
    <w:rsid w:val="00FC1AC7"/>
    <w:rsid w:val="00FC2889"/>
    <w:rsid w:val="00FC3E0F"/>
    <w:rsid w:val="00FD0709"/>
    <w:rsid w:val="00FD3096"/>
    <w:rsid w:val="00FD3C1A"/>
    <w:rsid w:val="00FD698D"/>
    <w:rsid w:val="00FD6C8F"/>
    <w:rsid w:val="00FD6D1B"/>
    <w:rsid w:val="00FE030B"/>
    <w:rsid w:val="00FE09B1"/>
    <w:rsid w:val="00FE20C1"/>
    <w:rsid w:val="00FE2263"/>
    <w:rsid w:val="00FE2699"/>
    <w:rsid w:val="00FE420F"/>
    <w:rsid w:val="00FE5111"/>
    <w:rsid w:val="00FE56DC"/>
    <w:rsid w:val="00FE5B0B"/>
    <w:rsid w:val="00FE7171"/>
    <w:rsid w:val="00FF118B"/>
    <w:rsid w:val="00FF284F"/>
    <w:rsid w:val="00FF44CF"/>
    <w:rsid w:val="00FF4EEC"/>
    <w:rsid w:val="00FF7299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3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0D6938"/>
    <w:pPr>
      <w:overflowPunct/>
      <w:autoSpaceDE/>
      <w:autoSpaceDN/>
      <w:adjustRightInd/>
      <w:spacing w:line="240" w:lineRule="auto"/>
      <w:ind w:left="0" w:right="0" w:firstLine="0"/>
      <w:jc w:val="center"/>
      <w:textAlignment w:val="auto"/>
    </w:pPr>
    <w:rPr>
      <w:rFonts w:ascii="a_FuturaOrto" w:eastAsia="Times New Roman" w:hAnsi="a_FuturaOrto"/>
      <w:snapToGrid w:val="0"/>
      <w:color w:val="000080"/>
      <w:szCs w:val="20"/>
      <w:lang w:val="x-none" w:eastAsia="x-none"/>
    </w:rPr>
  </w:style>
  <w:style w:type="character" w:customStyle="1" w:styleId="af2">
    <w:name w:val="Название Знак"/>
    <w:basedOn w:val="a0"/>
    <w:link w:val="af1"/>
    <w:rsid w:val="000D6938"/>
    <w:rPr>
      <w:rFonts w:ascii="a_FuturaOrto" w:eastAsia="Times New Roman" w:hAnsi="a_FuturaOrto" w:cs="Times New Roman"/>
      <w:snapToGrid w:val="0"/>
      <w:color w:val="000080"/>
      <w:sz w:val="28"/>
      <w:szCs w:val="20"/>
      <w:lang w:val="x-none" w:eastAsia="x-none"/>
    </w:rPr>
  </w:style>
  <w:style w:type="paragraph" w:styleId="af3">
    <w:name w:val="Body Text"/>
    <w:basedOn w:val="a"/>
    <w:link w:val="af4"/>
    <w:rsid w:val="00C11596"/>
    <w:pPr>
      <w:overflowPunct/>
      <w:autoSpaceDE/>
      <w:autoSpaceDN/>
      <w:adjustRightInd/>
      <w:spacing w:after="120" w:line="240" w:lineRule="auto"/>
      <w:ind w:left="0" w:right="0" w:firstLine="0"/>
      <w:jc w:val="left"/>
      <w:textAlignment w:val="auto"/>
    </w:pPr>
    <w:rPr>
      <w:rFonts w:eastAsia="Times New Roman"/>
      <w:i/>
      <w:lang w:val="x-none" w:eastAsia="x-none"/>
    </w:rPr>
  </w:style>
  <w:style w:type="character" w:customStyle="1" w:styleId="af4">
    <w:name w:val="Основной текст Знак"/>
    <w:basedOn w:val="a0"/>
    <w:link w:val="af3"/>
    <w:rsid w:val="00C11596"/>
    <w:rPr>
      <w:rFonts w:ascii="Times New Roman" w:eastAsia="Times New Roman" w:hAnsi="Times New Roman" w:cs="Times New Roman"/>
      <w:i/>
      <w:sz w:val="28"/>
      <w:szCs w:val="28"/>
      <w:lang w:val="x-none" w:eastAsia="x-none"/>
    </w:rPr>
  </w:style>
  <w:style w:type="paragraph" w:styleId="af5">
    <w:name w:val="Body Text Indent"/>
    <w:basedOn w:val="a"/>
    <w:link w:val="af6"/>
    <w:uiPriority w:val="99"/>
    <w:semiHidden/>
    <w:unhideWhenUsed/>
    <w:rsid w:val="00B11F9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F91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f7">
    <w:name w:val="Hyperlink"/>
    <w:basedOn w:val="a0"/>
    <w:uiPriority w:val="99"/>
    <w:semiHidden/>
    <w:unhideWhenUsed/>
    <w:rsid w:val="00F12F59"/>
    <w:rPr>
      <w:rFonts w:cs="Times New Roman"/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4430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3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0D6938"/>
    <w:pPr>
      <w:overflowPunct/>
      <w:autoSpaceDE/>
      <w:autoSpaceDN/>
      <w:adjustRightInd/>
      <w:spacing w:line="240" w:lineRule="auto"/>
      <w:ind w:left="0" w:right="0" w:firstLine="0"/>
      <w:jc w:val="center"/>
      <w:textAlignment w:val="auto"/>
    </w:pPr>
    <w:rPr>
      <w:rFonts w:ascii="a_FuturaOrto" w:eastAsia="Times New Roman" w:hAnsi="a_FuturaOrto"/>
      <w:snapToGrid w:val="0"/>
      <w:color w:val="000080"/>
      <w:szCs w:val="20"/>
      <w:lang w:val="x-none" w:eastAsia="x-none"/>
    </w:rPr>
  </w:style>
  <w:style w:type="character" w:customStyle="1" w:styleId="af2">
    <w:name w:val="Название Знак"/>
    <w:basedOn w:val="a0"/>
    <w:link w:val="af1"/>
    <w:rsid w:val="000D6938"/>
    <w:rPr>
      <w:rFonts w:ascii="a_FuturaOrto" w:eastAsia="Times New Roman" w:hAnsi="a_FuturaOrto" w:cs="Times New Roman"/>
      <w:snapToGrid w:val="0"/>
      <w:color w:val="000080"/>
      <w:sz w:val="28"/>
      <w:szCs w:val="20"/>
      <w:lang w:val="x-none" w:eastAsia="x-none"/>
    </w:rPr>
  </w:style>
  <w:style w:type="paragraph" w:styleId="af3">
    <w:name w:val="Body Text"/>
    <w:basedOn w:val="a"/>
    <w:link w:val="af4"/>
    <w:rsid w:val="00C11596"/>
    <w:pPr>
      <w:overflowPunct/>
      <w:autoSpaceDE/>
      <w:autoSpaceDN/>
      <w:adjustRightInd/>
      <w:spacing w:after="120" w:line="240" w:lineRule="auto"/>
      <w:ind w:left="0" w:right="0" w:firstLine="0"/>
      <w:jc w:val="left"/>
      <w:textAlignment w:val="auto"/>
    </w:pPr>
    <w:rPr>
      <w:rFonts w:eastAsia="Times New Roman"/>
      <w:i/>
      <w:lang w:val="x-none" w:eastAsia="x-none"/>
    </w:rPr>
  </w:style>
  <w:style w:type="character" w:customStyle="1" w:styleId="af4">
    <w:name w:val="Основной текст Знак"/>
    <w:basedOn w:val="a0"/>
    <w:link w:val="af3"/>
    <w:rsid w:val="00C11596"/>
    <w:rPr>
      <w:rFonts w:ascii="Times New Roman" w:eastAsia="Times New Roman" w:hAnsi="Times New Roman" w:cs="Times New Roman"/>
      <w:i/>
      <w:sz w:val="28"/>
      <w:szCs w:val="28"/>
      <w:lang w:val="x-none" w:eastAsia="x-none"/>
    </w:rPr>
  </w:style>
  <w:style w:type="paragraph" w:styleId="af5">
    <w:name w:val="Body Text Indent"/>
    <w:basedOn w:val="a"/>
    <w:link w:val="af6"/>
    <w:uiPriority w:val="99"/>
    <w:semiHidden/>
    <w:unhideWhenUsed/>
    <w:rsid w:val="00B11F9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F91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f7">
    <w:name w:val="Hyperlink"/>
    <w:basedOn w:val="a0"/>
    <w:uiPriority w:val="99"/>
    <w:semiHidden/>
    <w:unhideWhenUsed/>
    <w:rsid w:val="00F12F59"/>
    <w:rPr>
      <w:rFonts w:cs="Times New Roman"/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4430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3E8EC-1FC1-41F2-8A40-5FC82681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13521</Words>
  <Characters>77074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Горбанева </cp:lastModifiedBy>
  <cp:revision>9</cp:revision>
  <cp:lastPrinted>2020-01-29T08:15:00Z</cp:lastPrinted>
  <dcterms:created xsi:type="dcterms:W3CDTF">2020-10-27T19:39:00Z</dcterms:created>
  <dcterms:modified xsi:type="dcterms:W3CDTF">2020-10-29T15:01:00Z</dcterms:modified>
</cp:coreProperties>
</file>