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B2" w:rsidRPr="00504F91" w:rsidRDefault="004802B2" w:rsidP="008C51EF">
      <w:pPr>
        <w:spacing w:line="360" w:lineRule="auto"/>
        <w:ind w:firstLine="709"/>
        <w:jc w:val="both"/>
        <w:rPr>
          <w:rFonts w:eastAsia="Calibri"/>
          <w:b/>
          <w:color w:val="000000"/>
          <w:lang w:eastAsia="en-US"/>
        </w:rPr>
      </w:pPr>
      <w:bookmarkStart w:id="0" w:name="_GoBack"/>
      <w:bookmarkEnd w:id="0"/>
      <w:r>
        <w:rPr>
          <w:rFonts w:eastAsia="Calibri"/>
          <w:b/>
          <w:color w:val="000000"/>
          <w:lang w:eastAsia="en-US"/>
        </w:rPr>
        <w:t>24</w:t>
      </w:r>
      <w:r w:rsidRPr="00504F91">
        <w:rPr>
          <w:rFonts w:eastAsia="Calibri"/>
          <w:b/>
          <w:color w:val="000000"/>
          <w:lang w:eastAsia="en-US"/>
        </w:rPr>
        <w:t>. Госпрограмма «</w:t>
      </w:r>
      <w:r w:rsidRPr="00504F91">
        <w:rPr>
          <w:b/>
          <w:bCs/>
          <w:color w:val="000000"/>
        </w:rPr>
        <w:t>Развитие транспортной системы</w:t>
      </w:r>
      <w:r w:rsidRPr="00504F91">
        <w:rPr>
          <w:rFonts w:eastAsia="Calibri"/>
          <w:b/>
          <w:color w:val="000000"/>
          <w:lang w:eastAsia="en-US"/>
        </w:rPr>
        <w:t>»</w:t>
      </w:r>
    </w:p>
    <w:p w:rsidR="004802B2" w:rsidRPr="00504F91" w:rsidRDefault="004802B2" w:rsidP="008C51EF">
      <w:pPr>
        <w:spacing w:line="360" w:lineRule="auto"/>
        <w:ind w:firstLine="709"/>
        <w:jc w:val="both"/>
        <w:rPr>
          <w:color w:val="000000"/>
        </w:rPr>
      </w:pPr>
      <w:r w:rsidRPr="004802B2">
        <w:rPr>
          <w:b/>
          <w:color w:val="000000"/>
        </w:rPr>
        <w:t>24.1.</w:t>
      </w:r>
      <w:r>
        <w:rPr>
          <w:color w:val="000000"/>
        </w:rPr>
        <w:t xml:space="preserve"> </w:t>
      </w:r>
      <w:r w:rsidRPr="00504F91">
        <w:rPr>
          <w:color w:val="000000"/>
        </w:rPr>
        <w:t>Госпрограмма «Развитие транспортной системы» (далее – ГП-24</w:t>
      </w:r>
      <w:r w:rsidR="008A0851">
        <w:rPr>
          <w:color w:val="000000"/>
        </w:rPr>
        <w:t>, госпрограмма</w:t>
      </w:r>
      <w:r w:rsidRPr="00504F91">
        <w:rPr>
          <w:color w:val="000000"/>
        </w:rPr>
        <w:t xml:space="preserve">) утверждена постановлением Правительства Российской Федерации от 20 декабря 2017 г. </w:t>
      </w:r>
      <w:r w:rsidR="00325664">
        <w:rPr>
          <w:color w:val="000000"/>
        </w:rPr>
        <w:br/>
      </w:r>
      <w:r w:rsidRPr="00504F91">
        <w:rPr>
          <w:color w:val="000000"/>
        </w:rPr>
        <w:t>№ 1596.</w:t>
      </w:r>
    </w:p>
    <w:p w:rsidR="004802B2" w:rsidRPr="00504F91" w:rsidRDefault="004802B2" w:rsidP="008C51EF">
      <w:pPr>
        <w:widowControl w:val="0"/>
        <w:spacing w:line="360" w:lineRule="auto"/>
        <w:ind w:firstLine="680"/>
        <w:jc w:val="both"/>
        <w:rPr>
          <w:color w:val="000000"/>
        </w:rPr>
      </w:pPr>
      <w:r w:rsidRPr="00504F91">
        <w:rPr>
          <w:color w:val="000000"/>
        </w:rPr>
        <w:t xml:space="preserve">Согласно </w:t>
      </w:r>
      <w:r w:rsidRPr="00504F91">
        <w:rPr>
          <w:rFonts w:eastAsia="Calibri"/>
          <w:color w:val="000000"/>
          <w:lang w:eastAsia="en-US"/>
        </w:rPr>
        <w:t>проекту паспорта</w:t>
      </w:r>
      <w:r w:rsidRPr="00504F91">
        <w:rPr>
          <w:rFonts w:eastAsia="Calibri"/>
          <w:b/>
          <w:color w:val="000000"/>
          <w:lang w:eastAsia="en-US"/>
        </w:rPr>
        <w:t xml:space="preserve"> </w:t>
      </w:r>
      <w:r w:rsidRPr="00504F91">
        <w:rPr>
          <w:color w:val="000000"/>
        </w:rPr>
        <w:t xml:space="preserve">ГП-24, представленному в материалах к </w:t>
      </w:r>
      <w:r w:rsidR="00233755">
        <w:rPr>
          <w:color w:val="000000"/>
        </w:rPr>
        <w:t>з</w:t>
      </w:r>
      <w:r w:rsidRPr="00504F91">
        <w:rPr>
          <w:color w:val="000000"/>
        </w:rPr>
        <w:t>аконопроекту (далее – проект паспорта ГП-24):</w:t>
      </w:r>
    </w:p>
    <w:p w:rsidR="004802B2" w:rsidRPr="00504F91" w:rsidRDefault="004802B2" w:rsidP="008C51EF">
      <w:pPr>
        <w:widowControl w:val="0"/>
        <w:spacing w:line="360" w:lineRule="auto"/>
        <w:ind w:firstLine="709"/>
        <w:jc w:val="both"/>
        <w:rPr>
          <w:color w:val="000000"/>
        </w:rPr>
      </w:pPr>
      <w:r w:rsidRPr="00504F91">
        <w:rPr>
          <w:color w:val="000000"/>
        </w:rPr>
        <w:t>срок реализации: 2018 - 2024 годы;</w:t>
      </w:r>
    </w:p>
    <w:p w:rsidR="004802B2" w:rsidRPr="00504F91" w:rsidRDefault="004802B2" w:rsidP="008C51EF">
      <w:pPr>
        <w:widowControl w:val="0"/>
        <w:spacing w:line="360" w:lineRule="auto"/>
        <w:ind w:firstLine="709"/>
        <w:jc w:val="both"/>
        <w:rPr>
          <w:color w:val="000000"/>
        </w:rPr>
      </w:pPr>
      <w:r w:rsidRPr="00504F91">
        <w:rPr>
          <w:color w:val="000000"/>
        </w:rPr>
        <w:t xml:space="preserve">ответственным исполнителем ГП-24 является </w:t>
      </w:r>
      <w:r w:rsidRPr="00504F91">
        <w:rPr>
          <w:rFonts w:eastAsia="Calibri"/>
          <w:color w:val="000000"/>
        </w:rPr>
        <w:t>Минтранс России</w:t>
      </w:r>
      <w:r w:rsidRPr="00504F91">
        <w:rPr>
          <w:color w:val="000000"/>
        </w:rPr>
        <w:t>, соисполнителями – Ространснадзор, Росавиация, Росавтодор, Росжелдор и Росморречфлот, участников – 2.</w:t>
      </w:r>
    </w:p>
    <w:p w:rsidR="006C5B2E" w:rsidRPr="00504F91" w:rsidRDefault="00233755" w:rsidP="008C51EF">
      <w:pPr>
        <w:spacing w:line="360" w:lineRule="auto"/>
        <w:ind w:firstLine="709"/>
        <w:jc w:val="both"/>
        <w:rPr>
          <w:rFonts w:eastAsia="Calibri"/>
        </w:rPr>
      </w:pPr>
      <w:r w:rsidRPr="00900138">
        <w:rPr>
          <w:rFonts w:eastAsia="Calibri"/>
          <w:b/>
          <w:color w:val="000000"/>
          <w:lang w:eastAsia="en-US"/>
        </w:rPr>
        <w:t>24.</w:t>
      </w:r>
      <w:r w:rsidR="004802B2" w:rsidRPr="00900138">
        <w:rPr>
          <w:rFonts w:eastAsia="Calibri"/>
          <w:b/>
          <w:color w:val="000000"/>
          <w:lang w:eastAsia="en-US"/>
        </w:rPr>
        <w:t>2.</w:t>
      </w:r>
      <w:r w:rsidR="004802B2" w:rsidRPr="00504F91">
        <w:rPr>
          <w:rFonts w:eastAsia="Calibri"/>
          <w:color w:val="000000"/>
          <w:lang w:eastAsia="en-US"/>
        </w:rPr>
        <w:t> </w:t>
      </w:r>
      <w:r w:rsidR="006C5B2E" w:rsidRPr="00504F91">
        <w:rPr>
          <w:rFonts w:eastAsia="Calibri"/>
        </w:rPr>
        <w:t xml:space="preserve">Цели проекта паспорта </w:t>
      </w:r>
      <w:r w:rsidR="006C5B2E">
        <w:rPr>
          <w:rFonts w:eastAsia="Calibri"/>
        </w:rPr>
        <w:t xml:space="preserve">ГП-24 </w:t>
      </w:r>
      <w:r w:rsidR="006C5B2E" w:rsidRPr="00504F91">
        <w:rPr>
          <w:rFonts w:eastAsia="Calibri"/>
        </w:rPr>
        <w:t xml:space="preserve">в </w:t>
      </w:r>
      <w:r w:rsidR="006C5B2E">
        <w:rPr>
          <w:rFonts w:eastAsia="Calibri"/>
        </w:rPr>
        <w:t>основном</w:t>
      </w:r>
      <w:r w:rsidR="006C5B2E" w:rsidRPr="00504F91">
        <w:rPr>
          <w:rFonts w:eastAsia="Calibri"/>
        </w:rPr>
        <w:t xml:space="preserve"> соответствуют целям документов стратегического планирования в соответствующей сфере деятельности.</w:t>
      </w:r>
      <w:r w:rsidR="006C5B2E" w:rsidRPr="006C5B2E">
        <w:rPr>
          <w:rFonts w:eastAsia="Calibri"/>
          <w:color w:val="000000"/>
          <w:lang w:eastAsia="en-US"/>
        </w:rPr>
        <w:t xml:space="preserve"> </w:t>
      </w:r>
      <w:r w:rsidR="006C5B2E">
        <w:rPr>
          <w:rFonts w:eastAsia="Calibri"/>
          <w:color w:val="000000"/>
          <w:lang w:eastAsia="en-US"/>
        </w:rPr>
        <w:t>В связи с тем что ГП-2</w:t>
      </w:r>
      <w:r w:rsidR="006C5B2E" w:rsidRPr="00504F91">
        <w:rPr>
          <w:rFonts w:eastAsia="Calibri"/>
          <w:color w:val="000000"/>
          <w:lang w:eastAsia="en-US"/>
        </w:rPr>
        <w:t>4 является пилотной, включение в ее состав задач не предусмотрено.</w:t>
      </w:r>
    </w:p>
    <w:p w:rsidR="006C5B2E" w:rsidRPr="00504F91" w:rsidRDefault="004802B2" w:rsidP="008C51EF">
      <w:pPr>
        <w:spacing w:line="360" w:lineRule="auto"/>
        <w:ind w:firstLine="709"/>
        <w:jc w:val="both"/>
      </w:pPr>
      <w:r w:rsidRPr="00504F91">
        <w:rPr>
          <w:rFonts w:eastAsia="Calibri"/>
          <w:lang w:eastAsia="en-US"/>
        </w:rPr>
        <w:t xml:space="preserve">В </w:t>
      </w:r>
      <w:r w:rsidRPr="00D860F7">
        <w:t xml:space="preserve">проекте паспорта ГП-24 </w:t>
      </w:r>
      <w:r w:rsidRPr="00D860F7">
        <w:rPr>
          <w:rFonts w:eastAsia="Calibri"/>
          <w:lang w:eastAsia="en-US"/>
        </w:rPr>
        <w:t>предусмотрено 5 целевых показателей (инди</w:t>
      </w:r>
      <w:r w:rsidR="006C5B2E">
        <w:rPr>
          <w:rFonts w:eastAsia="Calibri"/>
          <w:lang w:eastAsia="en-US"/>
        </w:rPr>
        <w:t>каторов) на уровне госпрограммы,</w:t>
      </w:r>
      <w:r w:rsidR="00B51BA6">
        <w:rPr>
          <w:rFonts w:eastAsia="Calibri"/>
          <w:lang w:eastAsia="en-US"/>
        </w:rPr>
        <w:t xml:space="preserve"> из них 2</w:t>
      </w:r>
      <w:r w:rsidR="00B51BA6" w:rsidRPr="00B51BA6">
        <w:t xml:space="preserve"> </w:t>
      </w:r>
      <w:r w:rsidR="00B51BA6" w:rsidRPr="00B51BA6">
        <w:rPr>
          <w:rFonts w:eastAsia="Calibri"/>
          <w:lang w:eastAsia="en-US"/>
        </w:rPr>
        <w:t>целевых показател</w:t>
      </w:r>
      <w:r w:rsidR="00B51BA6">
        <w:rPr>
          <w:rFonts w:eastAsia="Calibri"/>
          <w:lang w:eastAsia="en-US"/>
        </w:rPr>
        <w:t>я</w:t>
      </w:r>
      <w:r w:rsidR="00B51BA6" w:rsidRPr="00B51BA6">
        <w:rPr>
          <w:rFonts w:eastAsia="Calibri"/>
          <w:lang w:eastAsia="en-US"/>
        </w:rPr>
        <w:t xml:space="preserve"> (индикатор</w:t>
      </w:r>
      <w:r w:rsidR="00B51BA6">
        <w:rPr>
          <w:rFonts w:eastAsia="Calibri"/>
          <w:lang w:eastAsia="en-US"/>
        </w:rPr>
        <w:t>а</w:t>
      </w:r>
      <w:r w:rsidR="00B51BA6" w:rsidRPr="00B51BA6">
        <w:rPr>
          <w:rFonts w:eastAsia="Calibri"/>
          <w:lang w:eastAsia="en-US"/>
        </w:rPr>
        <w:t xml:space="preserve">) </w:t>
      </w:r>
      <w:r w:rsidR="00B51BA6">
        <w:rPr>
          <w:rFonts w:eastAsia="Calibri"/>
          <w:lang w:eastAsia="en-US"/>
        </w:rPr>
        <w:t>и п</w:t>
      </w:r>
      <w:r w:rsidR="00B51BA6" w:rsidRPr="00B51BA6">
        <w:rPr>
          <w:rFonts w:eastAsia="Calibri"/>
          <w:lang w:eastAsia="en-US"/>
        </w:rPr>
        <w:t>оказатель национального проекта «Безопасные и качественные автомобильные дороги», входящего в проект ГП-24</w:t>
      </w:r>
      <w:r w:rsidR="00B51BA6">
        <w:rPr>
          <w:rFonts w:eastAsia="Calibri"/>
          <w:lang w:eastAsia="en-US"/>
        </w:rPr>
        <w:t xml:space="preserve">, </w:t>
      </w:r>
      <w:r w:rsidRPr="00504F91">
        <w:rPr>
          <w:rFonts w:eastAsia="Calibri"/>
        </w:rPr>
        <w:t>не в полной мере соответствуют показателям документов стратегического планирования в соо</w:t>
      </w:r>
      <w:r>
        <w:rPr>
          <w:rFonts w:eastAsia="Calibri"/>
        </w:rPr>
        <w:t>тветствующей сфере деятельности</w:t>
      </w:r>
      <w:r w:rsidR="00B51BA6">
        <w:rPr>
          <w:rFonts w:eastAsia="Calibri"/>
        </w:rPr>
        <w:t xml:space="preserve">. </w:t>
      </w:r>
      <w:r w:rsidR="006C5B2E">
        <w:rPr>
          <w:rFonts w:eastAsia="Calibri"/>
        </w:rPr>
        <w:t>И</w:t>
      </w:r>
      <w:r w:rsidRPr="00504F91">
        <w:t>нформация</w:t>
      </w:r>
      <w:r w:rsidR="006C5B2E">
        <w:t xml:space="preserve"> о значениях </w:t>
      </w:r>
      <w:r w:rsidR="00B51BA6">
        <w:t xml:space="preserve">указанных </w:t>
      </w:r>
      <w:r w:rsidR="00B51BA6" w:rsidRPr="00B51BA6">
        <w:t>целевых показател</w:t>
      </w:r>
      <w:r w:rsidR="00B51BA6">
        <w:t>ях</w:t>
      </w:r>
      <w:r w:rsidR="00B51BA6" w:rsidRPr="00B51BA6">
        <w:t xml:space="preserve"> (индикатор</w:t>
      </w:r>
      <w:r w:rsidR="00B51BA6">
        <w:t>ах</w:t>
      </w:r>
      <w:r w:rsidR="00B51BA6" w:rsidRPr="00B51BA6">
        <w:t>)</w:t>
      </w:r>
      <w:r w:rsidR="006C5B2E" w:rsidRPr="006C5B2E">
        <w:t xml:space="preserve"> представлена в следующей таблице</w:t>
      </w:r>
      <w:r w:rsidRPr="00504F91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069"/>
      </w:tblGrid>
      <w:tr w:rsidR="004802B2" w:rsidRPr="00504F91" w:rsidTr="00900138">
        <w:trPr>
          <w:cantSplit/>
          <w:tblHeader/>
        </w:trPr>
        <w:tc>
          <w:tcPr>
            <w:tcW w:w="2428" w:type="pct"/>
            <w:shd w:val="clear" w:color="auto" w:fill="auto"/>
            <w:vAlign w:val="center"/>
          </w:tcPr>
          <w:p w:rsidR="004802B2" w:rsidRPr="00504F91" w:rsidRDefault="004802B2" w:rsidP="0033105C">
            <w:pPr>
              <w:jc w:val="center"/>
              <w:outlineLvl w:val="1"/>
              <w:rPr>
                <w:rFonts w:eastAsia="PMingLiU"/>
                <w:sz w:val="18"/>
                <w:szCs w:val="16"/>
              </w:rPr>
            </w:pPr>
            <w:r w:rsidRPr="00504F91">
              <w:rPr>
                <w:rFonts w:eastAsia="PMingLiU"/>
                <w:sz w:val="18"/>
                <w:szCs w:val="16"/>
              </w:rPr>
              <w:t xml:space="preserve">Цели, задачи и целевые показатели основных стратегических документов </w:t>
            </w:r>
          </w:p>
        </w:tc>
        <w:tc>
          <w:tcPr>
            <w:tcW w:w="2572" w:type="pct"/>
            <w:shd w:val="clear" w:color="auto" w:fill="auto"/>
            <w:vAlign w:val="center"/>
          </w:tcPr>
          <w:p w:rsidR="004802B2" w:rsidRPr="00504F91" w:rsidRDefault="004802B2" w:rsidP="00D07FA4">
            <w:pPr>
              <w:jc w:val="center"/>
              <w:outlineLvl w:val="1"/>
              <w:rPr>
                <w:rFonts w:eastAsia="PMingLiU"/>
                <w:b/>
                <w:sz w:val="18"/>
                <w:szCs w:val="16"/>
              </w:rPr>
            </w:pPr>
            <w:r w:rsidRPr="00504F91">
              <w:rPr>
                <w:rFonts w:eastAsia="PMingLiU"/>
                <w:sz w:val="18"/>
                <w:szCs w:val="16"/>
              </w:rPr>
              <w:t>Цели, задачи и целевые показатели, отраженные в проекте паспорта ГП-</w:t>
            </w:r>
            <w:r w:rsidR="00D07FA4">
              <w:rPr>
                <w:rFonts w:eastAsia="PMingLiU"/>
                <w:sz w:val="18"/>
                <w:szCs w:val="16"/>
              </w:rPr>
              <w:t>24</w:t>
            </w:r>
          </w:p>
        </w:tc>
      </w:tr>
      <w:tr w:rsidR="004802B2" w:rsidRPr="00504F91" w:rsidTr="00D07FA4">
        <w:trPr>
          <w:tblHeader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FA4" w:rsidRDefault="004802B2" w:rsidP="006636F0">
            <w:pPr>
              <w:ind w:right="45"/>
              <w:jc w:val="both"/>
              <w:outlineLvl w:val="1"/>
              <w:rPr>
                <w:rFonts w:eastAsia="PMingLiU"/>
                <w:sz w:val="18"/>
                <w:szCs w:val="16"/>
              </w:rPr>
            </w:pPr>
            <w:r w:rsidRPr="00D07FA4">
              <w:rPr>
                <w:rFonts w:eastAsia="PMingLiU"/>
                <w:b/>
                <w:sz w:val="18"/>
                <w:szCs w:val="16"/>
              </w:rPr>
              <w:t>Транспортная стратегия</w:t>
            </w:r>
            <w:r w:rsidR="00D07FA4">
              <w:rPr>
                <w:rStyle w:val="a6"/>
                <w:rFonts w:eastAsia="PMingLiU"/>
                <w:sz w:val="18"/>
                <w:szCs w:val="16"/>
              </w:rPr>
              <w:footnoteReference w:id="1"/>
            </w:r>
            <w:r w:rsidRPr="00504F91">
              <w:rPr>
                <w:rFonts w:eastAsia="PMingLiU"/>
                <w:sz w:val="18"/>
                <w:szCs w:val="16"/>
              </w:rPr>
              <w:t xml:space="preserve">: </w:t>
            </w:r>
          </w:p>
          <w:p w:rsidR="004802B2" w:rsidRPr="00504F91" w:rsidRDefault="00D07FA4" w:rsidP="006636F0">
            <w:pPr>
              <w:ind w:right="45"/>
              <w:jc w:val="both"/>
              <w:outlineLvl w:val="1"/>
              <w:rPr>
                <w:rFonts w:eastAsia="PMingLiU"/>
                <w:sz w:val="18"/>
                <w:szCs w:val="16"/>
              </w:rPr>
            </w:pPr>
            <w:r>
              <w:rPr>
                <w:rFonts w:eastAsia="PMingLiU"/>
                <w:sz w:val="18"/>
                <w:szCs w:val="16"/>
              </w:rPr>
              <w:t xml:space="preserve">   </w:t>
            </w:r>
            <w:r w:rsidR="004802B2" w:rsidRPr="00504F91">
              <w:rPr>
                <w:rFonts w:eastAsia="PMingLiU"/>
                <w:sz w:val="18"/>
                <w:szCs w:val="16"/>
              </w:rPr>
              <w:t xml:space="preserve">транспортная подвижность населения в 2020 году должна составить </w:t>
            </w:r>
            <w:r w:rsidR="004802B2" w:rsidRPr="00504F91">
              <w:rPr>
                <w:rFonts w:eastAsia="PMingLiU"/>
                <w:b/>
                <w:sz w:val="18"/>
                <w:szCs w:val="16"/>
              </w:rPr>
              <w:t>10,4 тыс. пасс.-км на 1 человека в год</w:t>
            </w:r>
            <w:r w:rsidR="00900138">
              <w:rPr>
                <w:rFonts w:eastAsia="PMingLiU"/>
                <w:b/>
                <w:sz w:val="18"/>
                <w:szCs w:val="16"/>
              </w:rPr>
              <w:t>;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FA4" w:rsidRDefault="00D07FA4" w:rsidP="006636F0">
            <w:pPr>
              <w:ind w:right="45"/>
              <w:jc w:val="both"/>
              <w:outlineLvl w:val="1"/>
              <w:rPr>
                <w:rFonts w:eastAsia="PMingLiU"/>
                <w:sz w:val="18"/>
                <w:szCs w:val="16"/>
              </w:rPr>
            </w:pPr>
          </w:p>
          <w:p w:rsidR="004802B2" w:rsidRPr="00504F91" w:rsidRDefault="004802B2" w:rsidP="006636F0">
            <w:pPr>
              <w:ind w:right="45"/>
              <w:jc w:val="both"/>
              <w:outlineLvl w:val="1"/>
              <w:rPr>
                <w:rFonts w:eastAsia="PMingLiU"/>
                <w:sz w:val="18"/>
                <w:szCs w:val="16"/>
              </w:rPr>
            </w:pPr>
            <w:r w:rsidRPr="00504F91">
              <w:rPr>
                <w:rFonts w:eastAsia="PMingLiU"/>
                <w:sz w:val="18"/>
                <w:szCs w:val="16"/>
              </w:rPr>
              <w:t xml:space="preserve">Целевой показатель цели 2: транспортная подвижность населения к 2020 году должна составить </w:t>
            </w:r>
            <w:r w:rsidRPr="00504F91">
              <w:rPr>
                <w:rFonts w:eastAsia="PMingLiU"/>
                <w:b/>
                <w:sz w:val="18"/>
                <w:szCs w:val="16"/>
              </w:rPr>
              <w:t>8,7 тыс. пасс.-км на 1 человека</w:t>
            </w:r>
          </w:p>
        </w:tc>
      </w:tr>
      <w:tr w:rsidR="004802B2" w:rsidRPr="00504F91" w:rsidTr="00D07FA4">
        <w:trPr>
          <w:tblHeader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2" w:rsidRPr="00504F91" w:rsidRDefault="00D07FA4" w:rsidP="006636F0">
            <w:pPr>
              <w:ind w:right="45"/>
              <w:jc w:val="both"/>
              <w:outlineLvl w:val="1"/>
              <w:rPr>
                <w:rFonts w:eastAsia="PMingLiU"/>
                <w:sz w:val="18"/>
                <w:szCs w:val="16"/>
              </w:rPr>
            </w:pPr>
            <w:r>
              <w:rPr>
                <w:rFonts w:eastAsia="PMingLiU"/>
                <w:sz w:val="18"/>
                <w:szCs w:val="16"/>
              </w:rPr>
              <w:t xml:space="preserve">   </w:t>
            </w:r>
            <w:r w:rsidR="004802B2" w:rsidRPr="00504F91">
              <w:rPr>
                <w:rFonts w:eastAsia="PMingLiU"/>
                <w:sz w:val="18"/>
                <w:szCs w:val="16"/>
              </w:rPr>
              <w:t xml:space="preserve">показатель «количество погибших в дорожно-транспортных происшествиях, человек на 100 тысяч населения» в 2020 году должен составить </w:t>
            </w:r>
            <w:r w:rsidR="004802B2" w:rsidRPr="00504F91">
              <w:rPr>
                <w:rFonts w:eastAsia="PMingLiU"/>
                <w:b/>
                <w:sz w:val="18"/>
                <w:szCs w:val="16"/>
              </w:rPr>
              <w:t>9,9 человек на 100 тысяч населения</w:t>
            </w:r>
            <w:r w:rsidR="00900138">
              <w:rPr>
                <w:rFonts w:eastAsia="PMingLiU"/>
                <w:b/>
                <w:sz w:val="18"/>
                <w:szCs w:val="16"/>
              </w:rPr>
              <w:t>;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2" w:rsidRPr="00504F91" w:rsidRDefault="004802B2" w:rsidP="00B51BA6">
            <w:pPr>
              <w:ind w:right="45"/>
              <w:jc w:val="both"/>
              <w:outlineLvl w:val="1"/>
              <w:rPr>
                <w:rFonts w:eastAsia="PMingLiU"/>
                <w:sz w:val="18"/>
                <w:szCs w:val="16"/>
              </w:rPr>
            </w:pPr>
            <w:r w:rsidRPr="00504F91">
              <w:rPr>
                <w:rFonts w:eastAsia="PMingLiU"/>
                <w:sz w:val="18"/>
                <w:szCs w:val="16"/>
              </w:rPr>
              <w:t xml:space="preserve">Показатель национального проекта «Безопасные и качественные автомобильные дороги», входящего в проект ГП-24: «количество погибших в дорожно-транспортных происшествиях, человек на 100 тысяч населения» в 2020 году должен составить </w:t>
            </w:r>
            <w:r w:rsidRPr="00504F91">
              <w:rPr>
                <w:rFonts w:eastAsia="PMingLiU"/>
                <w:b/>
                <w:sz w:val="18"/>
                <w:szCs w:val="16"/>
              </w:rPr>
              <w:t>10,9 человек на 100 тысяч населения</w:t>
            </w:r>
          </w:p>
        </w:tc>
      </w:tr>
      <w:tr w:rsidR="004802B2" w:rsidRPr="00504F91" w:rsidTr="00D07FA4">
        <w:trPr>
          <w:tblHeader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2" w:rsidRPr="00504F91" w:rsidRDefault="00D07FA4" w:rsidP="006636F0">
            <w:pPr>
              <w:ind w:right="45"/>
              <w:jc w:val="both"/>
              <w:outlineLvl w:val="1"/>
              <w:rPr>
                <w:rFonts w:eastAsia="PMingLiU"/>
                <w:sz w:val="18"/>
                <w:szCs w:val="16"/>
              </w:rPr>
            </w:pPr>
            <w:r>
              <w:rPr>
                <w:rFonts w:eastAsia="PMingLiU"/>
                <w:sz w:val="18"/>
                <w:szCs w:val="16"/>
              </w:rPr>
              <w:t xml:space="preserve">   </w:t>
            </w:r>
            <w:r w:rsidR="004802B2" w:rsidRPr="00504F91">
              <w:rPr>
                <w:rFonts w:eastAsia="PMingLiU"/>
                <w:sz w:val="18"/>
                <w:szCs w:val="16"/>
              </w:rPr>
              <w:t xml:space="preserve">экспорт транспортных услуг в 2020 году должен составить </w:t>
            </w:r>
            <w:r w:rsidR="004802B2" w:rsidRPr="00504F91">
              <w:rPr>
                <w:rFonts w:eastAsia="PMingLiU"/>
                <w:b/>
                <w:sz w:val="18"/>
                <w:szCs w:val="16"/>
              </w:rPr>
              <w:t>31,0 млрд. долларов США</w:t>
            </w:r>
            <w:r w:rsidR="00900138">
              <w:rPr>
                <w:rFonts w:eastAsia="PMingLiU"/>
                <w:b/>
                <w:sz w:val="18"/>
                <w:szCs w:val="16"/>
              </w:rPr>
              <w:t>.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02B2" w:rsidRPr="00504F91" w:rsidRDefault="004802B2" w:rsidP="006636F0">
            <w:pPr>
              <w:ind w:right="45"/>
              <w:jc w:val="both"/>
              <w:outlineLvl w:val="1"/>
              <w:rPr>
                <w:rFonts w:eastAsia="PMingLiU"/>
                <w:sz w:val="18"/>
                <w:szCs w:val="16"/>
              </w:rPr>
            </w:pPr>
            <w:r w:rsidRPr="00504F91">
              <w:rPr>
                <w:rFonts w:eastAsia="PMingLiU"/>
                <w:sz w:val="18"/>
                <w:szCs w:val="16"/>
              </w:rPr>
              <w:t xml:space="preserve">Целевой показатель цели 3: экспорт транспортных услуг в 2020 году должен составить </w:t>
            </w:r>
            <w:r w:rsidRPr="00504F91">
              <w:rPr>
                <w:rFonts w:eastAsia="PMingLiU"/>
                <w:b/>
                <w:sz w:val="18"/>
                <w:szCs w:val="16"/>
              </w:rPr>
              <w:t>20,6 млрд. долларов США</w:t>
            </w:r>
          </w:p>
        </w:tc>
      </w:tr>
    </w:tbl>
    <w:p w:rsidR="004802B2" w:rsidRPr="008A0851" w:rsidRDefault="004802B2" w:rsidP="004802B2">
      <w:pPr>
        <w:widowControl w:val="0"/>
        <w:spacing w:line="312" w:lineRule="auto"/>
        <w:ind w:firstLine="709"/>
        <w:contextualSpacing/>
        <w:jc w:val="both"/>
        <w:rPr>
          <w:rFonts w:eastAsia="Calibri"/>
          <w:b/>
          <w:sz w:val="10"/>
          <w:szCs w:val="10"/>
          <w:highlight w:val="green"/>
          <w:lang w:eastAsia="en-US"/>
        </w:rPr>
      </w:pPr>
    </w:p>
    <w:p w:rsidR="004802B2" w:rsidRPr="00504F91" w:rsidRDefault="00900138" w:rsidP="008C51EF">
      <w:pPr>
        <w:widowControl w:val="0"/>
        <w:spacing w:line="360" w:lineRule="auto"/>
        <w:ind w:firstLine="709"/>
        <w:contextualSpacing/>
        <w:jc w:val="both"/>
        <w:rPr>
          <w:rFonts w:eastAsia="Calibri"/>
          <w:lang w:eastAsia="en-US"/>
        </w:rPr>
      </w:pPr>
      <w:r w:rsidRPr="00900138">
        <w:rPr>
          <w:rFonts w:eastAsia="Calibri"/>
          <w:b/>
          <w:lang w:eastAsia="en-US"/>
        </w:rPr>
        <w:t>24.</w:t>
      </w:r>
      <w:r w:rsidR="004802B2" w:rsidRPr="00900138">
        <w:rPr>
          <w:rFonts w:eastAsia="Calibri"/>
          <w:b/>
          <w:lang w:eastAsia="en-US"/>
        </w:rPr>
        <w:t>3.</w:t>
      </w:r>
      <w:r w:rsidR="004802B2" w:rsidRPr="00504F91">
        <w:t> </w:t>
      </w:r>
      <w:r w:rsidR="004802B2" w:rsidRPr="00504F91">
        <w:rPr>
          <w:rFonts w:eastAsia="Calibri"/>
          <w:lang w:eastAsia="en-US"/>
        </w:rPr>
        <w:t xml:space="preserve">Сведения о финансовом обеспечении </w:t>
      </w:r>
      <w:r w:rsidR="006C5B2E">
        <w:rPr>
          <w:rFonts w:eastAsia="Calibri"/>
          <w:lang w:eastAsia="en-US"/>
        </w:rPr>
        <w:t>ГП-24</w:t>
      </w:r>
      <w:r w:rsidR="00974BA3">
        <w:rPr>
          <w:rFonts w:eastAsia="Calibri"/>
          <w:lang w:eastAsia="en-US"/>
        </w:rPr>
        <w:t xml:space="preserve"> </w:t>
      </w:r>
      <w:r w:rsidR="004802B2" w:rsidRPr="00504F91">
        <w:rPr>
          <w:rFonts w:eastAsia="Calibri"/>
          <w:lang w:eastAsia="en-US"/>
        </w:rPr>
        <w:t>в 2018</w:t>
      </w:r>
      <w:r w:rsidR="00974BA3">
        <w:rPr>
          <w:rFonts w:eastAsia="Calibri"/>
          <w:lang w:eastAsia="en-US"/>
        </w:rPr>
        <w:t> </w:t>
      </w:r>
      <w:r w:rsidR="004802B2" w:rsidRPr="00504F91">
        <w:rPr>
          <w:rFonts w:eastAsia="Calibri"/>
          <w:lang w:eastAsia="en-US"/>
        </w:rPr>
        <w:t>-</w:t>
      </w:r>
      <w:r w:rsidR="00974BA3">
        <w:rPr>
          <w:rFonts w:eastAsia="Calibri"/>
          <w:lang w:eastAsia="en-US"/>
        </w:rPr>
        <w:t> </w:t>
      </w:r>
      <w:r w:rsidR="004802B2" w:rsidRPr="00504F91">
        <w:rPr>
          <w:rFonts w:eastAsia="Calibri"/>
          <w:lang w:eastAsia="en-US"/>
        </w:rPr>
        <w:t>2022 годах за счет средств федерального бюджета, консолидированных бюджетов субъектов Российской Федерации,</w:t>
      </w:r>
      <w:r w:rsidR="004802B2" w:rsidRPr="00504F91">
        <w:rPr>
          <w:sz w:val="16"/>
          <w:szCs w:val="16"/>
        </w:rPr>
        <w:t xml:space="preserve"> </w:t>
      </w:r>
      <w:r w:rsidR="004802B2" w:rsidRPr="00504F91">
        <w:rPr>
          <w:rFonts w:eastAsia="Calibri"/>
          <w:lang w:eastAsia="en-US"/>
        </w:rPr>
        <w:t>внебюджетных источников представлены в следующей таблице.</w:t>
      </w:r>
    </w:p>
    <w:p w:rsidR="004802B2" w:rsidRPr="00900138" w:rsidRDefault="004802B2" w:rsidP="004802B2">
      <w:pPr>
        <w:overflowPunct w:val="0"/>
        <w:autoSpaceDE w:val="0"/>
        <w:autoSpaceDN w:val="0"/>
        <w:adjustRightInd w:val="0"/>
        <w:ind w:left="284" w:right="-1" w:firstLine="709"/>
        <w:jc w:val="right"/>
        <w:textAlignment w:val="baseline"/>
        <w:rPr>
          <w:sz w:val="20"/>
          <w:szCs w:val="20"/>
        </w:rPr>
      </w:pPr>
      <w:r w:rsidRPr="00900138">
        <w:rPr>
          <w:sz w:val="20"/>
          <w:szCs w:val="20"/>
        </w:rPr>
        <w:t xml:space="preserve"> (млн. рублей)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1104"/>
        <w:gridCol w:w="1193"/>
        <w:gridCol w:w="1005"/>
        <w:gridCol w:w="1092"/>
        <w:gridCol w:w="1134"/>
        <w:gridCol w:w="993"/>
        <w:gridCol w:w="992"/>
      </w:tblGrid>
      <w:tr w:rsidR="004802B2" w:rsidRPr="00504F91" w:rsidTr="00C24FB2">
        <w:trPr>
          <w:trHeight w:val="300"/>
          <w:tblHeader/>
        </w:trPr>
        <w:tc>
          <w:tcPr>
            <w:tcW w:w="2283" w:type="dxa"/>
            <w:vMerge w:val="restart"/>
            <w:shd w:val="clear" w:color="auto" w:fill="auto"/>
            <w:vAlign w:val="center"/>
            <w:hideMark/>
          </w:tcPr>
          <w:p w:rsidR="004802B2" w:rsidRPr="00504F91" w:rsidRDefault="004802B2" w:rsidP="00C24FB2">
            <w:pPr>
              <w:ind w:left="-57" w:right="-57"/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3302" w:type="dxa"/>
            <w:gridSpan w:val="3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2018 год</w:t>
            </w:r>
          </w:p>
        </w:tc>
        <w:tc>
          <w:tcPr>
            <w:tcW w:w="1092" w:type="dxa"/>
            <w:vMerge w:val="restart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2019 год по проекту паспорта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2020 год по проекту паспорта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2021 год по проекту паспорта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2022 год по проекту паспорта</w:t>
            </w:r>
          </w:p>
        </w:tc>
      </w:tr>
      <w:tr w:rsidR="004802B2" w:rsidRPr="00504F91" w:rsidTr="00C24FB2">
        <w:trPr>
          <w:trHeight w:val="269"/>
          <w:tblHeader/>
        </w:trPr>
        <w:tc>
          <w:tcPr>
            <w:tcW w:w="2283" w:type="dxa"/>
            <w:vMerge/>
            <w:vAlign w:val="center"/>
            <w:hideMark/>
          </w:tcPr>
          <w:p w:rsidR="004802B2" w:rsidRPr="00504F91" w:rsidRDefault="004802B2" w:rsidP="00C24FB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4802B2" w:rsidRPr="00504F91" w:rsidRDefault="008A0851" w:rsidP="006636F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</w:t>
            </w:r>
            <w:r w:rsidR="004802B2" w:rsidRPr="00504F91">
              <w:rPr>
                <w:sz w:val="16"/>
                <w:szCs w:val="16"/>
              </w:rPr>
              <w:t>актические расходы*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4802B2" w:rsidRPr="00504F91" w:rsidRDefault="008A0851" w:rsidP="00C24F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4802B2" w:rsidRPr="00504F91">
              <w:rPr>
                <w:sz w:val="16"/>
                <w:szCs w:val="16"/>
              </w:rPr>
              <w:t>тклонение от утвержденной ГП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% отклонения</w:t>
            </w:r>
          </w:p>
        </w:tc>
        <w:tc>
          <w:tcPr>
            <w:tcW w:w="1092" w:type="dxa"/>
            <w:vMerge/>
            <w:vAlign w:val="center"/>
            <w:hideMark/>
          </w:tcPr>
          <w:p w:rsidR="004802B2" w:rsidRPr="00504F91" w:rsidRDefault="004802B2" w:rsidP="006636F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802B2" w:rsidRPr="00504F91" w:rsidRDefault="004802B2" w:rsidP="006636F0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4802B2" w:rsidRPr="00504F91" w:rsidRDefault="004802B2" w:rsidP="006636F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802B2" w:rsidRPr="00504F91" w:rsidRDefault="004802B2" w:rsidP="006636F0">
            <w:pPr>
              <w:rPr>
                <w:sz w:val="16"/>
                <w:szCs w:val="16"/>
              </w:rPr>
            </w:pPr>
          </w:p>
        </w:tc>
      </w:tr>
      <w:tr w:rsidR="004802B2" w:rsidRPr="00504F91" w:rsidTr="00C24FB2">
        <w:trPr>
          <w:trHeight w:val="50"/>
          <w:tblHeader/>
        </w:trPr>
        <w:tc>
          <w:tcPr>
            <w:tcW w:w="2283" w:type="dxa"/>
            <w:shd w:val="clear" w:color="auto" w:fill="auto"/>
            <w:vAlign w:val="center"/>
            <w:hideMark/>
          </w:tcPr>
          <w:p w:rsidR="004802B2" w:rsidRPr="00504F91" w:rsidRDefault="004802B2" w:rsidP="00C24FB2">
            <w:pPr>
              <w:ind w:left="-57" w:right="-57"/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3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4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8</w:t>
            </w:r>
          </w:p>
        </w:tc>
      </w:tr>
      <w:tr w:rsidR="004802B2" w:rsidRPr="00504F91" w:rsidTr="00900138">
        <w:trPr>
          <w:trHeight w:val="50"/>
        </w:trPr>
        <w:tc>
          <w:tcPr>
            <w:tcW w:w="2283" w:type="dxa"/>
            <w:shd w:val="clear" w:color="auto" w:fill="auto"/>
            <w:vAlign w:val="center"/>
            <w:hideMark/>
          </w:tcPr>
          <w:p w:rsidR="004802B2" w:rsidRPr="00504F91" w:rsidRDefault="004802B2" w:rsidP="00C24FB2">
            <w:pPr>
              <w:ind w:left="-57" w:right="-57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всего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1 331 247,8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-736 511,0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-35,6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2 015 880,3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2 286 681,0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2 660 444,9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2 938 740,3</w:t>
            </w:r>
          </w:p>
        </w:tc>
      </w:tr>
      <w:tr w:rsidR="004802B2" w:rsidRPr="00504F91" w:rsidTr="00900138">
        <w:trPr>
          <w:trHeight w:val="50"/>
        </w:trPr>
        <w:tc>
          <w:tcPr>
            <w:tcW w:w="2283" w:type="dxa"/>
            <w:shd w:val="clear" w:color="auto" w:fill="auto"/>
            <w:vAlign w:val="center"/>
            <w:hideMark/>
          </w:tcPr>
          <w:p w:rsidR="004802B2" w:rsidRPr="00504F91" w:rsidRDefault="004802B2" w:rsidP="00C24FB2">
            <w:pPr>
              <w:ind w:left="-57" w:right="-57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813 674,8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14 460,9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1,8</w:t>
            </w:r>
          </w:p>
        </w:tc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1 035 219,5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948 547,9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1 124 934,2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1 290 715,8</w:t>
            </w:r>
          </w:p>
        </w:tc>
      </w:tr>
      <w:tr w:rsidR="004802B2" w:rsidRPr="00504F91" w:rsidTr="00900138">
        <w:trPr>
          <w:trHeight w:val="50"/>
        </w:trPr>
        <w:tc>
          <w:tcPr>
            <w:tcW w:w="2283" w:type="dxa"/>
            <w:shd w:val="clear" w:color="auto" w:fill="auto"/>
            <w:vAlign w:val="center"/>
            <w:hideMark/>
          </w:tcPr>
          <w:p w:rsidR="004802B2" w:rsidRPr="00504F91" w:rsidRDefault="004802B2" w:rsidP="00C24FB2">
            <w:pPr>
              <w:ind w:left="-57" w:right="-57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 xml:space="preserve">консолидированные бюджеты субъектов Российской </w:t>
            </w:r>
            <w:r w:rsidRPr="00504F91">
              <w:rPr>
                <w:sz w:val="16"/>
                <w:szCs w:val="16"/>
              </w:rPr>
              <w:lastRenderedPageBreak/>
              <w:t xml:space="preserve">Федерации 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lastRenderedPageBreak/>
              <w:t>37 370,0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-628 701,8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-94,4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536 969,5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600 673,9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697 319,1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779 978,6</w:t>
            </w:r>
          </w:p>
        </w:tc>
      </w:tr>
      <w:tr w:rsidR="004802B2" w:rsidRPr="00504F91" w:rsidTr="00900138">
        <w:trPr>
          <w:trHeight w:val="50"/>
        </w:trPr>
        <w:tc>
          <w:tcPr>
            <w:tcW w:w="2283" w:type="dxa"/>
            <w:shd w:val="clear" w:color="auto" w:fill="auto"/>
            <w:vAlign w:val="center"/>
            <w:hideMark/>
          </w:tcPr>
          <w:p w:rsidR="004802B2" w:rsidRPr="00504F91" w:rsidRDefault="004802B2" w:rsidP="00C24FB2">
            <w:pPr>
              <w:ind w:left="-57" w:right="-57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lastRenderedPageBreak/>
              <w:t>бюджеты государственных внебюджетных фондов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49 000,0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-67 466,2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-57,9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 </w:t>
            </w:r>
          </w:p>
        </w:tc>
      </w:tr>
      <w:tr w:rsidR="004802B2" w:rsidRPr="00504F91" w:rsidTr="00900138">
        <w:trPr>
          <w:trHeight w:val="50"/>
        </w:trPr>
        <w:tc>
          <w:tcPr>
            <w:tcW w:w="2283" w:type="dxa"/>
            <w:shd w:val="clear" w:color="auto" w:fill="auto"/>
            <w:vAlign w:val="center"/>
            <w:hideMark/>
          </w:tcPr>
          <w:p w:rsidR="004802B2" w:rsidRPr="00504F91" w:rsidRDefault="004802B2" w:rsidP="00C24FB2">
            <w:pPr>
              <w:ind w:left="-57" w:right="-113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внебюджетны</w:t>
            </w:r>
            <w:r w:rsidR="00C24FB2">
              <w:rPr>
                <w:sz w:val="16"/>
                <w:szCs w:val="16"/>
              </w:rPr>
              <w:t>е</w:t>
            </w:r>
            <w:r w:rsidRPr="00504F91">
              <w:rPr>
                <w:sz w:val="16"/>
                <w:szCs w:val="16"/>
              </w:rPr>
              <w:t xml:space="preserve"> источник</w:t>
            </w:r>
            <w:r w:rsidR="00C24FB2">
              <w:rPr>
                <w:sz w:val="16"/>
                <w:szCs w:val="16"/>
              </w:rPr>
              <w:t>и</w:t>
            </w:r>
            <w:r w:rsidRPr="00504F91">
              <w:rPr>
                <w:sz w:val="16"/>
                <w:szCs w:val="16"/>
              </w:rPr>
              <w:t xml:space="preserve"> (в том числе юридические </w:t>
            </w:r>
            <w:r w:rsidR="00C24FB2">
              <w:rPr>
                <w:sz w:val="16"/>
                <w:szCs w:val="16"/>
              </w:rPr>
              <w:t>л</w:t>
            </w:r>
            <w:r w:rsidRPr="00504F91">
              <w:rPr>
                <w:sz w:val="16"/>
                <w:szCs w:val="16"/>
              </w:rPr>
              <w:t>ица)</w:t>
            </w:r>
            <w:r w:rsidR="00C24FB2">
              <w:rPr>
                <w:sz w:val="16"/>
                <w:szCs w:val="16"/>
              </w:rPr>
              <w:t>**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431 203,0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-54 803,9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-11,3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443 691,2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737 459,2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838 191,5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802B2" w:rsidRPr="00504F91" w:rsidRDefault="004802B2" w:rsidP="006636F0">
            <w:pPr>
              <w:jc w:val="center"/>
              <w:rPr>
                <w:sz w:val="16"/>
                <w:szCs w:val="16"/>
              </w:rPr>
            </w:pPr>
            <w:r w:rsidRPr="00504F91">
              <w:rPr>
                <w:sz w:val="16"/>
                <w:szCs w:val="16"/>
              </w:rPr>
              <w:t>868 045,9</w:t>
            </w:r>
          </w:p>
        </w:tc>
      </w:tr>
    </w:tbl>
    <w:p w:rsidR="004802B2" w:rsidRPr="00504F91" w:rsidRDefault="004802B2" w:rsidP="00095E42">
      <w:pPr>
        <w:jc w:val="both"/>
        <w:rPr>
          <w:sz w:val="16"/>
        </w:rPr>
      </w:pPr>
      <w:r w:rsidRPr="00504F91">
        <w:rPr>
          <w:sz w:val="16"/>
        </w:rPr>
        <w:t>* По данным Сводного годового доклада.</w:t>
      </w:r>
    </w:p>
    <w:p w:rsidR="004802B2" w:rsidRPr="00504F91" w:rsidRDefault="004802B2" w:rsidP="00095E42">
      <w:pPr>
        <w:jc w:val="both"/>
        <w:rPr>
          <w:sz w:val="16"/>
        </w:rPr>
      </w:pPr>
      <w:r w:rsidRPr="00504F91">
        <w:rPr>
          <w:sz w:val="16"/>
        </w:rPr>
        <w:t>** Средства институтов развития, государственных корпораций и компаний с государственным участием, средства из иных источников, направляемые на реализацию федеральных проектов, ведомственных проектов (программ), отдельных мероприятий таких проектов (программ).</w:t>
      </w:r>
    </w:p>
    <w:p w:rsidR="00095E42" w:rsidRPr="008A0851" w:rsidRDefault="00095E42" w:rsidP="008C51EF">
      <w:pPr>
        <w:widowControl w:val="0"/>
        <w:spacing w:line="360" w:lineRule="auto"/>
        <w:ind w:firstLine="709"/>
        <w:contextualSpacing/>
        <w:jc w:val="both"/>
        <w:rPr>
          <w:sz w:val="10"/>
          <w:szCs w:val="10"/>
        </w:rPr>
      </w:pPr>
    </w:p>
    <w:p w:rsidR="004802B2" w:rsidRPr="00715669" w:rsidRDefault="004802B2" w:rsidP="004707F7">
      <w:pPr>
        <w:widowControl w:val="0"/>
        <w:spacing w:line="324" w:lineRule="auto"/>
        <w:ind w:firstLine="709"/>
        <w:contextualSpacing/>
        <w:jc w:val="both"/>
      </w:pPr>
      <w:r w:rsidRPr="00715669">
        <w:t xml:space="preserve">Анализ данных об исполнении расходов за 2018 год за счет всех источников финансирования </w:t>
      </w:r>
      <w:r w:rsidR="006C5B2E">
        <w:t>ГП-24</w:t>
      </w:r>
      <w:r w:rsidR="00974BA3">
        <w:t xml:space="preserve"> </w:t>
      </w:r>
      <w:r w:rsidRPr="00715669">
        <w:t xml:space="preserve">показал, что паспортом </w:t>
      </w:r>
      <w:r w:rsidR="006C5B2E">
        <w:t>ГП-24</w:t>
      </w:r>
      <w:r w:rsidR="00974BA3">
        <w:t xml:space="preserve"> </w:t>
      </w:r>
      <w:r w:rsidRPr="00715669">
        <w:t xml:space="preserve">предусмотрена реализация мероприятий за счет средств федерального бюджета, консолидированных бюджетов субъектов Российской Федерации и внебюджетных источников. </w:t>
      </w:r>
    </w:p>
    <w:p w:rsidR="004802B2" w:rsidRPr="00715669" w:rsidRDefault="004802B2" w:rsidP="004707F7">
      <w:pPr>
        <w:widowControl w:val="0"/>
        <w:spacing w:line="324" w:lineRule="auto"/>
        <w:ind w:firstLine="709"/>
        <w:contextualSpacing/>
        <w:jc w:val="both"/>
      </w:pPr>
      <w:r w:rsidRPr="00715669">
        <w:t>Согласно проекту паспорта в 2019</w:t>
      </w:r>
      <w:r w:rsidR="00680E21">
        <w:t> - </w:t>
      </w:r>
      <w:r w:rsidRPr="00715669">
        <w:t xml:space="preserve">2022 годах реализация мероприятий </w:t>
      </w:r>
      <w:r w:rsidR="006C5B2E">
        <w:t>ГП-24</w:t>
      </w:r>
      <w:r w:rsidR="00974BA3">
        <w:t xml:space="preserve"> </w:t>
      </w:r>
      <w:r w:rsidRPr="00715669">
        <w:t xml:space="preserve">планируется </w:t>
      </w:r>
      <w:r w:rsidR="00095E42">
        <w:t xml:space="preserve">также </w:t>
      </w:r>
      <w:r w:rsidRPr="00715669">
        <w:t>за счет средств федерального бюджета, консолидированных бюджетов субъектов Российской Федерации и внебюджетных источников.</w:t>
      </w:r>
    </w:p>
    <w:p w:rsidR="004707F7" w:rsidRDefault="000415E5" w:rsidP="004707F7">
      <w:pPr>
        <w:widowControl w:val="0"/>
        <w:overflowPunct w:val="0"/>
        <w:autoSpaceDE w:val="0"/>
        <w:autoSpaceDN w:val="0"/>
        <w:adjustRightInd w:val="0"/>
        <w:spacing w:line="324" w:lineRule="auto"/>
        <w:ind w:firstLine="709"/>
        <w:contextualSpacing/>
        <w:jc w:val="both"/>
        <w:textAlignment w:val="baseline"/>
      </w:pPr>
      <w:r w:rsidRPr="000415E5">
        <w:rPr>
          <w:b/>
        </w:rPr>
        <w:t>24.</w:t>
      </w:r>
      <w:r w:rsidR="004802B2" w:rsidRPr="000415E5">
        <w:rPr>
          <w:b/>
        </w:rPr>
        <w:t>4.</w:t>
      </w:r>
      <w:r w:rsidR="004802B2" w:rsidRPr="00715669">
        <w:rPr>
          <w:i/>
        </w:rPr>
        <w:t xml:space="preserve"> </w:t>
      </w:r>
      <w:r w:rsidR="004802B2" w:rsidRPr="00715669">
        <w:t xml:space="preserve">Сведения о финансовом обеспечении </w:t>
      </w:r>
      <w:r w:rsidR="006C5B2E">
        <w:t>ГП-24</w:t>
      </w:r>
      <w:r w:rsidR="00974BA3">
        <w:t xml:space="preserve"> </w:t>
      </w:r>
      <w:r w:rsidR="004802B2" w:rsidRPr="00715669">
        <w:t>за счет средств федерального бюджета в 2018</w:t>
      </w:r>
      <w:r w:rsidR="00900138">
        <w:t> </w:t>
      </w:r>
      <w:r w:rsidR="004802B2" w:rsidRPr="00715669">
        <w:t>-</w:t>
      </w:r>
      <w:r w:rsidR="00900138">
        <w:t> </w:t>
      </w:r>
      <w:r w:rsidR="004802B2" w:rsidRPr="00715669">
        <w:t>2022 годах представлены в следующей таблице.</w:t>
      </w:r>
    </w:p>
    <w:p w:rsidR="00900138" w:rsidRPr="00900138" w:rsidRDefault="00900138" w:rsidP="004707F7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contextualSpacing/>
        <w:jc w:val="right"/>
        <w:textAlignment w:val="baseline"/>
        <w:rPr>
          <w:sz w:val="20"/>
          <w:szCs w:val="20"/>
        </w:rPr>
      </w:pPr>
      <w:r w:rsidRPr="00900138">
        <w:rPr>
          <w:sz w:val="20"/>
          <w:szCs w:val="20"/>
        </w:rPr>
        <w:t>(млн. рублей)</w:t>
      </w:r>
    </w:p>
    <w:tbl>
      <w:tblPr>
        <w:tblW w:w="109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28"/>
        <w:gridCol w:w="841"/>
        <w:gridCol w:w="992"/>
        <w:gridCol w:w="992"/>
        <w:gridCol w:w="850"/>
        <w:gridCol w:w="568"/>
        <w:gridCol w:w="960"/>
        <w:gridCol w:w="882"/>
        <w:gridCol w:w="911"/>
        <w:gridCol w:w="791"/>
        <w:gridCol w:w="960"/>
        <w:gridCol w:w="741"/>
      </w:tblGrid>
      <w:tr w:rsidR="004802B2" w:rsidRPr="000C4440" w:rsidTr="008C51EF">
        <w:trPr>
          <w:trHeight w:val="20"/>
        </w:trPr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both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2018 год исполнение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17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 xml:space="preserve">2021 год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2022 год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680E21" w:rsidP="00680E21">
            <w:pPr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у</w:t>
            </w:r>
            <w:r w:rsidR="004802B2" w:rsidRPr="00850A48">
              <w:rPr>
                <w:color w:val="000000"/>
                <w:sz w:val="14"/>
                <w:szCs w:val="14"/>
              </w:rPr>
              <w:t>твержденная ГП</w:t>
            </w:r>
            <w:r w:rsidR="004707F7">
              <w:rPr>
                <w:color w:val="000000"/>
                <w:sz w:val="14"/>
                <w:szCs w:val="14"/>
              </w:rPr>
              <w:t>-24</w:t>
            </w:r>
            <w:r w:rsidR="004802B2" w:rsidRPr="00850A48">
              <w:rPr>
                <w:color w:val="000000"/>
                <w:sz w:val="14"/>
                <w:szCs w:val="14"/>
              </w:rPr>
              <w:t xml:space="preserve"> (паспорт)/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 xml:space="preserve">сводная бюджетная роспись на 01.09.2019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8A0851" w:rsidP="00680E21">
            <w:pPr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и</w:t>
            </w:r>
            <w:r w:rsidR="004802B2" w:rsidRPr="00850A48">
              <w:rPr>
                <w:color w:val="000000"/>
                <w:sz w:val="14"/>
                <w:szCs w:val="14"/>
              </w:rPr>
              <w:t>сполнение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утвержден-ная ГП</w:t>
            </w:r>
            <w:r w:rsidR="004707F7">
              <w:rPr>
                <w:color w:val="000000"/>
                <w:sz w:val="14"/>
                <w:szCs w:val="14"/>
              </w:rPr>
              <w:t>-24</w:t>
            </w:r>
            <w:r w:rsidRPr="00850A48">
              <w:rPr>
                <w:color w:val="000000"/>
                <w:sz w:val="14"/>
                <w:szCs w:val="14"/>
              </w:rPr>
              <w:t xml:space="preserve"> (паспорт)/</w:t>
            </w:r>
          </w:p>
        </w:tc>
        <w:tc>
          <w:tcPr>
            <w:tcW w:w="8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80E21">
            <w:pPr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отклонение проекта паспорта от утвержден-ной ГП</w:t>
            </w:r>
            <w:r w:rsidR="004707F7">
              <w:rPr>
                <w:color w:val="000000"/>
                <w:sz w:val="14"/>
                <w:szCs w:val="14"/>
              </w:rPr>
              <w:t>-24</w:t>
            </w:r>
            <w:r w:rsidRPr="00850A48">
              <w:rPr>
                <w:color w:val="000000"/>
                <w:sz w:val="14"/>
                <w:szCs w:val="14"/>
              </w:rPr>
              <w:t>, 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680E21" w:rsidP="00680E21">
            <w:pPr>
              <w:ind w:left="-85" w:right="-85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у</w:t>
            </w:r>
            <w:r w:rsidR="004802B2" w:rsidRPr="00850A48">
              <w:rPr>
                <w:color w:val="000000"/>
                <w:sz w:val="14"/>
                <w:szCs w:val="14"/>
              </w:rPr>
              <w:t>твержденная ГП</w:t>
            </w:r>
            <w:r w:rsidR="004707F7">
              <w:rPr>
                <w:color w:val="000000"/>
                <w:sz w:val="14"/>
                <w:szCs w:val="14"/>
              </w:rPr>
              <w:t>-24</w:t>
            </w:r>
            <w:r w:rsidR="004802B2" w:rsidRPr="00850A48">
              <w:rPr>
                <w:color w:val="000000"/>
                <w:sz w:val="14"/>
                <w:szCs w:val="14"/>
              </w:rPr>
              <w:t xml:space="preserve"> (паспорт)/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80E21">
            <w:pPr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отклонение проекта паспорта от утвержден-ной ГП</w:t>
            </w:r>
            <w:r w:rsidR="004707F7">
              <w:rPr>
                <w:color w:val="000000"/>
                <w:sz w:val="14"/>
                <w:szCs w:val="14"/>
              </w:rPr>
              <w:t>-24</w:t>
            </w:r>
            <w:r w:rsidRPr="00850A48">
              <w:rPr>
                <w:color w:val="000000"/>
                <w:sz w:val="14"/>
                <w:szCs w:val="14"/>
              </w:rPr>
              <w:t>,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80E21">
            <w:pPr>
              <w:ind w:left="57" w:right="-57"/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утвержден-ная ГП</w:t>
            </w:r>
            <w:r w:rsidR="004707F7">
              <w:rPr>
                <w:color w:val="000000"/>
                <w:sz w:val="14"/>
                <w:szCs w:val="14"/>
              </w:rPr>
              <w:t>-24</w:t>
            </w:r>
            <w:r w:rsidRPr="00850A48">
              <w:rPr>
                <w:color w:val="000000"/>
                <w:sz w:val="14"/>
                <w:szCs w:val="14"/>
              </w:rPr>
              <w:t xml:space="preserve"> (паспорт)/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80E21">
            <w:pPr>
              <w:ind w:left="-85" w:right="-85"/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 xml:space="preserve">отклонение проекта паспорта от утверж-денной </w:t>
            </w:r>
            <w:r w:rsidR="004707F7">
              <w:rPr>
                <w:color w:val="000000"/>
                <w:sz w:val="14"/>
                <w:szCs w:val="14"/>
              </w:rPr>
              <w:br/>
            </w:r>
            <w:r w:rsidRPr="00850A48">
              <w:rPr>
                <w:color w:val="000000"/>
                <w:sz w:val="14"/>
                <w:szCs w:val="14"/>
              </w:rPr>
              <w:t>ГП</w:t>
            </w:r>
            <w:r w:rsidR="004707F7">
              <w:rPr>
                <w:color w:val="000000"/>
                <w:sz w:val="14"/>
                <w:szCs w:val="14"/>
              </w:rPr>
              <w:t>-24</w:t>
            </w:r>
            <w:r w:rsidRPr="00850A48">
              <w:rPr>
                <w:color w:val="000000"/>
                <w:sz w:val="14"/>
                <w:szCs w:val="14"/>
              </w:rPr>
              <w:t>, %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sz w:val="14"/>
                <w:szCs w:val="14"/>
              </w:rPr>
            </w:pPr>
          </w:p>
        </w:tc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проект паспорта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 xml:space="preserve">на 01.09.2019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680E21" w:rsidP="00680E21">
            <w:pPr>
              <w:ind w:left="-85" w:right="-85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и</w:t>
            </w:r>
            <w:r w:rsidR="004802B2" w:rsidRPr="00850A48">
              <w:rPr>
                <w:color w:val="000000"/>
                <w:sz w:val="14"/>
                <w:szCs w:val="14"/>
              </w:rPr>
              <w:t>спол</w:t>
            </w:r>
            <w:r>
              <w:rPr>
                <w:color w:val="000000"/>
                <w:sz w:val="14"/>
                <w:szCs w:val="14"/>
              </w:rPr>
              <w:t>-</w:t>
            </w:r>
            <w:r w:rsidR="004802B2" w:rsidRPr="00850A48">
              <w:rPr>
                <w:color w:val="000000"/>
                <w:sz w:val="14"/>
                <w:szCs w:val="14"/>
              </w:rPr>
              <w:t>нения росписи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проект паспорта</w:t>
            </w:r>
          </w:p>
        </w:tc>
        <w:tc>
          <w:tcPr>
            <w:tcW w:w="8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проект паспорта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проект паспорта</w:t>
            </w:r>
          </w:p>
        </w:tc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color w:val="000000"/>
                <w:sz w:val="14"/>
                <w:szCs w:val="14"/>
              </w:rPr>
            </w:pP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color w:val="000000"/>
                <w:sz w:val="14"/>
                <w:szCs w:val="14"/>
              </w:rPr>
            </w:pPr>
            <w:r w:rsidRPr="00850A48">
              <w:rPr>
                <w:color w:val="000000"/>
                <w:sz w:val="14"/>
                <w:szCs w:val="14"/>
              </w:rPr>
              <w:t>12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900138">
            <w:pPr>
              <w:jc w:val="both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Расходы по ГП-24, всего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813 674,8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715669">
              <w:rPr>
                <w:b/>
                <w:bCs/>
                <w:sz w:val="14"/>
                <w:szCs w:val="14"/>
              </w:rPr>
              <w:t>911 061,2</w:t>
            </w:r>
            <w:r>
              <w:rPr>
                <w:b/>
                <w:bCs/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1 035 219,5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446 984,0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43,2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925 098,</w:t>
            </w:r>
            <w:r>
              <w:rPr>
                <w:b/>
                <w:bCs/>
                <w:sz w:val="14"/>
                <w:szCs w:val="14"/>
              </w:rPr>
              <w:t>/</w:t>
            </w:r>
            <w:r w:rsidRPr="00850A48"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2,5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900138">
            <w:pPr>
              <w:ind w:left="-57" w:right="-57"/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1 108 166,6</w:t>
            </w:r>
            <w:r>
              <w:rPr>
                <w:b/>
                <w:bCs/>
                <w:sz w:val="14"/>
                <w:szCs w:val="14"/>
              </w:rPr>
              <w:t>/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1 372 727,8</w:t>
            </w:r>
            <w:r>
              <w:rPr>
                <w:b/>
                <w:bCs/>
                <w:sz w:val="14"/>
                <w:szCs w:val="14"/>
              </w:rPr>
              <w:t>/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-6,0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715669">
              <w:rPr>
                <w:b/>
                <w:bCs/>
                <w:sz w:val="14"/>
                <w:szCs w:val="14"/>
              </w:rPr>
              <w:t>1 035 219,5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948 547,9</w:t>
            </w:r>
          </w:p>
        </w:tc>
        <w:tc>
          <w:tcPr>
            <w:tcW w:w="8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1 124 934,2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 w:rsidRPr="00850A48">
              <w:rPr>
                <w:b/>
                <w:bCs/>
                <w:sz w:val="14"/>
                <w:szCs w:val="14"/>
              </w:rPr>
              <w:t>1 290 715,8</w:t>
            </w:r>
          </w:p>
        </w:tc>
        <w:tc>
          <w:tcPr>
            <w:tcW w:w="7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02B2" w:rsidRPr="00850A48" w:rsidRDefault="004802B2" w:rsidP="006636F0">
            <w:pPr>
              <w:rPr>
                <w:b/>
                <w:bCs/>
                <w:sz w:val="14"/>
                <w:szCs w:val="14"/>
              </w:rPr>
            </w:pP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02B2" w:rsidRPr="00850A48" w:rsidRDefault="004802B2" w:rsidP="006636F0">
            <w:pPr>
              <w:jc w:val="both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в том числе: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sz w:val="14"/>
                <w:szCs w:val="14"/>
              </w:rPr>
            </w:pPr>
            <w:r w:rsidRPr="00715669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2B2" w:rsidRPr="00850A48" w:rsidRDefault="004707F7" w:rsidP="006636F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4802B2" w:rsidRPr="00850A48">
              <w:rPr>
                <w:sz w:val="14"/>
                <w:szCs w:val="14"/>
              </w:rPr>
              <w:t>одпрограмма «Железнодорожный транспорт»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116 190,0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/</w:t>
            </w:r>
            <w:r w:rsidRPr="00715669">
              <w:rPr>
                <w:sz w:val="14"/>
                <w:szCs w:val="14"/>
              </w:rPr>
              <w:t>120 698,4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120 698,4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51 533,5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42,7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91 486,6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85 064,5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143 351,3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2B2" w:rsidRPr="00850A48" w:rsidRDefault="004707F7" w:rsidP="006636F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4802B2" w:rsidRPr="00850A48">
              <w:rPr>
                <w:sz w:val="14"/>
                <w:szCs w:val="14"/>
              </w:rPr>
              <w:t>одпрограмма «Дорожное хозяйство»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593 764,8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/</w:t>
            </w:r>
            <w:r w:rsidRPr="00715669">
              <w:rPr>
                <w:sz w:val="14"/>
                <w:szCs w:val="14"/>
              </w:rPr>
              <w:t>769 179,5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769 179,4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343 146,9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44,6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713 798,4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883 947,6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976 794,6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2B2" w:rsidRPr="00850A48" w:rsidRDefault="004707F7" w:rsidP="006636F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4802B2" w:rsidRPr="00850A48">
              <w:rPr>
                <w:sz w:val="14"/>
                <w:szCs w:val="14"/>
              </w:rPr>
              <w:t>одпрограмма «Гражданская авиация и аэронавигационное обслуживание»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46 647,7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/</w:t>
            </w:r>
            <w:r w:rsidRPr="00715669">
              <w:rPr>
                <w:sz w:val="14"/>
                <w:szCs w:val="14"/>
              </w:rPr>
              <w:t>63 324,8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63 325,0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17 710,0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61 869,4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52 081,9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66 915,6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2B2" w:rsidRPr="00850A48" w:rsidRDefault="004707F7" w:rsidP="006636F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4802B2" w:rsidRPr="00850A48">
              <w:rPr>
                <w:sz w:val="14"/>
                <w:szCs w:val="14"/>
              </w:rPr>
              <w:t>одпрограмма «Морской и речной транспорт»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32 183,4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/</w:t>
            </w:r>
            <w:r w:rsidRPr="00715669">
              <w:rPr>
                <w:sz w:val="14"/>
                <w:szCs w:val="14"/>
              </w:rPr>
              <w:t>71 048,6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71 048,6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28 864,0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40,6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68 558,8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91 113,8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90 776,5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2B2" w:rsidRPr="00850A48" w:rsidRDefault="004707F7" w:rsidP="006636F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4802B2" w:rsidRPr="00850A48">
              <w:rPr>
                <w:sz w:val="14"/>
                <w:szCs w:val="14"/>
              </w:rPr>
              <w:t>одпрограмма «Надзор в сфере транспорта»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4 860,9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/</w:t>
            </w:r>
            <w:r w:rsidRPr="00715669">
              <w:rPr>
                <w:sz w:val="14"/>
                <w:szCs w:val="14"/>
              </w:rPr>
              <w:t>5 735,6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5 735,6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2 940,6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51,3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4 448,6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4 489,3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4 601,7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2B2" w:rsidRPr="00850A48" w:rsidRDefault="004707F7" w:rsidP="006636F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4802B2" w:rsidRPr="00850A48">
              <w:rPr>
                <w:sz w:val="14"/>
                <w:szCs w:val="14"/>
              </w:rPr>
              <w:t>одпрограмма «Обеспечение реализации государственной программы Российской Федерации «Развитие транспортной системы»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7 060,4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/</w:t>
            </w:r>
            <w:r w:rsidRPr="00715669">
              <w:rPr>
                <w:sz w:val="14"/>
                <w:szCs w:val="14"/>
              </w:rPr>
              <w:t>5 232,5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5 232,5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2 788,8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53,3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8 386,3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8 237,2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095E42" w:rsidP="006636F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802B2">
              <w:rPr>
                <w:sz w:val="14"/>
                <w:szCs w:val="14"/>
              </w:rPr>
              <w:t>/</w:t>
            </w:r>
            <w:r w:rsidR="004802B2" w:rsidRPr="00850A48">
              <w:rPr>
                <w:sz w:val="14"/>
                <w:szCs w:val="14"/>
              </w:rPr>
              <w:t>8 276,3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 </w:t>
            </w:r>
          </w:p>
        </w:tc>
      </w:tr>
      <w:tr w:rsidR="004802B2" w:rsidRPr="000C4440" w:rsidTr="008C51EF">
        <w:trPr>
          <w:trHeight w:val="20"/>
        </w:trPr>
        <w:tc>
          <w:tcPr>
            <w:tcW w:w="1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02B2" w:rsidRPr="00850A48" w:rsidRDefault="004707F7" w:rsidP="006636F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4802B2" w:rsidRPr="00850A48">
              <w:rPr>
                <w:sz w:val="14"/>
                <w:szCs w:val="14"/>
              </w:rPr>
              <w:t>одпрограмма «Комплексное развитие транспортных узлов»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12 967,7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715669" w:rsidRDefault="004802B2" w:rsidP="006636F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-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-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-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-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-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-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02B2" w:rsidRPr="00850A48" w:rsidRDefault="004802B2" w:rsidP="006636F0">
            <w:pPr>
              <w:jc w:val="center"/>
              <w:rPr>
                <w:sz w:val="14"/>
                <w:szCs w:val="14"/>
              </w:rPr>
            </w:pPr>
            <w:r w:rsidRPr="00850A48">
              <w:rPr>
                <w:sz w:val="14"/>
                <w:szCs w:val="14"/>
              </w:rPr>
              <w:t>- </w:t>
            </w:r>
          </w:p>
        </w:tc>
      </w:tr>
    </w:tbl>
    <w:p w:rsidR="004802B2" w:rsidRPr="00987099" w:rsidRDefault="004802B2" w:rsidP="00E21BD1">
      <w:pPr>
        <w:widowControl w:val="0"/>
        <w:overflowPunct w:val="0"/>
        <w:autoSpaceDE w:val="0"/>
        <w:autoSpaceDN w:val="0"/>
        <w:adjustRightInd w:val="0"/>
        <w:spacing w:line="348" w:lineRule="auto"/>
        <w:ind w:firstLine="709"/>
        <w:contextualSpacing/>
        <w:jc w:val="both"/>
        <w:textAlignment w:val="baseline"/>
      </w:pPr>
      <w:r w:rsidRPr="00987099">
        <w:t xml:space="preserve">В </w:t>
      </w:r>
      <w:r w:rsidR="006C5B2E">
        <w:t>ГП-24</w:t>
      </w:r>
      <w:r w:rsidR="00680E21">
        <w:t xml:space="preserve"> </w:t>
      </w:r>
      <w:r w:rsidRPr="00987099">
        <w:t xml:space="preserve">утверждены 7 подпрограмм (направлений), из них по подпрограмме </w:t>
      </w:r>
      <w:r w:rsidRPr="00987099">
        <w:lastRenderedPageBreak/>
        <w:t xml:space="preserve">«Комплексное развитие транспортных узлов» срок реализации истек в 2018 году. </w:t>
      </w:r>
    </w:p>
    <w:p w:rsidR="004802B2" w:rsidRPr="00D860F7" w:rsidRDefault="004802B2" w:rsidP="00E21BD1">
      <w:pPr>
        <w:widowControl w:val="0"/>
        <w:spacing w:line="348" w:lineRule="auto"/>
        <w:ind w:firstLine="720"/>
        <w:jc w:val="both"/>
      </w:pPr>
      <w:r w:rsidRPr="00987099">
        <w:t xml:space="preserve">По </w:t>
      </w:r>
      <w:r w:rsidRPr="00D860F7">
        <w:t xml:space="preserve">состоянию </w:t>
      </w:r>
      <w:r w:rsidRPr="00680E21">
        <w:rPr>
          <w:b/>
        </w:rPr>
        <w:t>на 1 сентября 2019 года при увеличении</w:t>
      </w:r>
      <w:r w:rsidRPr="00D860F7">
        <w:rPr>
          <w:i/>
        </w:rPr>
        <w:t xml:space="preserve"> </w:t>
      </w:r>
      <w:r w:rsidRPr="00D860F7">
        <w:t xml:space="preserve">бюджетных ассигнований </w:t>
      </w:r>
      <w:r w:rsidR="00680E21">
        <w:t xml:space="preserve">по ГП-24 в </w:t>
      </w:r>
      <w:r w:rsidRPr="00D860F7">
        <w:t>сводной бюджетной росписи на 46 019,2 млн. рублей, или на 4,4 %</w:t>
      </w:r>
      <w:r w:rsidR="008A0851">
        <w:t>,</w:t>
      </w:r>
      <w:r w:rsidRPr="00D860F7">
        <w:t xml:space="preserve"> по сравнению с Федеральным законом № 459-ФЗ (с учетом изменений) наблюдается </w:t>
      </w:r>
      <w:r w:rsidRPr="00680E21">
        <w:rPr>
          <w:b/>
        </w:rPr>
        <w:t xml:space="preserve">низкий уровень кассового исполнения </w:t>
      </w:r>
      <w:r w:rsidR="00680E21">
        <w:rPr>
          <w:b/>
        </w:rPr>
        <w:t>- 43,2 %</w:t>
      </w:r>
      <w:r w:rsidRPr="00680E21">
        <w:rPr>
          <w:b/>
        </w:rPr>
        <w:t>.</w:t>
      </w:r>
      <w:r w:rsidR="00680E21">
        <w:t xml:space="preserve"> </w:t>
      </w:r>
    </w:p>
    <w:p w:rsidR="004802B2" w:rsidRPr="00F04BA5" w:rsidRDefault="004802B2" w:rsidP="00E21BD1">
      <w:pPr>
        <w:spacing w:line="348" w:lineRule="auto"/>
        <w:ind w:firstLine="709"/>
        <w:jc w:val="both"/>
      </w:pPr>
      <w:r w:rsidRPr="00680E21">
        <w:rPr>
          <w:b/>
        </w:rPr>
        <w:t>Законопроектом</w:t>
      </w:r>
      <w:r w:rsidRPr="00D860F7">
        <w:t xml:space="preserve"> предусматриваются бюджетные ассигнования</w:t>
      </w:r>
      <w:r w:rsidRPr="00F04BA5">
        <w:t xml:space="preserve"> федерального бюджета </w:t>
      </w:r>
      <w:r w:rsidRPr="00680E21">
        <w:rPr>
          <w:b/>
        </w:rPr>
        <w:t>на реализацию 6 подпрограмм</w:t>
      </w:r>
      <w:r w:rsidRPr="00F04BA5">
        <w:t xml:space="preserve"> ГП-24: «Железнодорожный транспорт»; «Дорожное хозяйство»; «Гражданская авиация и аэронавигационное обслуживание»; «Морской и речной транспорт»; «Надзор в сфере транспорта»; «Обеспечение реализации государственной программы Российской Федерации «Развитие транспортной системы».</w:t>
      </w:r>
    </w:p>
    <w:p w:rsidR="004802B2" w:rsidRPr="00F04BA5" w:rsidRDefault="004802B2" w:rsidP="00E21BD1">
      <w:pPr>
        <w:spacing w:line="348" w:lineRule="auto"/>
        <w:ind w:firstLine="709"/>
        <w:jc w:val="both"/>
      </w:pPr>
      <w:r w:rsidRPr="00F04BA5">
        <w:t xml:space="preserve">В рамках реализации </w:t>
      </w:r>
      <w:r w:rsidR="006C5B2E">
        <w:t>ГП-24</w:t>
      </w:r>
      <w:r w:rsidR="00900138">
        <w:t xml:space="preserve"> </w:t>
      </w:r>
      <w:r w:rsidRPr="00680E21">
        <w:rPr>
          <w:b/>
        </w:rPr>
        <w:t>законопроектом</w:t>
      </w:r>
      <w:r w:rsidRPr="00F04BA5">
        <w:t xml:space="preserve"> предусматриваются бюджетные ассигнования </w:t>
      </w:r>
      <w:r w:rsidRPr="00680E21">
        <w:rPr>
          <w:b/>
        </w:rPr>
        <w:t>на реализацию 12 федеральных проектов</w:t>
      </w:r>
      <w:r w:rsidR="006636F0">
        <w:rPr>
          <w:rStyle w:val="a6"/>
          <w:b/>
        </w:rPr>
        <w:footnoteReference w:id="2"/>
      </w:r>
      <w:r w:rsidRPr="00680E21">
        <w:rPr>
          <w:b/>
        </w:rPr>
        <w:t>, входящих в состав национальных проектов.</w:t>
      </w:r>
    </w:p>
    <w:p w:rsidR="004802B2" w:rsidRPr="004434AF" w:rsidRDefault="004802B2" w:rsidP="00E21BD1">
      <w:pPr>
        <w:widowControl w:val="0"/>
        <w:overflowPunct w:val="0"/>
        <w:autoSpaceDE w:val="0"/>
        <w:autoSpaceDN w:val="0"/>
        <w:adjustRightInd w:val="0"/>
        <w:spacing w:line="348" w:lineRule="auto"/>
        <w:ind w:firstLine="709"/>
        <w:contextualSpacing/>
        <w:jc w:val="both"/>
        <w:textAlignment w:val="baseline"/>
      </w:pPr>
      <w:r w:rsidRPr="008C6AC8">
        <w:t xml:space="preserve">Объем финансового обеспечения реализации </w:t>
      </w:r>
      <w:r w:rsidR="006C5B2E">
        <w:t>ГП-24</w:t>
      </w:r>
      <w:r w:rsidR="00900138">
        <w:t xml:space="preserve"> </w:t>
      </w:r>
      <w:r w:rsidRPr="008C6AC8">
        <w:t xml:space="preserve">за счет средств федерального бюджета в проекте паспорта </w:t>
      </w:r>
      <w:r w:rsidR="006C5B2E">
        <w:t>ГП-24</w:t>
      </w:r>
      <w:r w:rsidR="00900138">
        <w:t xml:space="preserve"> </w:t>
      </w:r>
      <w:r w:rsidRPr="008C6AC8">
        <w:t>соответствует</w:t>
      </w:r>
      <w:r w:rsidRPr="008C6AC8">
        <w:rPr>
          <w:i/>
        </w:rPr>
        <w:t xml:space="preserve"> </w:t>
      </w:r>
      <w:r w:rsidRPr="008C6AC8">
        <w:t xml:space="preserve">бюджетным ассигнованиям, предусмотренным на реализацию </w:t>
      </w:r>
      <w:r w:rsidR="006C5B2E">
        <w:t>ГП-24</w:t>
      </w:r>
      <w:r w:rsidR="00900138">
        <w:t xml:space="preserve"> </w:t>
      </w:r>
      <w:r w:rsidRPr="008C6AC8">
        <w:t xml:space="preserve">в </w:t>
      </w:r>
      <w:r w:rsidR="00680E21">
        <w:t>з</w:t>
      </w:r>
      <w:r w:rsidRPr="004434AF">
        <w:t>аконопроекте</w:t>
      </w:r>
      <w:r w:rsidR="00DC4895">
        <w:t>,</w:t>
      </w:r>
      <w:r w:rsidRPr="004434AF">
        <w:t xml:space="preserve"> и составляет в 2020 году</w:t>
      </w:r>
      <w:r w:rsidR="00680E21">
        <w:t> </w:t>
      </w:r>
      <w:r w:rsidRPr="004434AF">
        <w:t>– 948 547,9 млн. рублей, в 2021 году – 1 124 934,2 млн. рублей, в 2022 году – 1 290 715,8 млн. рублей.</w:t>
      </w:r>
    </w:p>
    <w:p w:rsidR="004802B2" w:rsidRPr="00F04BA5" w:rsidRDefault="004802B2" w:rsidP="00E21BD1">
      <w:pPr>
        <w:spacing w:line="348" w:lineRule="auto"/>
        <w:ind w:firstLine="709"/>
        <w:jc w:val="both"/>
      </w:pPr>
      <w:r w:rsidRPr="004434AF">
        <w:t xml:space="preserve">В законопроекте финансовое обеспечение </w:t>
      </w:r>
      <w:r w:rsidR="006C5B2E">
        <w:t>ГП-24</w:t>
      </w:r>
      <w:r w:rsidR="00900138">
        <w:t xml:space="preserve"> </w:t>
      </w:r>
      <w:r w:rsidRPr="004434AF">
        <w:t xml:space="preserve">за счет средств федерального </w:t>
      </w:r>
      <w:r w:rsidRPr="00F04BA5">
        <w:t xml:space="preserve">бюджета </w:t>
      </w:r>
      <w:r w:rsidRPr="00680E21">
        <w:rPr>
          <w:b/>
        </w:rPr>
        <w:t>увеличивается по сравнению с</w:t>
      </w:r>
      <w:r w:rsidRPr="00F04BA5">
        <w:t xml:space="preserve"> предусмотренным в утвержденной </w:t>
      </w:r>
      <w:r w:rsidR="006C5B2E">
        <w:t>ГП-24</w:t>
      </w:r>
      <w:r w:rsidR="00900138">
        <w:t xml:space="preserve"> </w:t>
      </w:r>
      <w:r w:rsidRPr="00F04BA5">
        <w:t>в 2020 году на 2,5 %, в 2021 году – на 1,5 %,</w:t>
      </w:r>
      <w:r w:rsidR="00680E21">
        <w:t xml:space="preserve"> а</w:t>
      </w:r>
      <w:r w:rsidRPr="00F04BA5">
        <w:t xml:space="preserve"> в 2022 году </w:t>
      </w:r>
      <w:r w:rsidRPr="00680E21">
        <w:rPr>
          <w:b/>
        </w:rPr>
        <w:t xml:space="preserve">сокращается </w:t>
      </w:r>
      <w:r w:rsidRPr="00F04BA5">
        <w:t xml:space="preserve">– на 6 %.  </w:t>
      </w:r>
    </w:p>
    <w:p w:rsidR="004802B2" w:rsidRPr="00F04BA5" w:rsidRDefault="004802B2" w:rsidP="00E21BD1">
      <w:pPr>
        <w:spacing w:line="348" w:lineRule="auto"/>
        <w:ind w:firstLine="709"/>
        <w:jc w:val="both"/>
      </w:pPr>
      <w:r w:rsidRPr="00F04BA5">
        <w:t xml:space="preserve">Сведения о финансовом обеспечении </w:t>
      </w:r>
      <w:r w:rsidR="006C5B2E">
        <w:t>ГП-24</w:t>
      </w:r>
      <w:r w:rsidR="00680E21">
        <w:t xml:space="preserve"> </w:t>
      </w:r>
      <w:r w:rsidRPr="00F04BA5">
        <w:t>в 2018</w:t>
      </w:r>
      <w:r w:rsidR="00680E21">
        <w:t> </w:t>
      </w:r>
      <w:r w:rsidRPr="00F04BA5">
        <w:t>-</w:t>
      </w:r>
      <w:r w:rsidR="00680E21">
        <w:t> </w:t>
      </w:r>
      <w:r w:rsidRPr="00F04BA5">
        <w:t xml:space="preserve">2022 годах за счет средств федерального бюджета по подпрограммам представлены в приложении </w:t>
      </w:r>
      <w:r w:rsidR="00680E21">
        <w:t>№ 4</w:t>
      </w:r>
      <w:r w:rsidRPr="00F04BA5">
        <w:t xml:space="preserve"> к Заключению.</w:t>
      </w:r>
    </w:p>
    <w:p w:rsidR="000415E5" w:rsidRPr="00C24FB2" w:rsidRDefault="004802B2" w:rsidP="00E21BD1">
      <w:pPr>
        <w:spacing w:line="348" w:lineRule="auto"/>
        <w:ind w:firstLine="709"/>
        <w:jc w:val="both"/>
      </w:pPr>
      <w:r w:rsidRPr="00680E21">
        <w:rPr>
          <w:b/>
        </w:rPr>
        <w:t>При низком кассовом исполнении</w:t>
      </w:r>
      <w:r w:rsidRPr="00F04BA5">
        <w:t xml:space="preserve"> расходов </w:t>
      </w:r>
      <w:r w:rsidRPr="00680E21">
        <w:rPr>
          <w:b/>
        </w:rPr>
        <w:t>за 2018 год</w:t>
      </w:r>
      <w:r w:rsidRPr="00F04BA5">
        <w:t xml:space="preserve"> по подпрограмм</w:t>
      </w:r>
      <w:r w:rsidR="009228E8">
        <w:t>ам</w:t>
      </w:r>
      <w:r w:rsidRPr="00F04BA5">
        <w:t xml:space="preserve"> «Морской и речной транспорт</w:t>
      </w:r>
      <w:r w:rsidR="009228E8">
        <w:t>» и</w:t>
      </w:r>
      <w:r w:rsidRPr="00F04BA5">
        <w:t xml:space="preserve"> </w:t>
      </w:r>
      <w:r w:rsidR="009228E8" w:rsidRPr="00F04BA5">
        <w:t>«Гражданская авиация и аэронавигационное обслуживание» (67,5</w:t>
      </w:r>
      <w:r w:rsidR="009228E8">
        <w:t> </w:t>
      </w:r>
      <w:r w:rsidR="009228E8" w:rsidRPr="00F04BA5">
        <w:t xml:space="preserve">% </w:t>
      </w:r>
      <w:r w:rsidR="009228E8">
        <w:t xml:space="preserve">и </w:t>
      </w:r>
      <w:r w:rsidR="009228E8" w:rsidRPr="00F04BA5">
        <w:t>82,6 %</w:t>
      </w:r>
      <w:r w:rsidR="009228E8">
        <w:t xml:space="preserve"> п</w:t>
      </w:r>
      <w:r w:rsidR="009228E8" w:rsidRPr="00F04BA5">
        <w:t>оказателя сводной бюджетной росписи на 2018 год</w:t>
      </w:r>
      <w:r w:rsidR="009228E8" w:rsidRPr="009228E8">
        <w:t xml:space="preserve"> </w:t>
      </w:r>
      <w:r w:rsidR="009228E8">
        <w:t>соответственно</w:t>
      </w:r>
      <w:r w:rsidR="009228E8" w:rsidRPr="00F04BA5">
        <w:t>)</w:t>
      </w:r>
      <w:r w:rsidR="009228E8" w:rsidRPr="00F04BA5">
        <w:rPr>
          <w:color w:val="000000"/>
        </w:rPr>
        <w:t xml:space="preserve"> </w:t>
      </w:r>
      <w:r w:rsidRPr="00F04BA5">
        <w:t xml:space="preserve">и </w:t>
      </w:r>
      <w:r w:rsidRPr="00680E21">
        <w:rPr>
          <w:b/>
        </w:rPr>
        <w:t>за 8</w:t>
      </w:r>
      <w:r w:rsidR="00900138" w:rsidRPr="00680E21">
        <w:rPr>
          <w:b/>
        </w:rPr>
        <w:t> </w:t>
      </w:r>
      <w:r w:rsidRPr="00680E21">
        <w:rPr>
          <w:b/>
        </w:rPr>
        <w:t>месяцев 2019 года</w:t>
      </w:r>
      <w:r w:rsidRPr="00F04BA5">
        <w:t xml:space="preserve"> (40,6</w:t>
      </w:r>
      <w:r w:rsidR="00680E21">
        <w:t> </w:t>
      </w:r>
      <w:r w:rsidRPr="00F04BA5">
        <w:t>%</w:t>
      </w:r>
      <w:r w:rsidR="009228E8">
        <w:t xml:space="preserve"> и </w:t>
      </w:r>
      <w:r w:rsidR="009228E8" w:rsidRPr="00F04BA5">
        <w:rPr>
          <w:color w:val="000000"/>
        </w:rPr>
        <w:t xml:space="preserve">28 % </w:t>
      </w:r>
      <w:r w:rsidRPr="00F04BA5">
        <w:t>показателя сводной бюджетной росписи на 2019 год) законопроектом бюджетные ассигнования по данн</w:t>
      </w:r>
      <w:r w:rsidR="009228E8">
        <w:t>ым</w:t>
      </w:r>
      <w:r w:rsidRPr="00F04BA5">
        <w:t xml:space="preserve"> подпрограмм</w:t>
      </w:r>
      <w:r w:rsidR="009228E8">
        <w:t>ам</w:t>
      </w:r>
      <w:r w:rsidRPr="00F04BA5">
        <w:t xml:space="preserve"> </w:t>
      </w:r>
      <w:r w:rsidRPr="00680E21">
        <w:rPr>
          <w:b/>
        </w:rPr>
        <w:t>увеличиваются в 2020 году на 1 171,4 млн. рублей</w:t>
      </w:r>
      <w:r w:rsidR="009228E8" w:rsidRPr="009228E8">
        <w:rPr>
          <w:b/>
          <w:color w:val="000000"/>
        </w:rPr>
        <w:t xml:space="preserve"> </w:t>
      </w:r>
      <w:r w:rsidR="009228E8">
        <w:rPr>
          <w:b/>
          <w:color w:val="000000"/>
        </w:rPr>
        <w:t xml:space="preserve">и </w:t>
      </w:r>
      <w:r w:rsidR="009228E8" w:rsidRPr="009228E8">
        <w:rPr>
          <w:b/>
          <w:color w:val="000000"/>
        </w:rPr>
        <w:t>на 3 477,4 млн. рублей</w:t>
      </w:r>
      <w:r w:rsidRPr="00680E21">
        <w:rPr>
          <w:b/>
        </w:rPr>
        <w:t>, или на 1,7 %</w:t>
      </w:r>
      <w:r w:rsidRPr="00F04BA5">
        <w:t xml:space="preserve"> </w:t>
      </w:r>
      <w:r w:rsidR="009228E8">
        <w:t xml:space="preserve">и </w:t>
      </w:r>
      <w:r w:rsidR="009228E8" w:rsidRPr="009228E8">
        <w:rPr>
          <w:b/>
          <w:color w:val="000000"/>
        </w:rPr>
        <w:t>5,6 %</w:t>
      </w:r>
      <w:r w:rsidR="008A0851">
        <w:rPr>
          <w:b/>
          <w:color w:val="000000"/>
        </w:rPr>
        <w:t>,</w:t>
      </w:r>
      <w:r w:rsidR="009228E8" w:rsidRPr="009228E8">
        <w:rPr>
          <w:b/>
          <w:color w:val="000000"/>
        </w:rPr>
        <w:t xml:space="preserve"> </w:t>
      </w:r>
      <w:r w:rsidRPr="00F04BA5">
        <w:t>по сравнению с Федеральным законом № 459-ФЗ (с изменениями)</w:t>
      </w:r>
      <w:r w:rsidR="009228E8">
        <w:t xml:space="preserve"> </w:t>
      </w:r>
      <w:r w:rsidR="009228E8" w:rsidRPr="009228E8">
        <w:rPr>
          <w:color w:val="000000"/>
        </w:rPr>
        <w:t>соответственно.</w:t>
      </w:r>
    </w:p>
    <w:p w:rsidR="004802B2" w:rsidRDefault="000415E5" w:rsidP="00E21BD1">
      <w:pPr>
        <w:spacing w:line="348" w:lineRule="auto"/>
        <w:ind w:firstLine="709"/>
        <w:jc w:val="both"/>
        <w:rPr>
          <w:b/>
        </w:rPr>
      </w:pPr>
      <w:r w:rsidRPr="000415E5">
        <w:rPr>
          <w:b/>
        </w:rPr>
        <w:t>24.</w:t>
      </w:r>
      <w:r w:rsidR="004802B2" w:rsidRPr="000415E5">
        <w:rPr>
          <w:b/>
        </w:rPr>
        <w:t>5.</w:t>
      </w:r>
      <w:r w:rsidR="004802B2" w:rsidRPr="005E370D">
        <w:rPr>
          <w:b/>
        </w:rPr>
        <w:t xml:space="preserve"> </w:t>
      </w:r>
      <w:r w:rsidR="004802B2" w:rsidRPr="00F04BA5">
        <w:rPr>
          <w:rFonts w:eastAsia="Calibri"/>
          <w:lang w:eastAsia="en-US"/>
        </w:rPr>
        <w:t>Анализ состава показателей (индикаторов) на уровне госпрограммы и подпрограмм</w:t>
      </w:r>
      <w:r w:rsidR="004802B2" w:rsidRPr="00F04BA5">
        <w:t xml:space="preserve"> проекта паспорта </w:t>
      </w:r>
      <w:r w:rsidR="006C5B2E">
        <w:t>ГП-24</w:t>
      </w:r>
      <w:r w:rsidR="00900138">
        <w:t xml:space="preserve"> </w:t>
      </w:r>
      <w:r w:rsidR="004802B2">
        <w:t>показал следующее.</w:t>
      </w:r>
    </w:p>
    <w:p w:rsidR="004802B2" w:rsidRPr="005E370D" w:rsidRDefault="000415E5" w:rsidP="00E21BD1">
      <w:pPr>
        <w:spacing w:line="348" w:lineRule="auto"/>
        <w:ind w:firstLine="709"/>
        <w:jc w:val="both"/>
        <w:rPr>
          <w:color w:val="000000"/>
        </w:rPr>
      </w:pPr>
      <w:r w:rsidRPr="000415E5">
        <w:rPr>
          <w:b/>
        </w:rPr>
        <w:lastRenderedPageBreak/>
        <w:t>24.5.1.</w:t>
      </w:r>
      <w:r>
        <w:t xml:space="preserve"> </w:t>
      </w:r>
      <w:r w:rsidR="004802B2" w:rsidRPr="005E370D">
        <w:t xml:space="preserve">В проекте паспорта </w:t>
      </w:r>
      <w:r w:rsidR="006C5B2E">
        <w:t>ГП-24</w:t>
      </w:r>
      <w:r w:rsidR="00900138">
        <w:t xml:space="preserve"> </w:t>
      </w:r>
      <w:r w:rsidR="004802B2" w:rsidRPr="005E370D">
        <w:t>предусматривается 5 целевых показателей на уровне госпрограммы на 2020</w:t>
      </w:r>
      <w:r w:rsidR="00900138">
        <w:t> </w:t>
      </w:r>
      <w:r w:rsidR="004802B2" w:rsidRPr="005E370D">
        <w:t>-</w:t>
      </w:r>
      <w:r w:rsidR="00900138">
        <w:t> </w:t>
      </w:r>
      <w:r w:rsidR="004802B2" w:rsidRPr="005E370D">
        <w:t xml:space="preserve">2022 годы. Данные о показателях (индикаторах) на уровне подпрограмм </w:t>
      </w:r>
      <w:r w:rsidR="004802B2">
        <w:t xml:space="preserve">и структурных элементов </w:t>
      </w:r>
      <w:r>
        <w:t>ГП-24</w:t>
      </w:r>
      <w:r w:rsidR="004802B2">
        <w:t xml:space="preserve"> </w:t>
      </w:r>
      <w:r w:rsidR="004802B2" w:rsidRPr="005E370D">
        <w:rPr>
          <w:color w:val="000000"/>
        </w:rPr>
        <w:t xml:space="preserve">отсутствуют. </w:t>
      </w:r>
    </w:p>
    <w:p w:rsidR="004802B2" w:rsidRPr="005E370D" w:rsidRDefault="004802B2" w:rsidP="00E21BD1">
      <w:pPr>
        <w:spacing w:line="348" w:lineRule="auto"/>
        <w:ind w:firstLine="709"/>
        <w:jc w:val="both"/>
        <w:rPr>
          <w:rFonts w:eastAsia="Calibri"/>
          <w:color w:val="000000"/>
          <w:lang w:eastAsia="en-US"/>
        </w:rPr>
      </w:pPr>
      <w:r w:rsidRPr="005E370D">
        <w:rPr>
          <w:rFonts w:eastAsia="Calibri"/>
          <w:color w:val="000000"/>
          <w:lang w:eastAsia="en-US"/>
        </w:rPr>
        <w:t xml:space="preserve">Информация о составе и динамике показателей (индикаторов) госпрограммы представлена в таблице </w:t>
      </w:r>
      <w:r w:rsidR="000415E5">
        <w:rPr>
          <w:rFonts w:eastAsia="Calibri"/>
          <w:color w:val="000000"/>
          <w:lang w:eastAsia="en-US"/>
        </w:rPr>
        <w:t>1</w:t>
      </w:r>
      <w:r w:rsidRPr="005E370D">
        <w:rPr>
          <w:rFonts w:eastAsia="Calibri"/>
          <w:color w:val="000000"/>
          <w:lang w:eastAsia="en-US"/>
        </w:rPr>
        <w:t xml:space="preserve"> «Информация о составе и динамике показателей государственных программ Российской Федерации в 2017</w:t>
      </w:r>
      <w:r w:rsidR="000415E5">
        <w:rPr>
          <w:rFonts w:eastAsia="Calibri"/>
          <w:color w:val="000000"/>
          <w:lang w:eastAsia="en-US"/>
        </w:rPr>
        <w:t> </w:t>
      </w:r>
      <w:r w:rsidRPr="005E370D">
        <w:rPr>
          <w:rFonts w:eastAsia="Calibri"/>
          <w:color w:val="000000"/>
          <w:lang w:eastAsia="en-US"/>
        </w:rPr>
        <w:t>–</w:t>
      </w:r>
      <w:r w:rsidR="000415E5">
        <w:rPr>
          <w:rFonts w:eastAsia="Calibri"/>
          <w:color w:val="000000"/>
          <w:lang w:eastAsia="en-US"/>
        </w:rPr>
        <w:t> </w:t>
      </w:r>
      <w:r w:rsidRPr="005E370D">
        <w:rPr>
          <w:rFonts w:eastAsia="Calibri"/>
          <w:color w:val="000000"/>
          <w:lang w:eastAsia="en-US"/>
        </w:rPr>
        <w:t>2022 годах» приложения</w:t>
      </w:r>
      <w:r w:rsidR="000415E5" w:rsidRPr="000415E5">
        <w:t xml:space="preserve"> </w:t>
      </w:r>
      <w:r w:rsidR="006F2F78">
        <w:rPr>
          <w:rFonts w:eastAsia="Calibri"/>
          <w:color w:val="000000"/>
          <w:lang w:eastAsia="en-US"/>
        </w:rPr>
        <w:t>к подразделу 8 Заключения</w:t>
      </w:r>
      <w:r w:rsidR="000415E5" w:rsidRPr="000415E5">
        <w:rPr>
          <w:rFonts w:eastAsia="Calibri"/>
          <w:color w:val="000000"/>
          <w:lang w:eastAsia="en-US"/>
        </w:rPr>
        <w:t>.</w:t>
      </w:r>
    </w:p>
    <w:p w:rsidR="004802B2" w:rsidRPr="005E370D" w:rsidRDefault="000415E5" w:rsidP="00E21BD1">
      <w:pPr>
        <w:overflowPunct w:val="0"/>
        <w:autoSpaceDE w:val="0"/>
        <w:autoSpaceDN w:val="0"/>
        <w:adjustRightInd w:val="0"/>
        <w:spacing w:line="348" w:lineRule="auto"/>
        <w:ind w:firstLine="709"/>
        <w:jc w:val="both"/>
        <w:textAlignment w:val="baseline"/>
        <w:rPr>
          <w:color w:val="000000"/>
        </w:rPr>
      </w:pPr>
      <w:r w:rsidRPr="000415E5">
        <w:rPr>
          <w:b/>
          <w:color w:val="000000"/>
        </w:rPr>
        <w:t>24.5.2.</w:t>
      </w:r>
      <w:r>
        <w:rPr>
          <w:color w:val="000000"/>
        </w:rPr>
        <w:t> </w:t>
      </w:r>
      <w:r w:rsidR="004802B2" w:rsidRPr="005E370D">
        <w:rPr>
          <w:color w:val="000000"/>
        </w:rPr>
        <w:t xml:space="preserve">Согласно данным Сводного годового доклада за 2018 год </w:t>
      </w:r>
      <w:r w:rsidRPr="00E10656">
        <w:rPr>
          <w:b/>
        </w:rPr>
        <w:t xml:space="preserve">из </w:t>
      </w:r>
      <w:r>
        <w:rPr>
          <w:b/>
        </w:rPr>
        <w:t>5</w:t>
      </w:r>
      <w:r w:rsidRPr="00E10656">
        <w:rPr>
          <w:b/>
        </w:rPr>
        <w:t xml:space="preserve"> основных показателей (индикаторов)</w:t>
      </w:r>
      <w:r w:rsidRPr="00E10656">
        <w:t xml:space="preserve"> ГП-</w:t>
      </w:r>
      <w:r>
        <w:t>24</w:t>
      </w:r>
      <w:r w:rsidRPr="00E10656">
        <w:t xml:space="preserve"> </w:t>
      </w:r>
      <w:r w:rsidRPr="00E10656">
        <w:rPr>
          <w:b/>
        </w:rPr>
        <w:t xml:space="preserve">плановые значения были выполнены по </w:t>
      </w:r>
      <w:r w:rsidR="004802B2" w:rsidRPr="000415E5">
        <w:rPr>
          <w:b/>
          <w:color w:val="000000"/>
        </w:rPr>
        <w:t>всем 5 показателям,</w:t>
      </w:r>
      <w:r w:rsidR="004802B2" w:rsidRPr="005E370D">
        <w:rPr>
          <w:color w:val="000000"/>
        </w:rPr>
        <w:t xml:space="preserve"> </w:t>
      </w:r>
      <w:r>
        <w:rPr>
          <w:color w:val="000000"/>
        </w:rPr>
        <w:t>или по</w:t>
      </w:r>
      <w:r w:rsidR="004802B2" w:rsidRPr="005E370D">
        <w:rPr>
          <w:color w:val="000000"/>
        </w:rPr>
        <w:t xml:space="preserve"> 100</w:t>
      </w:r>
      <w:r>
        <w:rPr>
          <w:color w:val="000000"/>
        </w:rPr>
        <w:t> </w:t>
      </w:r>
      <w:r w:rsidR="004802B2" w:rsidRPr="005E370D">
        <w:rPr>
          <w:color w:val="000000"/>
        </w:rPr>
        <w:t>%.</w:t>
      </w:r>
    </w:p>
    <w:p w:rsidR="004802B2" w:rsidRDefault="000415E5" w:rsidP="00E21BD1">
      <w:pPr>
        <w:spacing w:line="348" w:lineRule="auto"/>
        <w:ind w:firstLine="709"/>
        <w:jc w:val="both"/>
      </w:pPr>
      <w:r w:rsidRPr="008A0851">
        <w:rPr>
          <w:b/>
        </w:rPr>
        <w:t>24.5.3.</w:t>
      </w:r>
      <w:r>
        <w:t> </w:t>
      </w:r>
      <w:r w:rsidR="004802B2">
        <w:t>И</w:t>
      </w:r>
      <w:r w:rsidR="004802B2" w:rsidRPr="00EB5447">
        <w:t>нформация о</w:t>
      </w:r>
      <w:r w:rsidR="00095E42">
        <w:t>б</w:t>
      </w:r>
      <w:r>
        <w:t xml:space="preserve"> </w:t>
      </w:r>
      <w:r w:rsidR="004802B2" w:rsidRPr="00EB5447">
        <w:t xml:space="preserve">уточненных целевых показателях целей госпрограммы,  отраженных в проекте паспорта </w:t>
      </w:r>
      <w:r w:rsidR="006C5B2E">
        <w:t>ГП-24</w:t>
      </w:r>
      <w:r>
        <w:t xml:space="preserve"> </w:t>
      </w:r>
      <w:r w:rsidR="004802B2" w:rsidRPr="00EB5447">
        <w:t>и утвержденных в действующей редакции госпрограммы, представлена в следующей таблице.</w:t>
      </w:r>
    </w:p>
    <w:p w:rsidR="008A0851" w:rsidRPr="008A0851" w:rsidRDefault="008A0851" w:rsidP="00E21BD1">
      <w:pPr>
        <w:spacing w:line="348" w:lineRule="auto"/>
        <w:ind w:firstLine="709"/>
        <w:jc w:val="both"/>
        <w:rPr>
          <w:sz w:val="10"/>
          <w:szCs w:val="1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536"/>
      </w:tblGrid>
      <w:tr w:rsidR="004802B2" w:rsidRPr="008A0851" w:rsidTr="006636F0">
        <w:trPr>
          <w:tblHeader/>
        </w:trPr>
        <w:tc>
          <w:tcPr>
            <w:tcW w:w="4928" w:type="dxa"/>
            <w:shd w:val="clear" w:color="auto" w:fill="auto"/>
            <w:vAlign w:val="center"/>
          </w:tcPr>
          <w:p w:rsidR="004802B2" w:rsidRPr="008A0851" w:rsidRDefault="004802B2" w:rsidP="0033105C">
            <w:pPr>
              <w:ind w:left="-142" w:right="191" w:firstLine="426"/>
              <w:jc w:val="center"/>
              <w:outlineLvl w:val="1"/>
              <w:rPr>
                <w:rFonts w:eastAsia="PMingLiU"/>
                <w:sz w:val="18"/>
                <w:szCs w:val="18"/>
              </w:rPr>
            </w:pPr>
            <w:r w:rsidRPr="008A0851">
              <w:rPr>
                <w:rFonts w:eastAsia="PMingLiU"/>
                <w:sz w:val="18"/>
                <w:szCs w:val="18"/>
              </w:rPr>
              <w:t xml:space="preserve">Целевые показатели, отраженные в проекте паспорта </w:t>
            </w:r>
            <w:r w:rsidR="006C5B2E" w:rsidRPr="008A0851">
              <w:rPr>
                <w:rFonts w:eastAsia="PMingLiU"/>
                <w:sz w:val="18"/>
                <w:szCs w:val="18"/>
              </w:rPr>
              <w:t>ГП-24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802B2" w:rsidRPr="008A0851" w:rsidRDefault="004802B2" w:rsidP="0033105C">
            <w:pPr>
              <w:ind w:left="-142" w:right="191" w:firstLine="426"/>
              <w:jc w:val="center"/>
              <w:outlineLvl w:val="1"/>
              <w:rPr>
                <w:rFonts w:eastAsia="PMingLiU"/>
                <w:b/>
                <w:sz w:val="18"/>
                <w:szCs w:val="18"/>
              </w:rPr>
            </w:pPr>
            <w:r w:rsidRPr="008A0851">
              <w:rPr>
                <w:rFonts w:eastAsia="PMingLiU"/>
                <w:sz w:val="18"/>
                <w:szCs w:val="18"/>
              </w:rPr>
              <w:t>Целевые показатели, предусмотренные ГП-24</w:t>
            </w:r>
          </w:p>
        </w:tc>
      </w:tr>
      <w:tr w:rsidR="004802B2" w:rsidRPr="008A0851" w:rsidTr="006636F0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2B2" w:rsidRPr="008A0851" w:rsidRDefault="004802B2" w:rsidP="000415E5">
            <w:pPr>
              <w:ind w:left="142" w:right="191" w:firstLine="142"/>
              <w:jc w:val="both"/>
              <w:outlineLvl w:val="1"/>
              <w:rPr>
                <w:rFonts w:eastAsia="PMingLiU"/>
                <w:sz w:val="18"/>
                <w:szCs w:val="18"/>
              </w:rPr>
            </w:pPr>
            <w:r w:rsidRPr="008A0851">
              <w:rPr>
                <w:rFonts w:eastAsia="PMingLiU"/>
                <w:sz w:val="18"/>
                <w:szCs w:val="18"/>
              </w:rPr>
              <w:t xml:space="preserve">«Экспорт транспортных услуг»: 2020 год - </w:t>
            </w:r>
            <w:r w:rsidRPr="008A0851">
              <w:rPr>
                <w:rFonts w:eastAsia="PMingLiU"/>
                <w:b/>
                <w:sz w:val="18"/>
                <w:szCs w:val="18"/>
              </w:rPr>
              <w:t>20,6 млрд. долларов США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2B2" w:rsidRPr="008A0851" w:rsidRDefault="004802B2" w:rsidP="000415E5">
            <w:pPr>
              <w:ind w:left="142" w:right="191" w:firstLine="142"/>
              <w:jc w:val="both"/>
              <w:outlineLvl w:val="1"/>
              <w:rPr>
                <w:rFonts w:eastAsia="PMingLiU"/>
                <w:sz w:val="18"/>
                <w:szCs w:val="18"/>
              </w:rPr>
            </w:pPr>
            <w:r w:rsidRPr="008A0851">
              <w:rPr>
                <w:rFonts w:eastAsia="PMingLiU"/>
                <w:sz w:val="18"/>
                <w:szCs w:val="18"/>
              </w:rPr>
              <w:t xml:space="preserve">«Экспорт транспортных услуг»: 2020 год - </w:t>
            </w:r>
            <w:r w:rsidRPr="008A0851">
              <w:rPr>
                <w:rFonts w:eastAsia="PMingLiU"/>
                <w:b/>
                <w:sz w:val="18"/>
                <w:szCs w:val="18"/>
              </w:rPr>
              <w:t>20,4 млрд. долларов США</w:t>
            </w:r>
          </w:p>
        </w:tc>
      </w:tr>
    </w:tbl>
    <w:p w:rsidR="008C51EF" w:rsidRPr="008C51EF" w:rsidRDefault="008C51EF" w:rsidP="000415E5">
      <w:pPr>
        <w:widowControl w:val="0"/>
        <w:overflowPunct w:val="0"/>
        <w:autoSpaceDE w:val="0"/>
        <w:autoSpaceDN w:val="0"/>
        <w:adjustRightInd w:val="0"/>
        <w:spacing w:line="312" w:lineRule="auto"/>
        <w:ind w:firstLine="709"/>
        <w:contextualSpacing/>
        <w:jc w:val="both"/>
        <w:textAlignment w:val="baseline"/>
        <w:rPr>
          <w:sz w:val="10"/>
          <w:szCs w:val="10"/>
        </w:rPr>
      </w:pPr>
    </w:p>
    <w:p w:rsidR="004802B2" w:rsidRPr="00EB5447" w:rsidRDefault="004802B2" w:rsidP="008C51EF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contextualSpacing/>
        <w:jc w:val="both"/>
        <w:textAlignment w:val="baseline"/>
      </w:pPr>
      <w:r>
        <w:t>П</w:t>
      </w:r>
      <w:r w:rsidRPr="00EB5447">
        <w:t>о сравнению с действующ</w:t>
      </w:r>
      <w:r w:rsidR="004F7A25">
        <w:t>ей</w:t>
      </w:r>
      <w:r w:rsidRPr="00EB5447">
        <w:t xml:space="preserve"> редакци</w:t>
      </w:r>
      <w:r w:rsidR="004F7A25">
        <w:t>ей</w:t>
      </w:r>
      <w:r w:rsidRPr="00EB5447">
        <w:t xml:space="preserve"> </w:t>
      </w:r>
      <w:r w:rsidR="006C5B2E">
        <w:t>ГП-24</w:t>
      </w:r>
      <w:r w:rsidR="008C51EF">
        <w:t xml:space="preserve"> </w:t>
      </w:r>
      <w:r w:rsidRPr="00EB5447">
        <w:t xml:space="preserve">в проекте паспорта </w:t>
      </w:r>
      <w:r w:rsidR="006C5B2E">
        <w:t>ГП-24</w:t>
      </w:r>
      <w:r w:rsidR="008C51EF">
        <w:t xml:space="preserve"> </w:t>
      </w:r>
      <w:r w:rsidRPr="00EB5447">
        <w:t xml:space="preserve">увеличено значение целевого показателя «экспорт транспортных услуг» на 2020 </w:t>
      </w:r>
      <w:r>
        <w:t>год до 20,6 млрд. долларов США.</w:t>
      </w:r>
    </w:p>
    <w:p w:rsidR="004802B2" w:rsidRPr="00F04BA5" w:rsidRDefault="004802B2" w:rsidP="008C51EF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contextualSpacing/>
        <w:jc w:val="both"/>
        <w:textAlignment w:val="baseline"/>
        <w:rPr>
          <w:rFonts w:eastAsia="Calibri"/>
          <w:lang w:eastAsia="en-US"/>
        </w:rPr>
      </w:pPr>
      <w:r w:rsidRPr="00EB5447">
        <w:rPr>
          <w:rFonts w:eastAsia="Calibri"/>
          <w:lang w:eastAsia="en-US"/>
        </w:rPr>
        <w:t xml:space="preserve">Только один из </w:t>
      </w:r>
      <w:r w:rsidR="008C51EF">
        <w:rPr>
          <w:rFonts w:eastAsia="Calibri"/>
          <w:lang w:eastAsia="en-US"/>
        </w:rPr>
        <w:t>5</w:t>
      </w:r>
      <w:r w:rsidRPr="00EB5447">
        <w:rPr>
          <w:rFonts w:eastAsia="Calibri"/>
          <w:lang w:eastAsia="en-US"/>
        </w:rPr>
        <w:t xml:space="preserve"> показателей (индикаторов) включен в Федеральный план статистических работ, утвержденный распоряжением Правительства Российской Федерации от 6 мая 2008 г. № 671-р, а именно: «Доля автомобильных дорог регионального значения</w:t>
      </w:r>
      <w:r w:rsidRPr="00F04BA5">
        <w:rPr>
          <w:rFonts w:eastAsia="Calibri"/>
          <w:lang w:eastAsia="en-US"/>
        </w:rPr>
        <w:t>, соответствующих нормативным требованиям» (</w:t>
      </w:r>
      <w:r w:rsidR="00325664">
        <w:rPr>
          <w:rFonts w:eastAsia="Calibri"/>
          <w:lang w:eastAsia="en-US"/>
        </w:rPr>
        <w:t xml:space="preserve">пункт </w:t>
      </w:r>
      <w:r w:rsidRPr="00F04BA5">
        <w:rPr>
          <w:rFonts w:eastAsia="Calibri"/>
          <w:lang w:eastAsia="en-US"/>
        </w:rPr>
        <w:t xml:space="preserve">34.1 </w:t>
      </w:r>
      <w:r w:rsidR="008A0851" w:rsidRPr="008A0851">
        <w:rPr>
          <w:rFonts w:eastAsia="Calibri"/>
          <w:lang w:eastAsia="en-US"/>
        </w:rPr>
        <w:t>Федеральн</w:t>
      </w:r>
      <w:r w:rsidR="008A0851">
        <w:rPr>
          <w:rFonts w:eastAsia="Calibri"/>
          <w:lang w:eastAsia="en-US"/>
        </w:rPr>
        <w:t>ого</w:t>
      </w:r>
      <w:r w:rsidR="008A0851" w:rsidRPr="008A0851">
        <w:rPr>
          <w:rFonts w:eastAsia="Calibri"/>
          <w:lang w:eastAsia="en-US"/>
        </w:rPr>
        <w:t xml:space="preserve"> план</w:t>
      </w:r>
      <w:r w:rsidR="008A0851">
        <w:rPr>
          <w:rFonts w:eastAsia="Calibri"/>
          <w:lang w:eastAsia="en-US"/>
        </w:rPr>
        <w:t>а</w:t>
      </w:r>
      <w:r w:rsidR="008A0851" w:rsidRPr="008A0851">
        <w:rPr>
          <w:rFonts w:eastAsia="Calibri"/>
          <w:lang w:eastAsia="en-US"/>
        </w:rPr>
        <w:t xml:space="preserve"> статистических работ</w:t>
      </w:r>
      <w:r w:rsidRPr="00F04BA5">
        <w:rPr>
          <w:rFonts w:eastAsia="Calibri"/>
          <w:lang w:eastAsia="en-US"/>
        </w:rPr>
        <w:t>).</w:t>
      </w:r>
    </w:p>
    <w:p w:rsidR="004F7A25" w:rsidRDefault="008C51EF" w:rsidP="004F7A25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contextualSpacing/>
        <w:jc w:val="both"/>
        <w:textAlignment w:val="baseline"/>
        <w:rPr>
          <w:rFonts w:eastAsia="Calibri"/>
          <w:lang w:eastAsia="en-US"/>
        </w:rPr>
      </w:pPr>
      <w:r w:rsidRPr="008C51EF">
        <w:rPr>
          <w:rFonts w:eastAsia="Calibri"/>
          <w:b/>
          <w:lang w:eastAsia="en-US"/>
        </w:rPr>
        <w:t>24.</w:t>
      </w:r>
      <w:r w:rsidR="004802B2" w:rsidRPr="008C51EF">
        <w:rPr>
          <w:rFonts w:eastAsia="Calibri"/>
          <w:b/>
          <w:lang w:eastAsia="en-US"/>
        </w:rPr>
        <w:t>6.</w:t>
      </w:r>
      <w:r w:rsidR="004802B2" w:rsidRPr="00F04BA5">
        <w:rPr>
          <w:rFonts w:eastAsia="Calibri"/>
          <w:lang w:eastAsia="en-US"/>
        </w:rPr>
        <w:t xml:space="preserve"> В соответствии с проектом паспорта </w:t>
      </w:r>
      <w:r w:rsidR="006C5B2E">
        <w:rPr>
          <w:rFonts w:eastAsia="Calibri"/>
          <w:lang w:eastAsia="en-US"/>
        </w:rPr>
        <w:t>ГП-24</w:t>
      </w:r>
      <w:r>
        <w:rPr>
          <w:rFonts w:eastAsia="Calibri"/>
          <w:lang w:eastAsia="en-US"/>
        </w:rPr>
        <w:t xml:space="preserve"> </w:t>
      </w:r>
      <w:r w:rsidR="004802B2" w:rsidRPr="00F04BA5">
        <w:rPr>
          <w:rFonts w:eastAsia="Calibri"/>
          <w:lang w:eastAsia="en-US"/>
        </w:rPr>
        <w:t>в 2019 год</w:t>
      </w:r>
      <w:r>
        <w:rPr>
          <w:rFonts w:eastAsia="Calibri"/>
          <w:lang w:eastAsia="en-US"/>
        </w:rPr>
        <w:t>у</w:t>
      </w:r>
      <w:r w:rsidR="004802B2" w:rsidRPr="00F04BA5">
        <w:rPr>
          <w:rFonts w:eastAsia="Calibri"/>
          <w:lang w:eastAsia="en-US"/>
        </w:rPr>
        <w:t xml:space="preserve"> </w:t>
      </w:r>
      <w:r w:rsidR="004802B2" w:rsidRPr="008C51EF">
        <w:rPr>
          <w:rFonts w:eastAsia="Calibri"/>
          <w:b/>
          <w:lang w:eastAsia="en-US"/>
        </w:rPr>
        <w:t xml:space="preserve">не предусмотрено </w:t>
      </w:r>
      <w:r w:rsidR="00095E42">
        <w:rPr>
          <w:rFonts w:eastAsia="Calibri"/>
          <w:b/>
          <w:lang w:eastAsia="en-US"/>
        </w:rPr>
        <w:t>изменение</w:t>
      </w:r>
      <w:r w:rsidR="004802B2" w:rsidRPr="008C51EF">
        <w:rPr>
          <w:rFonts w:eastAsia="Calibri"/>
          <w:b/>
          <w:lang w:eastAsia="en-US"/>
        </w:rPr>
        <w:t xml:space="preserve"> количества целевых показателей</w:t>
      </w:r>
      <w:r>
        <w:rPr>
          <w:rFonts w:eastAsia="Calibri"/>
          <w:b/>
          <w:lang w:eastAsia="en-US"/>
        </w:rPr>
        <w:t xml:space="preserve"> </w:t>
      </w:r>
      <w:r w:rsidR="004802B2" w:rsidRPr="00F04BA5">
        <w:rPr>
          <w:rFonts w:eastAsia="Calibri"/>
          <w:lang w:eastAsia="en-US"/>
        </w:rPr>
        <w:t xml:space="preserve">на уровне госпрограммы до 2022 года. При этом законопроектом </w:t>
      </w:r>
      <w:r w:rsidR="004802B2" w:rsidRPr="008C51EF">
        <w:rPr>
          <w:rFonts w:eastAsia="Calibri"/>
          <w:b/>
          <w:lang w:eastAsia="en-US"/>
        </w:rPr>
        <w:t>увеличиваются бюджетные ассигнования на 2020 год, в 2021 году</w:t>
      </w:r>
      <w:r w:rsidR="004802B2" w:rsidRPr="00F04BA5">
        <w:rPr>
          <w:rFonts w:eastAsia="Calibri"/>
          <w:lang w:eastAsia="en-US"/>
        </w:rPr>
        <w:t xml:space="preserve"> бюджетные ассигнования на реализацию</w:t>
      </w:r>
      <w:r w:rsidR="004802B2" w:rsidRPr="00EB5447">
        <w:rPr>
          <w:rFonts w:eastAsia="Calibri"/>
          <w:lang w:eastAsia="en-US"/>
        </w:rPr>
        <w:t xml:space="preserve"> </w:t>
      </w:r>
      <w:r w:rsidR="006C5B2E">
        <w:rPr>
          <w:rFonts w:eastAsia="Calibri"/>
          <w:lang w:eastAsia="en-US"/>
        </w:rPr>
        <w:t>ГП-24</w:t>
      </w:r>
      <w:r>
        <w:rPr>
          <w:rFonts w:eastAsia="Calibri"/>
          <w:lang w:eastAsia="en-US"/>
        </w:rPr>
        <w:t xml:space="preserve"> </w:t>
      </w:r>
      <w:r w:rsidR="004802B2" w:rsidRPr="008C51EF">
        <w:rPr>
          <w:rFonts w:eastAsia="Calibri"/>
          <w:b/>
          <w:lang w:eastAsia="en-US"/>
        </w:rPr>
        <w:t xml:space="preserve">увеличиваются </w:t>
      </w:r>
      <w:r w:rsidR="004802B2" w:rsidRPr="00EB5447">
        <w:rPr>
          <w:rFonts w:eastAsia="Calibri"/>
          <w:lang w:eastAsia="en-US"/>
        </w:rPr>
        <w:t>по сравнению с 2020 годом на 342 167,9 млн. рублей (36,1</w:t>
      </w:r>
      <w:r>
        <w:rPr>
          <w:rFonts w:eastAsia="Calibri"/>
          <w:lang w:eastAsia="en-US"/>
        </w:rPr>
        <w:t> </w:t>
      </w:r>
      <w:r w:rsidR="004802B2" w:rsidRPr="00EB5447">
        <w:rPr>
          <w:rFonts w:eastAsia="Calibri"/>
          <w:lang w:eastAsia="en-US"/>
        </w:rPr>
        <w:t>%).</w:t>
      </w:r>
      <w:r w:rsidR="004F7A25" w:rsidRPr="004F7A25">
        <w:rPr>
          <w:rFonts w:eastAsia="Calibri"/>
          <w:lang w:eastAsia="en-US"/>
        </w:rPr>
        <w:t xml:space="preserve"> </w:t>
      </w:r>
    </w:p>
    <w:p w:rsidR="004F7A25" w:rsidRDefault="004F7A25" w:rsidP="004F7A25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contextualSpacing/>
        <w:jc w:val="both"/>
        <w:textAlignment w:val="baseline"/>
        <w:rPr>
          <w:rFonts w:eastAsia="Calibri"/>
          <w:lang w:eastAsia="en-US"/>
        </w:rPr>
      </w:pPr>
      <w:r w:rsidRPr="00EB5447">
        <w:rPr>
          <w:rFonts w:eastAsia="Calibri"/>
          <w:lang w:eastAsia="en-US"/>
        </w:rPr>
        <w:t>Динамика показателей (индикаторов) по госпрограмме представлена в следующей таблице.</w:t>
      </w:r>
    </w:p>
    <w:p w:rsidR="008A0851" w:rsidRPr="008A0851" w:rsidRDefault="008A0851" w:rsidP="004F7A25">
      <w:pPr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contextualSpacing/>
        <w:jc w:val="both"/>
        <w:textAlignment w:val="baseline"/>
        <w:rPr>
          <w:rFonts w:eastAsia="Calibri"/>
          <w:sz w:val="10"/>
          <w:szCs w:val="10"/>
          <w:lang w:eastAsia="en-US"/>
        </w:rPr>
      </w:pPr>
    </w:p>
    <w:tbl>
      <w:tblPr>
        <w:tblW w:w="9984" w:type="dxa"/>
        <w:tblLayout w:type="fixed"/>
        <w:tblLook w:val="04A0" w:firstRow="1" w:lastRow="0" w:firstColumn="1" w:lastColumn="0" w:noHBand="0" w:noVBand="1"/>
      </w:tblPr>
      <w:tblGrid>
        <w:gridCol w:w="1643"/>
        <w:gridCol w:w="1159"/>
        <w:gridCol w:w="708"/>
        <w:gridCol w:w="709"/>
        <w:gridCol w:w="709"/>
        <w:gridCol w:w="850"/>
        <w:gridCol w:w="1299"/>
        <w:gridCol w:w="828"/>
        <w:gridCol w:w="1150"/>
        <w:gridCol w:w="929"/>
      </w:tblGrid>
      <w:tr w:rsidR="004707F7" w:rsidRPr="00EB5447" w:rsidTr="006E7CFF">
        <w:trPr>
          <w:trHeight w:val="20"/>
          <w:tblHeader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Объем бюджетных ассигнований* (млн. рублей)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</w:t>
            </w:r>
            <w:r w:rsidRPr="00EB5447">
              <w:rPr>
                <w:sz w:val="16"/>
                <w:szCs w:val="16"/>
                <w:lang w:eastAsia="en-US"/>
              </w:rPr>
              <w:t xml:space="preserve">сего показа-телей </w:t>
            </w:r>
          </w:p>
        </w:tc>
        <w:tc>
          <w:tcPr>
            <w:tcW w:w="3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Количество показателей, значения которых по сравнению с предыдущим годом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 xml:space="preserve">Прекра-щают действие 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Отклонение от предыдущего года</w:t>
            </w:r>
          </w:p>
        </w:tc>
      </w:tr>
      <w:tr w:rsidR="004707F7" w:rsidRPr="00EB5447" w:rsidTr="00447C25">
        <w:trPr>
          <w:trHeight w:val="736"/>
          <w:tblHeader/>
        </w:trPr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увели-чены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сни-жены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сохра-нены на уровне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начинают действие с соответ</w:t>
            </w:r>
            <w:r>
              <w:rPr>
                <w:sz w:val="16"/>
                <w:szCs w:val="16"/>
                <w:lang w:eastAsia="en-US"/>
              </w:rPr>
              <w:t>ст</w:t>
            </w:r>
            <w:r w:rsidRPr="00EB5447">
              <w:rPr>
                <w:sz w:val="16"/>
                <w:szCs w:val="16"/>
                <w:lang w:eastAsia="en-US"/>
              </w:rPr>
              <w:t>вую</w:t>
            </w:r>
            <w:r>
              <w:rPr>
                <w:sz w:val="16"/>
                <w:szCs w:val="16"/>
                <w:lang w:eastAsia="en-US"/>
              </w:rPr>
              <w:t>-</w:t>
            </w:r>
            <w:r w:rsidRPr="00EB5447">
              <w:rPr>
                <w:sz w:val="16"/>
                <w:szCs w:val="16"/>
                <w:lang w:eastAsia="en-US"/>
              </w:rPr>
              <w:t>щего года</w:t>
            </w: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бюджетных ассигнований (млн. рублей)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7F7" w:rsidRPr="00EB5447" w:rsidRDefault="004707F7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количества показателей</w:t>
            </w:r>
          </w:p>
        </w:tc>
      </w:tr>
      <w:tr w:rsidR="004F7A25" w:rsidRPr="00EB5447" w:rsidTr="004F7A25">
        <w:trPr>
          <w:trHeight w:val="20"/>
          <w:tblHeader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10</w:t>
            </w:r>
          </w:p>
        </w:tc>
      </w:tr>
      <w:tr w:rsidR="004F7A25" w:rsidRPr="00EB5447" w:rsidTr="004F7A25">
        <w:trPr>
          <w:trHeight w:val="2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rPr>
                <w:b/>
                <w:bCs/>
                <w:sz w:val="16"/>
                <w:szCs w:val="16"/>
                <w:lang w:eastAsia="en-US"/>
              </w:rPr>
            </w:pPr>
            <w:r w:rsidRPr="00EB5447">
              <w:rPr>
                <w:b/>
                <w:bCs/>
                <w:sz w:val="16"/>
                <w:szCs w:val="16"/>
                <w:lang w:eastAsia="en-US"/>
              </w:rPr>
              <w:t>Всего показателей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B5447">
              <w:rPr>
                <w:b/>
                <w:bCs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EB5447">
              <w:rPr>
                <w:b/>
                <w:bCs/>
                <w:sz w:val="16"/>
                <w:szCs w:val="16"/>
                <w:lang w:eastAsia="en-US"/>
              </w:rPr>
              <w:t>-</w:t>
            </w:r>
          </w:p>
        </w:tc>
      </w:tr>
      <w:tr w:rsidR="004F7A25" w:rsidRPr="00EB5447" w:rsidTr="004F7A25">
        <w:trPr>
          <w:trHeight w:val="2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B5447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B5447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</w:tr>
      <w:tr w:rsidR="004F7A25" w:rsidRPr="00EB5447" w:rsidTr="004F7A25">
        <w:trPr>
          <w:trHeight w:val="2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707F7" w:rsidP="004F7A25">
            <w:pPr>
              <w:ind w:left="-57" w:right="-57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н</w:t>
            </w:r>
            <w:r w:rsidR="004F7A25" w:rsidRPr="00EB5447">
              <w:rPr>
                <w:sz w:val="16"/>
                <w:szCs w:val="16"/>
                <w:lang w:eastAsia="en-US"/>
              </w:rPr>
              <w:t>а уровне госпрограммы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4F7A25" w:rsidRPr="00EB5447" w:rsidTr="001F183C">
        <w:trPr>
          <w:trHeight w:val="2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1 035 219,5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4F7A25" w:rsidRPr="00EB5447" w:rsidTr="004F7A25">
        <w:trPr>
          <w:trHeight w:val="2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2020 год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948 547,9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B5447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- 86 671,6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4F7A25" w:rsidRPr="00EB5447" w:rsidTr="004F7A25">
        <w:trPr>
          <w:trHeight w:val="2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2021 год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1 124 934,2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B5447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B5447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+ 176 386,3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</w:tr>
      <w:tr w:rsidR="004F7A25" w:rsidRPr="00EB5447" w:rsidTr="004F7A25">
        <w:trPr>
          <w:trHeight w:val="20"/>
        </w:trPr>
        <w:tc>
          <w:tcPr>
            <w:tcW w:w="1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A25" w:rsidRPr="00EB5447" w:rsidRDefault="004F7A25" w:rsidP="004F7A25">
            <w:pPr>
              <w:ind w:left="-57" w:right="-57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2022 год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1 290 715,8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B5447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7A25" w:rsidRPr="00EB5447" w:rsidRDefault="004F7A25" w:rsidP="004F7A25">
            <w:pPr>
              <w:spacing w:line="276" w:lineRule="auto"/>
              <w:ind w:left="-57" w:right="-5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B5447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+ 165 781,6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7A25" w:rsidRPr="00EB5447" w:rsidRDefault="004F7A25" w:rsidP="004F7A25">
            <w:pPr>
              <w:ind w:left="-57" w:right="-57"/>
              <w:jc w:val="center"/>
              <w:rPr>
                <w:sz w:val="16"/>
                <w:szCs w:val="16"/>
                <w:lang w:eastAsia="en-US"/>
              </w:rPr>
            </w:pPr>
            <w:r w:rsidRPr="00EB5447">
              <w:rPr>
                <w:sz w:val="16"/>
                <w:szCs w:val="16"/>
                <w:lang w:eastAsia="en-US"/>
              </w:rPr>
              <w:t>-</w:t>
            </w:r>
          </w:p>
        </w:tc>
      </w:tr>
    </w:tbl>
    <w:p w:rsidR="004802B2" w:rsidRPr="00EB5447" w:rsidRDefault="004802B2" w:rsidP="004802B2">
      <w:pPr>
        <w:pStyle w:val="a3"/>
        <w:spacing w:after="0" w:line="360" w:lineRule="auto"/>
        <w:ind w:firstLine="0"/>
        <w:rPr>
          <w:sz w:val="16"/>
          <w:szCs w:val="16"/>
        </w:rPr>
      </w:pPr>
      <w:r w:rsidRPr="00EB5447">
        <w:rPr>
          <w:sz w:val="16"/>
          <w:szCs w:val="16"/>
        </w:rPr>
        <w:t>* В соответствии с проектом паспорта ГП-24.</w:t>
      </w:r>
    </w:p>
    <w:p w:rsidR="00095E42" w:rsidRDefault="00095E42" w:rsidP="00095E42">
      <w:pPr>
        <w:autoSpaceDN w:val="0"/>
        <w:spacing w:line="360" w:lineRule="auto"/>
        <w:ind w:firstLine="709"/>
        <w:jc w:val="both"/>
        <w:textAlignment w:val="baseline"/>
      </w:pPr>
    </w:p>
    <w:p w:rsidR="00095E42" w:rsidRPr="001F183C" w:rsidRDefault="00095E42" w:rsidP="00095E42">
      <w:pPr>
        <w:autoSpaceDN w:val="0"/>
        <w:spacing w:line="360" w:lineRule="auto"/>
        <w:ind w:firstLine="709"/>
        <w:jc w:val="both"/>
        <w:textAlignment w:val="baseline"/>
      </w:pPr>
      <w:r w:rsidRPr="001F183C">
        <w:t xml:space="preserve">По </w:t>
      </w:r>
      <w:r w:rsidR="001F183C" w:rsidRPr="001F183C">
        <w:t>госпрограмме</w:t>
      </w:r>
      <w:r w:rsidRPr="001F183C">
        <w:t xml:space="preserve"> в 2020 году планируется уменьшение бюджетных ассигнований на </w:t>
      </w:r>
      <w:r w:rsidR="001F183C">
        <w:t>86 671,6</w:t>
      </w:r>
      <w:r w:rsidRPr="001F183C">
        <w:t xml:space="preserve"> млн. рублей (</w:t>
      </w:r>
      <w:r w:rsidR="001F183C">
        <w:t>8,4</w:t>
      </w:r>
      <w:r w:rsidRPr="001F183C">
        <w:t xml:space="preserve"> %) при увеличении значений </w:t>
      </w:r>
      <w:r w:rsidR="001F183C">
        <w:t>5</w:t>
      </w:r>
      <w:r w:rsidRPr="001F183C">
        <w:t xml:space="preserve"> показателей, в 2021</w:t>
      </w:r>
      <w:r w:rsidR="001F183C">
        <w:t xml:space="preserve"> - 2020</w:t>
      </w:r>
      <w:r w:rsidRPr="001F183C">
        <w:t xml:space="preserve"> год</w:t>
      </w:r>
      <w:r w:rsidR="001F183C">
        <w:t>ах</w:t>
      </w:r>
      <w:r w:rsidRPr="001F183C">
        <w:t xml:space="preserve"> при увеличении бюджетных ассигнований на </w:t>
      </w:r>
      <w:r w:rsidR="001F183C">
        <w:t>176 386,3</w:t>
      </w:r>
      <w:r w:rsidR="001F183C" w:rsidRPr="001F183C">
        <w:t xml:space="preserve"> млн. рублей</w:t>
      </w:r>
      <w:r w:rsidR="001F183C">
        <w:t xml:space="preserve"> и 165 781,6</w:t>
      </w:r>
      <w:r w:rsidR="001F183C" w:rsidRPr="001F183C">
        <w:t xml:space="preserve"> млн. рублей</w:t>
      </w:r>
      <w:r w:rsidRPr="001F183C">
        <w:t xml:space="preserve"> (</w:t>
      </w:r>
      <w:r w:rsidR="001F183C">
        <w:t>18,6 </w:t>
      </w:r>
      <w:r w:rsidRPr="001F183C">
        <w:t>%</w:t>
      </w:r>
      <w:r w:rsidR="001F183C">
        <w:t xml:space="preserve"> и 14,7 %</w:t>
      </w:r>
      <w:r w:rsidRPr="001F183C">
        <w:t xml:space="preserve">) </w:t>
      </w:r>
      <w:r w:rsidR="001F183C">
        <w:t>соответственно предусмотрено</w:t>
      </w:r>
      <w:r w:rsidRPr="001F183C">
        <w:t xml:space="preserve"> увеличение значений </w:t>
      </w:r>
      <w:r w:rsidR="001F183C">
        <w:t>5</w:t>
      </w:r>
      <w:r w:rsidRPr="001F183C">
        <w:t xml:space="preserve"> показателей.</w:t>
      </w:r>
    </w:p>
    <w:p w:rsidR="008C51EF" w:rsidRPr="00E077A0" w:rsidRDefault="008C51EF" w:rsidP="00932FB4">
      <w:pPr>
        <w:autoSpaceDN w:val="0"/>
        <w:spacing w:line="360" w:lineRule="auto"/>
        <w:ind w:firstLine="709"/>
        <w:jc w:val="both"/>
        <w:textAlignment w:val="baseline"/>
      </w:pPr>
      <w:r w:rsidRPr="006D754F">
        <w:rPr>
          <w:b/>
        </w:rPr>
        <w:t>24.</w:t>
      </w:r>
      <w:r w:rsidR="004802B2" w:rsidRPr="006D754F">
        <w:rPr>
          <w:b/>
        </w:rPr>
        <w:t>7.</w:t>
      </w:r>
      <w:r w:rsidR="004802B2" w:rsidRPr="006D754F">
        <w:t xml:space="preserve"> </w:t>
      </w:r>
      <w:r w:rsidRPr="006D754F">
        <w:t>Учитывая степень эффективности ГП-</w:t>
      </w:r>
      <w:r w:rsidR="004F7A25" w:rsidRPr="006D754F">
        <w:t>24</w:t>
      </w:r>
      <w:r w:rsidRPr="006D754F">
        <w:t xml:space="preserve"> в 2018 году, динамику </w:t>
      </w:r>
      <w:r w:rsidR="001969E1" w:rsidRPr="006D754F">
        <w:t xml:space="preserve">исполнения </w:t>
      </w:r>
      <w:r w:rsidRPr="006D754F">
        <w:t>расходов</w:t>
      </w:r>
      <w:r w:rsidR="00E077A0" w:rsidRPr="006D754F">
        <w:t xml:space="preserve"> </w:t>
      </w:r>
      <w:r w:rsidR="001969E1" w:rsidRPr="006D754F">
        <w:t xml:space="preserve">по отдельным подпрограммам (направлениям) </w:t>
      </w:r>
      <w:r w:rsidR="00FE03E6" w:rsidRPr="006D754F">
        <w:t xml:space="preserve">и низкий уровень ввода объектов ФАИП в эксплуатацию </w:t>
      </w:r>
      <w:r w:rsidR="00E077A0" w:rsidRPr="006D754F">
        <w:t>в 2018 году и по итогам 8 месяцев 2019</w:t>
      </w:r>
      <w:r w:rsidRPr="006D754F">
        <w:t xml:space="preserve"> </w:t>
      </w:r>
      <w:r w:rsidR="00E077A0" w:rsidRPr="006D754F">
        <w:t>года</w:t>
      </w:r>
      <w:r w:rsidR="00FE03E6" w:rsidRPr="006D754F">
        <w:t xml:space="preserve">, </w:t>
      </w:r>
      <w:r w:rsidRPr="006D754F">
        <w:t xml:space="preserve">по экспертной оценке Счетной палаты, </w:t>
      </w:r>
      <w:r w:rsidRPr="006D754F">
        <w:rPr>
          <w:b/>
        </w:rPr>
        <w:t xml:space="preserve">существуют риски недостижения </w:t>
      </w:r>
      <w:r w:rsidR="00E077A0" w:rsidRPr="006D754F">
        <w:rPr>
          <w:b/>
        </w:rPr>
        <w:t xml:space="preserve">целей </w:t>
      </w:r>
      <w:r w:rsidRPr="006D754F">
        <w:rPr>
          <w:b/>
        </w:rPr>
        <w:t>госпрограммы</w:t>
      </w:r>
      <w:r w:rsidRPr="006D754F">
        <w:t xml:space="preserve"> в 2020</w:t>
      </w:r>
      <w:r w:rsidR="00E077A0" w:rsidRPr="006D754F">
        <w:t xml:space="preserve"> - 2022</w:t>
      </w:r>
      <w:r w:rsidRPr="006D754F">
        <w:t xml:space="preserve"> год</w:t>
      </w:r>
      <w:r w:rsidR="00E077A0" w:rsidRPr="006D754F">
        <w:t>ах</w:t>
      </w:r>
      <w:r w:rsidR="00932FB4" w:rsidRPr="006D754F">
        <w:t xml:space="preserve"> по ускорению товародвижения и повышению конкурентоспособности транспортной системы России на мировом рынке.</w:t>
      </w:r>
      <w:r w:rsidR="00932FB4" w:rsidRPr="00932FB4">
        <w:t xml:space="preserve"> </w:t>
      </w:r>
    </w:p>
    <w:sectPr w:rsidR="008C51EF" w:rsidRPr="00E077A0" w:rsidSect="00A119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3" w:bottom="1134" w:left="1134" w:header="708" w:footer="708" w:gutter="0"/>
      <w:pgNumType w:start="2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24" w:rsidRDefault="00300E24" w:rsidP="00D07FA4">
      <w:r>
        <w:separator/>
      </w:r>
    </w:p>
  </w:endnote>
  <w:endnote w:type="continuationSeparator" w:id="0">
    <w:p w:rsidR="00300E24" w:rsidRDefault="00300E24" w:rsidP="00D0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E5" w:rsidRPr="00A11905" w:rsidRDefault="00A049E5" w:rsidP="00A1190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E5" w:rsidRPr="00A11905" w:rsidRDefault="00A049E5" w:rsidP="00A1190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E5" w:rsidRPr="00A11905" w:rsidRDefault="00A049E5" w:rsidP="00A119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24" w:rsidRDefault="00300E24" w:rsidP="00D07FA4">
      <w:r>
        <w:separator/>
      </w:r>
    </w:p>
  </w:footnote>
  <w:footnote w:type="continuationSeparator" w:id="0">
    <w:p w:rsidR="00300E24" w:rsidRDefault="00300E24" w:rsidP="00D07FA4">
      <w:r>
        <w:continuationSeparator/>
      </w:r>
    </w:p>
  </w:footnote>
  <w:footnote w:id="1">
    <w:p w:rsidR="00095E42" w:rsidRDefault="00095E42" w:rsidP="00900138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D07FA4">
        <w:t>Транспортная стратегия Российской Федерации на период до 2030 года утверждена распоряжением Правительства Российской Федерации от 22 ноября 2008 г. № 1734-р.</w:t>
      </w:r>
    </w:p>
  </w:footnote>
  <w:footnote w:id="2">
    <w:p w:rsidR="00095E42" w:rsidRDefault="00095E42" w:rsidP="006636F0">
      <w:pPr>
        <w:pStyle w:val="a4"/>
        <w:jc w:val="both"/>
      </w:pPr>
      <w:r>
        <w:rPr>
          <w:rStyle w:val="a6"/>
        </w:rPr>
        <w:footnoteRef/>
      </w:r>
      <w:r>
        <w:t xml:space="preserve"> В том числе 3 в составе национального проекта «Безопасные и качественные автомобильные дороги» и 9 в составе Комплексного плана модернизации и расширения магистральной инфраструктуры на период до 2024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905" w:rsidRDefault="00A11905" w:rsidP="007B2FA0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049E5" w:rsidRPr="00A11905" w:rsidRDefault="00A049E5" w:rsidP="00A1190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905" w:rsidRPr="00A11905" w:rsidRDefault="00A11905" w:rsidP="007B2FA0">
    <w:pPr>
      <w:pStyle w:val="a7"/>
      <w:framePr w:wrap="around" w:vAnchor="text" w:hAnchor="margin" w:xAlign="center" w:y="1"/>
      <w:rPr>
        <w:rStyle w:val="ab"/>
      </w:rPr>
    </w:pPr>
    <w:r w:rsidRPr="00A11905">
      <w:rPr>
        <w:rStyle w:val="ab"/>
      </w:rPr>
      <w:fldChar w:fldCharType="begin"/>
    </w:r>
    <w:r w:rsidRPr="00A11905">
      <w:rPr>
        <w:rStyle w:val="ab"/>
      </w:rPr>
      <w:instrText xml:space="preserve">PAGE  </w:instrText>
    </w:r>
    <w:r w:rsidRPr="00A11905">
      <w:rPr>
        <w:rStyle w:val="ab"/>
      </w:rPr>
      <w:fldChar w:fldCharType="separate"/>
    </w:r>
    <w:r>
      <w:rPr>
        <w:rStyle w:val="ab"/>
        <w:noProof/>
      </w:rPr>
      <w:t>282</w:t>
    </w:r>
    <w:r w:rsidRPr="00A11905">
      <w:rPr>
        <w:rStyle w:val="ab"/>
      </w:rPr>
      <w:fldChar w:fldCharType="end"/>
    </w:r>
  </w:p>
  <w:p w:rsidR="00A049E5" w:rsidRPr="00A11905" w:rsidRDefault="00A049E5" w:rsidP="00A1190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9E5" w:rsidRPr="00A11905" w:rsidRDefault="00A049E5" w:rsidP="00A1190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B2"/>
    <w:rsid w:val="00007DE1"/>
    <w:rsid w:val="000415E5"/>
    <w:rsid w:val="00095E42"/>
    <w:rsid w:val="001969E1"/>
    <w:rsid w:val="001E0387"/>
    <w:rsid w:val="001F183C"/>
    <w:rsid w:val="00233755"/>
    <w:rsid w:val="002B0085"/>
    <w:rsid w:val="00300E24"/>
    <w:rsid w:val="00325664"/>
    <w:rsid w:val="0033105C"/>
    <w:rsid w:val="003B013C"/>
    <w:rsid w:val="003F200C"/>
    <w:rsid w:val="00421FE0"/>
    <w:rsid w:val="004707F7"/>
    <w:rsid w:val="004802B2"/>
    <w:rsid w:val="004B6088"/>
    <w:rsid w:val="004F7A25"/>
    <w:rsid w:val="00540514"/>
    <w:rsid w:val="006636F0"/>
    <w:rsid w:val="00680E21"/>
    <w:rsid w:val="006C5B2E"/>
    <w:rsid w:val="006D754F"/>
    <w:rsid w:val="006F2F78"/>
    <w:rsid w:val="00725060"/>
    <w:rsid w:val="00796A2E"/>
    <w:rsid w:val="008A0851"/>
    <w:rsid w:val="008C51EF"/>
    <w:rsid w:val="00900138"/>
    <w:rsid w:val="009228E8"/>
    <w:rsid w:val="00932FB4"/>
    <w:rsid w:val="00974BA3"/>
    <w:rsid w:val="00A049E5"/>
    <w:rsid w:val="00A104A0"/>
    <w:rsid w:val="00A11905"/>
    <w:rsid w:val="00B344D3"/>
    <w:rsid w:val="00B479DF"/>
    <w:rsid w:val="00B51BA6"/>
    <w:rsid w:val="00C24FB2"/>
    <w:rsid w:val="00C3312D"/>
    <w:rsid w:val="00D07FA4"/>
    <w:rsid w:val="00D5797A"/>
    <w:rsid w:val="00DB43D8"/>
    <w:rsid w:val="00DC4895"/>
    <w:rsid w:val="00E077A0"/>
    <w:rsid w:val="00E21BD1"/>
    <w:rsid w:val="00EC1766"/>
    <w:rsid w:val="00ED6A88"/>
    <w:rsid w:val="00EE3E8E"/>
    <w:rsid w:val="00F90E1E"/>
    <w:rsid w:val="00FB2C3B"/>
    <w:rsid w:val="00FE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заключения"/>
    <w:basedOn w:val="a"/>
    <w:qFormat/>
    <w:rsid w:val="004802B2"/>
    <w:pPr>
      <w:widowControl w:val="0"/>
      <w:autoSpaceDE w:val="0"/>
      <w:autoSpaceDN w:val="0"/>
      <w:adjustRightInd w:val="0"/>
      <w:spacing w:after="120"/>
      <w:ind w:firstLine="709"/>
      <w:contextualSpacing/>
      <w:jc w:val="both"/>
    </w:pPr>
    <w:rPr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D07FA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07F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07FA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49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049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49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semiHidden/>
    <w:unhideWhenUsed/>
    <w:rsid w:val="00A04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заключения"/>
    <w:basedOn w:val="a"/>
    <w:qFormat/>
    <w:rsid w:val="004802B2"/>
    <w:pPr>
      <w:widowControl w:val="0"/>
      <w:autoSpaceDE w:val="0"/>
      <w:autoSpaceDN w:val="0"/>
      <w:adjustRightInd w:val="0"/>
      <w:spacing w:after="120"/>
      <w:ind w:firstLine="709"/>
      <w:contextualSpacing/>
      <w:jc w:val="both"/>
    </w:pPr>
    <w:rPr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D07FA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07F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07FA4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049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049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49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semiHidden/>
    <w:unhideWhenUsed/>
    <w:rsid w:val="00A04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63019-3813-42D9-8E58-D4B2FBFED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1638</Words>
  <Characters>9877</Characters>
  <Application>Microsoft Office Word</Application>
  <DocSecurity>0</DocSecurity>
  <Lines>565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Бакаева  И.С.</dc:creator>
  <cp:lastModifiedBy>Изотов С.С.</cp:lastModifiedBy>
  <cp:revision>2</cp:revision>
  <dcterms:created xsi:type="dcterms:W3CDTF">2019-10-11T18:42:00Z</dcterms:created>
  <dcterms:modified xsi:type="dcterms:W3CDTF">2019-10-11T18:42:00Z</dcterms:modified>
</cp:coreProperties>
</file>