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5E756" w14:textId="1F93F072" w:rsidR="001C6950" w:rsidRPr="00334799" w:rsidRDefault="00785577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t xml:space="preserve">Приложение № </w:t>
      </w:r>
      <w:r w:rsidR="00B26B42" w:rsidRPr="00334799">
        <w:rPr>
          <w:color w:val="000000" w:themeColor="text1"/>
          <w:sz w:val="24"/>
          <w:szCs w:val="24"/>
        </w:rPr>
        <w:t>1</w:t>
      </w:r>
      <w:r w:rsidR="00046AE2">
        <w:rPr>
          <w:color w:val="000000" w:themeColor="text1"/>
          <w:sz w:val="24"/>
          <w:szCs w:val="24"/>
        </w:rPr>
        <w:t>2</w:t>
      </w:r>
    </w:p>
    <w:p w14:paraId="3918AB61" w14:textId="77777777" w:rsidR="001C6950" w:rsidRPr="00334799" w:rsidRDefault="006D65E1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t>к аналитической записке</w:t>
      </w:r>
    </w:p>
    <w:p w14:paraId="0273799D" w14:textId="77777777" w:rsidR="006D65E1" w:rsidRPr="00334799" w:rsidRDefault="006D65E1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14:paraId="230D398E" w14:textId="77777777" w:rsidR="00C86292" w:rsidRPr="00334799" w:rsidRDefault="00C86292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14:paraId="4D65B4EF" w14:textId="77777777" w:rsidR="00DF3AAB" w:rsidRPr="00334799" w:rsidRDefault="00DF3AAB" w:rsidP="00DF3AAB">
      <w:pPr>
        <w:ind w:left="0" w:right="0"/>
        <w:jc w:val="right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t>Таблица 1</w:t>
      </w:r>
    </w:p>
    <w:p w14:paraId="51DB1615" w14:textId="77777777" w:rsidR="002B7597" w:rsidRPr="00334799" w:rsidRDefault="002B7597" w:rsidP="00DF3AAB">
      <w:pPr>
        <w:ind w:left="0" w:right="0"/>
        <w:jc w:val="right"/>
        <w:rPr>
          <w:color w:val="000000" w:themeColor="text1"/>
          <w:sz w:val="24"/>
          <w:szCs w:val="24"/>
        </w:rPr>
      </w:pPr>
    </w:p>
    <w:p w14:paraId="57A36458" w14:textId="774443B4" w:rsidR="000E5F9B" w:rsidRPr="00334799" w:rsidRDefault="006C38EE" w:rsidP="006C38EE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Анализ </w:t>
      </w:r>
      <w:r w:rsidR="000E5F9B" w:rsidRPr="00334799">
        <w:rPr>
          <w:b/>
          <w:color w:val="000000" w:themeColor="text1"/>
          <w:sz w:val="24"/>
          <w:szCs w:val="24"/>
        </w:rPr>
        <w:t>исполнения</w:t>
      </w:r>
      <w:r w:rsidRPr="00334799">
        <w:rPr>
          <w:b/>
          <w:color w:val="000000" w:themeColor="text1"/>
          <w:sz w:val="24"/>
          <w:szCs w:val="24"/>
        </w:rPr>
        <w:t xml:space="preserve"> Программы государственных внутренних заимствований </w:t>
      </w:r>
      <w:bookmarkStart w:id="0" w:name="_GoBack"/>
      <w:bookmarkEnd w:id="0"/>
      <w:r w:rsidRPr="00334799">
        <w:rPr>
          <w:b/>
          <w:color w:val="000000" w:themeColor="text1"/>
          <w:sz w:val="24"/>
          <w:szCs w:val="24"/>
        </w:rPr>
        <w:t>Российской Федерации на 20</w:t>
      </w:r>
      <w:r w:rsidR="00A76770" w:rsidRPr="00334799">
        <w:rPr>
          <w:b/>
          <w:color w:val="000000" w:themeColor="text1"/>
          <w:sz w:val="24"/>
          <w:szCs w:val="24"/>
        </w:rPr>
        <w:t>20</w:t>
      </w:r>
      <w:r w:rsidRPr="00334799">
        <w:rPr>
          <w:b/>
          <w:color w:val="000000" w:themeColor="text1"/>
          <w:sz w:val="24"/>
          <w:szCs w:val="24"/>
        </w:rPr>
        <w:t xml:space="preserve"> год и на плановый период 202</w:t>
      </w:r>
      <w:r w:rsidR="00A76770" w:rsidRPr="00334799">
        <w:rPr>
          <w:b/>
          <w:color w:val="000000" w:themeColor="text1"/>
          <w:sz w:val="24"/>
          <w:szCs w:val="24"/>
        </w:rPr>
        <w:t>1</w:t>
      </w:r>
      <w:r w:rsidRPr="00334799">
        <w:rPr>
          <w:b/>
          <w:color w:val="000000" w:themeColor="text1"/>
          <w:sz w:val="24"/>
          <w:szCs w:val="24"/>
        </w:rPr>
        <w:t xml:space="preserve"> и 202</w:t>
      </w:r>
      <w:r w:rsidR="00A76770" w:rsidRPr="00334799">
        <w:rPr>
          <w:b/>
          <w:color w:val="000000" w:themeColor="text1"/>
          <w:sz w:val="24"/>
          <w:szCs w:val="24"/>
        </w:rPr>
        <w:t>2</w:t>
      </w:r>
      <w:r w:rsidRPr="00334799">
        <w:rPr>
          <w:b/>
          <w:color w:val="000000" w:themeColor="text1"/>
          <w:sz w:val="24"/>
          <w:szCs w:val="24"/>
        </w:rPr>
        <w:t xml:space="preserve"> годов</w:t>
      </w:r>
      <w:r w:rsidR="000E5F9B" w:rsidRPr="00334799">
        <w:rPr>
          <w:b/>
          <w:color w:val="000000" w:themeColor="text1"/>
          <w:sz w:val="24"/>
          <w:szCs w:val="24"/>
        </w:rPr>
        <w:t xml:space="preserve"> </w:t>
      </w:r>
    </w:p>
    <w:p w14:paraId="5CEAF4A0" w14:textId="22072D39" w:rsidR="006C38EE" w:rsidRPr="00334799" w:rsidRDefault="000E5F9B" w:rsidP="006C38EE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за январь – </w:t>
      </w:r>
      <w:r w:rsidR="0099027E" w:rsidRPr="00334799">
        <w:rPr>
          <w:b/>
          <w:color w:val="000000" w:themeColor="text1"/>
          <w:sz w:val="24"/>
          <w:szCs w:val="24"/>
        </w:rPr>
        <w:t>сентябрь</w:t>
      </w:r>
      <w:r w:rsidRPr="00334799">
        <w:rPr>
          <w:b/>
          <w:color w:val="000000" w:themeColor="text1"/>
          <w:sz w:val="24"/>
          <w:szCs w:val="24"/>
        </w:rPr>
        <w:t xml:space="preserve"> 2020 года</w:t>
      </w:r>
    </w:p>
    <w:p w14:paraId="3CB78587" w14:textId="77777777" w:rsidR="00C86292" w:rsidRPr="00334799" w:rsidRDefault="00C86292" w:rsidP="006C38EE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157"/>
        <w:gridCol w:w="1918"/>
        <w:gridCol w:w="1586"/>
        <w:gridCol w:w="1196"/>
      </w:tblGrid>
      <w:tr w:rsidR="00C849A3" w:rsidRPr="00334799" w14:paraId="407EB6BD" w14:textId="77777777" w:rsidTr="00BB1A22">
        <w:trPr>
          <w:trHeight w:val="783"/>
          <w:tblHeader/>
          <w:jc w:val="center"/>
        </w:trPr>
        <w:tc>
          <w:tcPr>
            <w:tcW w:w="1278" w:type="pct"/>
            <w:vMerge w:val="restart"/>
            <w:shd w:val="clear" w:color="auto" w:fill="auto"/>
            <w:noWrap/>
            <w:vAlign w:val="center"/>
            <w:hideMark/>
          </w:tcPr>
          <w:p w14:paraId="678A58FE" w14:textId="77777777" w:rsidR="00BB1A22" w:rsidRPr="00334799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212" w:type="pct"/>
            <w:gridSpan w:val="2"/>
            <w:shd w:val="clear" w:color="auto" w:fill="auto"/>
            <w:vAlign w:val="center"/>
            <w:hideMark/>
          </w:tcPr>
          <w:p w14:paraId="4184F705" w14:textId="77777777" w:rsidR="00BB1A22" w:rsidRPr="00334799" w:rsidRDefault="00BB1A22" w:rsidP="00A7677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Предусмотрено Программой государственных внутренних заимствований Российской Федерации на 2020 год и на плановый период 2021 и 2022 годы в части 2020 года, млн. рублей</w:t>
            </w:r>
          </w:p>
        </w:tc>
        <w:tc>
          <w:tcPr>
            <w:tcW w:w="1510" w:type="pct"/>
            <w:gridSpan w:val="2"/>
          </w:tcPr>
          <w:p w14:paraId="25054021" w14:textId="59C15D05" w:rsidR="00BB1A22" w:rsidRPr="00334799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Исполнено </w:t>
            </w:r>
          </w:p>
          <w:p w14:paraId="615D1666" w14:textId="43E3925B" w:rsidR="008D34A7" w:rsidRPr="00334799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99027E" w:rsidRPr="00334799">
              <w:rPr>
                <w:b/>
                <w:bCs/>
                <w:color w:val="000000" w:themeColor="text1"/>
                <w:sz w:val="16"/>
                <w:szCs w:val="16"/>
              </w:rPr>
              <w:t>октября</w:t>
            </w: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 2020 года </w:t>
            </w:r>
          </w:p>
          <w:p w14:paraId="5579E623" w14:textId="4435DC9C" w:rsidR="00BB1A22" w:rsidRPr="00334799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(нарастающим итогом)*</w:t>
            </w:r>
          </w:p>
        </w:tc>
      </w:tr>
      <w:tr w:rsidR="00C849A3" w:rsidRPr="00334799" w14:paraId="01FC17EF" w14:textId="77777777" w:rsidTr="00BB1A22">
        <w:trPr>
          <w:trHeight w:val="335"/>
          <w:tblHeader/>
          <w:jc w:val="center"/>
        </w:trPr>
        <w:tc>
          <w:tcPr>
            <w:tcW w:w="1278" w:type="pct"/>
            <w:vMerge/>
            <w:vAlign w:val="center"/>
            <w:hideMark/>
          </w:tcPr>
          <w:p w14:paraId="58354B52" w14:textId="77777777" w:rsidR="00BB1A22" w:rsidRPr="00334799" w:rsidRDefault="00BB1A22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71" w:type="pct"/>
            <w:shd w:val="clear" w:color="auto" w:fill="auto"/>
            <w:vAlign w:val="center"/>
            <w:hideMark/>
          </w:tcPr>
          <w:p w14:paraId="0F9780C1" w14:textId="77777777" w:rsidR="00BB1A22" w:rsidRPr="00334799" w:rsidRDefault="00BB1A22" w:rsidP="00A7677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Федеральный закон № 380-ФЗ</w:t>
            </w:r>
          </w:p>
        </w:tc>
        <w:tc>
          <w:tcPr>
            <w:tcW w:w="1041" w:type="pct"/>
            <w:vAlign w:val="center"/>
          </w:tcPr>
          <w:p w14:paraId="4233182C" w14:textId="77777777" w:rsidR="00BB1A22" w:rsidRPr="00334799" w:rsidRDefault="00BB1A22" w:rsidP="004E70B1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Федеральный закон</w:t>
            </w:r>
          </w:p>
          <w:p w14:paraId="3D332255" w14:textId="77777777" w:rsidR="00BB1A22" w:rsidRPr="00334799" w:rsidRDefault="00BB1A22" w:rsidP="00A7677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№ 52-ФЗ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6DB8E241" w14:textId="148EF2F1" w:rsidR="00BB1A22" w:rsidRPr="00334799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сумма,</w:t>
            </w:r>
          </w:p>
          <w:p w14:paraId="68CCCD79" w14:textId="77777777" w:rsidR="00BB1A22" w:rsidRPr="00334799" w:rsidRDefault="00BB1A22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48" w:type="pct"/>
            <w:vAlign w:val="center"/>
          </w:tcPr>
          <w:p w14:paraId="13F39086" w14:textId="77777777" w:rsidR="00BB1A22" w:rsidRPr="00334799" w:rsidRDefault="00BB1A22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C849A3" w:rsidRPr="00334799" w14:paraId="211FD217" w14:textId="77777777" w:rsidTr="00BB1A22">
        <w:trPr>
          <w:trHeight w:val="99"/>
          <w:jc w:val="center"/>
        </w:trPr>
        <w:tc>
          <w:tcPr>
            <w:tcW w:w="1278" w:type="pct"/>
            <w:shd w:val="clear" w:color="auto" w:fill="auto"/>
            <w:vAlign w:val="center"/>
          </w:tcPr>
          <w:p w14:paraId="3F2EE897" w14:textId="77777777" w:rsidR="00BB1A22" w:rsidRPr="00334799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71" w:type="pct"/>
            <w:shd w:val="clear" w:color="auto" w:fill="auto"/>
            <w:noWrap/>
            <w:vAlign w:val="center"/>
          </w:tcPr>
          <w:p w14:paraId="059DCE9D" w14:textId="77777777" w:rsidR="00BB1A22" w:rsidRPr="00334799" w:rsidRDefault="00BB1A22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41" w:type="pct"/>
          </w:tcPr>
          <w:p w14:paraId="120C1AC7" w14:textId="77777777" w:rsidR="00BB1A22" w:rsidRPr="00334799" w:rsidRDefault="00BB1A22" w:rsidP="00B45E1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756C118B" w14:textId="424F49F3" w:rsidR="00BB1A22" w:rsidRPr="00334799" w:rsidRDefault="00BB1A22" w:rsidP="001A4AC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48" w:type="pct"/>
            <w:vAlign w:val="center"/>
          </w:tcPr>
          <w:p w14:paraId="4DE9E5C0" w14:textId="1DA1E7F8" w:rsidR="00BB1A22" w:rsidRPr="00334799" w:rsidRDefault="00BB1A22" w:rsidP="001A4ACD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5=4/3</w:t>
            </w:r>
          </w:p>
        </w:tc>
      </w:tr>
      <w:tr w:rsidR="00C849A3" w:rsidRPr="00334799" w14:paraId="117B1A16" w14:textId="77777777" w:rsidTr="00BB1A22">
        <w:trPr>
          <w:trHeight w:val="195"/>
          <w:jc w:val="center"/>
        </w:trPr>
        <w:tc>
          <w:tcPr>
            <w:tcW w:w="1278" w:type="pct"/>
            <w:shd w:val="clear" w:color="auto" w:fill="auto"/>
            <w:vAlign w:val="center"/>
            <w:hideMark/>
          </w:tcPr>
          <w:p w14:paraId="5CCB7FF0" w14:textId="77777777" w:rsidR="00BB1A22" w:rsidRPr="00334799" w:rsidRDefault="00BB1A22" w:rsidP="00723AEA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Государственные ценные бумаги Российской Федерации</w:t>
            </w:r>
          </w:p>
        </w:tc>
        <w:tc>
          <w:tcPr>
            <w:tcW w:w="1171" w:type="pct"/>
            <w:shd w:val="clear" w:color="auto" w:fill="auto"/>
            <w:noWrap/>
            <w:vAlign w:val="center"/>
            <w:hideMark/>
          </w:tcPr>
          <w:p w14:paraId="05F81440" w14:textId="77777777" w:rsidR="00BB1A22" w:rsidRPr="00334799" w:rsidRDefault="00BB1A22" w:rsidP="00723AEA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1 740 216,0</w:t>
            </w:r>
          </w:p>
        </w:tc>
        <w:tc>
          <w:tcPr>
            <w:tcW w:w="1041" w:type="pct"/>
            <w:vAlign w:val="center"/>
          </w:tcPr>
          <w:p w14:paraId="192D8A9B" w14:textId="77777777" w:rsidR="00BB1A22" w:rsidRPr="00334799" w:rsidRDefault="00BB1A22" w:rsidP="00723AEA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1 740 216,0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032B2E5C" w14:textId="40774E07" w:rsidR="00BB1A22" w:rsidRPr="00334799" w:rsidRDefault="0099027E" w:rsidP="00723AEA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2 305 049,8</w:t>
            </w:r>
          </w:p>
        </w:tc>
        <w:tc>
          <w:tcPr>
            <w:tcW w:w="648" w:type="pct"/>
            <w:vAlign w:val="center"/>
          </w:tcPr>
          <w:p w14:paraId="2A9E2EEE" w14:textId="09FF960A" w:rsidR="00BB1A22" w:rsidRPr="00334799" w:rsidRDefault="0099027E" w:rsidP="00723AEA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в 1,3 раза</w:t>
            </w:r>
          </w:p>
        </w:tc>
      </w:tr>
      <w:tr w:rsidR="00C849A3" w:rsidRPr="00334799" w14:paraId="3C02C3B4" w14:textId="77777777" w:rsidTr="00BB1A22">
        <w:trPr>
          <w:trHeight w:val="241"/>
          <w:jc w:val="center"/>
        </w:trPr>
        <w:tc>
          <w:tcPr>
            <w:tcW w:w="1278" w:type="pct"/>
            <w:shd w:val="clear" w:color="auto" w:fill="auto"/>
            <w:vAlign w:val="center"/>
            <w:hideMark/>
          </w:tcPr>
          <w:p w14:paraId="3AA47C42" w14:textId="77777777" w:rsidR="00BB1A22" w:rsidRPr="00334799" w:rsidRDefault="00BB1A22" w:rsidP="00723AEA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1171" w:type="pct"/>
            <w:shd w:val="clear" w:color="auto" w:fill="auto"/>
            <w:noWrap/>
            <w:vAlign w:val="center"/>
            <w:hideMark/>
          </w:tcPr>
          <w:p w14:paraId="533FC7A4" w14:textId="77777777" w:rsidR="00BB1A22" w:rsidRPr="00334799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2 324 807,0</w:t>
            </w:r>
          </w:p>
        </w:tc>
        <w:tc>
          <w:tcPr>
            <w:tcW w:w="1041" w:type="pct"/>
            <w:vAlign w:val="center"/>
          </w:tcPr>
          <w:p w14:paraId="50DACC59" w14:textId="6354CBC3" w:rsidR="00BB1A22" w:rsidRPr="00334799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2 324 807,0**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74DE5024" w14:textId="68D5F922" w:rsidR="00BB1A22" w:rsidRPr="00334799" w:rsidRDefault="0099027E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2 832 578,8</w:t>
            </w:r>
          </w:p>
        </w:tc>
        <w:tc>
          <w:tcPr>
            <w:tcW w:w="648" w:type="pct"/>
            <w:vAlign w:val="center"/>
          </w:tcPr>
          <w:p w14:paraId="0FB55ECE" w14:textId="2CF76B07" w:rsidR="00BB1A22" w:rsidRPr="00334799" w:rsidRDefault="0099027E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в 1,2 раза</w:t>
            </w:r>
          </w:p>
        </w:tc>
      </w:tr>
      <w:tr w:rsidR="00C849A3" w:rsidRPr="00334799" w14:paraId="53BA1F89" w14:textId="77777777" w:rsidTr="00BB1A22">
        <w:trPr>
          <w:trHeight w:val="241"/>
          <w:jc w:val="center"/>
        </w:trPr>
        <w:tc>
          <w:tcPr>
            <w:tcW w:w="1278" w:type="pct"/>
            <w:shd w:val="clear" w:color="auto" w:fill="auto"/>
            <w:vAlign w:val="center"/>
            <w:hideMark/>
          </w:tcPr>
          <w:p w14:paraId="511A9313" w14:textId="77777777" w:rsidR="00BB1A22" w:rsidRPr="00334799" w:rsidRDefault="00BB1A22" w:rsidP="00723AEA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1171" w:type="pct"/>
            <w:shd w:val="clear" w:color="auto" w:fill="auto"/>
            <w:noWrap/>
            <w:vAlign w:val="center"/>
            <w:hideMark/>
          </w:tcPr>
          <w:p w14:paraId="03893312" w14:textId="77777777" w:rsidR="00BB1A22" w:rsidRPr="00334799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-584 591,0</w:t>
            </w:r>
          </w:p>
        </w:tc>
        <w:tc>
          <w:tcPr>
            <w:tcW w:w="1041" w:type="pct"/>
            <w:vAlign w:val="center"/>
          </w:tcPr>
          <w:p w14:paraId="4178F3FC" w14:textId="77777777" w:rsidR="00BB1A22" w:rsidRPr="00334799" w:rsidRDefault="00BB1A22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-584 591,0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14:paraId="5834D819" w14:textId="59A8BF70" w:rsidR="00BB1A22" w:rsidRPr="00334799" w:rsidRDefault="0099027E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-527 529,0</w:t>
            </w:r>
          </w:p>
        </w:tc>
        <w:tc>
          <w:tcPr>
            <w:tcW w:w="648" w:type="pct"/>
            <w:vAlign w:val="center"/>
          </w:tcPr>
          <w:p w14:paraId="7E5310D8" w14:textId="406F9122" w:rsidR="00BB1A22" w:rsidRPr="00334799" w:rsidRDefault="0099027E" w:rsidP="00723AE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90,2</w:t>
            </w:r>
          </w:p>
        </w:tc>
      </w:tr>
    </w:tbl>
    <w:p w14:paraId="2658A85B" w14:textId="45DADE23" w:rsidR="006C38EE" w:rsidRPr="00334799" w:rsidRDefault="00520837" w:rsidP="005208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334799">
        <w:rPr>
          <w:color w:val="000000" w:themeColor="text1"/>
          <w:sz w:val="16"/>
          <w:szCs w:val="16"/>
        </w:rPr>
        <w:t xml:space="preserve">    </w:t>
      </w:r>
      <w:r w:rsidR="00DF3AAB" w:rsidRPr="00334799">
        <w:rPr>
          <w:color w:val="000000" w:themeColor="text1"/>
          <w:sz w:val="16"/>
          <w:szCs w:val="16"/>
        </w:rPr>
        <w:t xml:space="preserve">* </w:t>
      </w:r>
      <w:r w:rsidR="008375F5" w:rsidRPr="00334799">
        <w:rPr>
          <w:color w:val="000000" w:themeColor="text1"/>
          <w:sz w:val="16"/>
          <w:szCs w:val="16"/>
        </w:rPr>
        <w:t>С</w:t>
      </w:r>
      <w:r w:rsidR="006C38EE" w:rsidRPr="00334799">
        <w:rPr>
          <w:color w:val="000000" w:themeColor="text1"/>
          <w:sz w:val="16"/>
          <w:szCs w:val="16"/>
        </w:rPr>
        <w:t xml:space="preserve"> учетом положений статьи 113 Бюджетного кодекса Российской Федерации (суммы накопленного купонного дохода, поступлений в сумме, превышающей номинальную стоимость, а также разницы, возникшей при выкупе ценных бумаг по цене ниже цены размещения) и п</w:t>
      </w:r>
      <w:r w:rsidR="0030468B" w:rsidRPr="00334799">
        <w:rPr>
          <w:color w:val="000000" w:themeColor="text1"/>
          <w:sz w:val="16"/>
          <w:szCs w:val="16"/>
        </w:rPr>
        <w:t>огашения основного долга по ним.</w:t>
      </w:r>
      <w:r w:rsidR="009B08EC" w:rsidRPr="00334799">
        <w:rPr>
          <w:color w:val="000000" w:themeColor="text1"/>
          <w:sz w:val="16"/>
          <w:szCs w:val="16"/>
        </w:rPr>
        <w:t xml:space="preserve"> </w:t>
      </w:r>
    </w:p>
    <w:p w14:paraId="67426CEA" w14:textId="681C14E9" w:rsidR="00520837" w:rsidRPr="00334799" w:rsidRDefault="00715F42" w:rsidP="00520837">
      <w:pPr>
        <w:widowControl w:val="0"/>
        <w:spacing w:line="240" w:lineRule="auto"/>
        <w:ind w:left="0" w:right="0" w:firstLine="142"/>
        <w:rPr>
          <w:color w:val="000000" w:themeColor="text1"/>
          <w:sz w:val="16"/>
          <w:szCs w:val="16"/>
        </w:rPr>
      </w:pPr>
      <w:r w:rsidRPr="00334799">
        <w:rPr>
          <w:color w:val="000000" w:themeColor="text1"/>
          <w:sz w:val="16"/>
          <w:szCs w:val="16"/>
        </w:rPr>
        <w:t>**В</w:t>
      </w:r>
      <w:r w:rsidR="00520837" w:rsidRPr="00334799">
        <w:rPr>
          <w:color w:val="000000" w:themeColor="text1"/>
          <w:sz w:val="16"/>
          <w:szCs w:val="16"/>
        </w:rPr>
        <w:t xml:space="preserve"> соответствии с распоряжением Правительства Российской Федерации от 18 декабря 2019 г. № 3077-р Минфин России вправе осуществлять в 2020 году размещение государственных ценных бумаг, номинальная стоимость которых указана в валюте Российской Федерации, в объемах, не превышающих 2 390,4 млрд. рублей.</w:t>
      </w:r>
    </w:p>
    <w:p w14:paraId="717316E6" w14:textId="77777777" w:rsidR="00520837" w:rsidRPr="00334799" w:rsidRDefault="00520837" w:rsidP="0030468B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14:paraId="323F7FE1" w14:textId="77777777" w:rsidR="00DF3AAB" w:rsidRPr="00334799" w:rsidRDefault="00DF3AAB" w:rsidP="00051434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334799">
        <w:rPr>
          <w:color w:val="000000" w:themeColor="text1"/>
          <w:sz w:val="16"/>
          <w:szCs w:val="16"/>
        </w:rPr>
        <w:t>.</w:t>
      </w:r>
    </w:p>
    <w:p w14:paraId="4919A5E4" w14:textId="77777777" w:rsidR="00EE7D54" w:rsidRPr="00334799" w:rsidRDefault="00EE7D54" w:rsidP="00EE7D54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t xml:space="preserve">Таблица 2 </w:t>
      </w:r>
    </w:p>
    <w:p w14:paraId="77FDFCC8" w14:textId="77777777" w:rsidR="00EE7D54" w:rsidRPr="00334799" w:rsidRDefault="00EE7D54" w:rsidP="00EE7D54">
      <w:pPr>
        <w:spacing w:line="240" w:lineRule="auto"/>
        <w:ind w:right="0" w:firstLine="0"/>
        <w:rPr>
          <w:color w:val="000000" w:themeColor="text1"/>
          <w:sz w:val="16"/>
          <w:szCs w:val="16"/>
        </w:rPr>
      </w:pPr>
    </w:p>
    <w:p w14:paraId="65D78681" w14:textId="4549081D" w:rsidR="00E63A38" w:rsidRPr="00334799" w:rsidRDefault="00E63A38" w:rsidP="00E63A38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  <w:r w:rsidRPr="00334799">
        <w:rPr>
          <w:b/>
          <w:color w:val="000000" w:themeColor="text1"/>
          <w:sz w:val="24"/>
        </w:rPr>
        <w:t>Информация о проведении Минфином России в январе</w:t>
      </w:r>
      <w:r w:rsidR="008D34A7" w:rsidRPr="00334799">
        <w:rPr>
          <w:b/>
          <w:color w:val="000000" w:themeColor="text1"/>
          <w:sz w:val="24"/>
        </w:rPr>
        <w:t xml:space="preserve"> </w:t>
      </w:r>
      <w:r w:rsidR="00AD1686" w:rsidRPr="00334799">
        <w:rPr>
          <w:b/>
          <w:color w:val="000000" w:themeColor="text1"/>
          <w:sz w:val="24"/>
        </w:rPr>
        <w:t>–</w:t>
      </w:r>
      <w:r w:rsidR="008D34A7" w:rsidRPr="00334799">
        <w:rPr>
          <w:b/>
          <w:color w:val="000000" w:themeColor="text1"/>
          <w:sz w:val="24"/>
        </w:rPr>
        <w:t xml:space="preserve"> </w:t>
      </w:r>
      <w:r w:rsidR="00AD1686" w:rsidRPr="00334799">
        <w:rPr>
          <w:b/>
          <w:color w:val="000000" w:themeColor="text1"/>
          <w:sz w:val="24"/>
        </w:rPr>
        <w:t>сентябре</w:t>
      </w:r>
      <w:r w:rsidR="000E5F9B" w:rsidRPr="00334799">
        <w:rPr>
          <w:b/>
          <w:color w:val="000000" w:themeColor="text1"/>
          <w:sz w:val="24"/>
        </w:rPr>
        <w:t xml:space="preserve"> 2020 года</w:t>
      </w:r>
      <w:r w:rsidRPr="00334799">
        <w:rPr>
          <w:b/>
          <w:color w:val="000000" w:themeColor="text1"/>
          <w:sz w:val="24"/>
        </w:rPr>
        <w:t xml:space="preserve"> аукционов по размещению выпусков ОФЗ*</w:t>
      </w:r>
    </w:p>
    <w:p w14:paraId="61D3D543" w14:textId="77777777" w:rsidR="008C5C45" w:rsidRPr="00334799" w:rsidRDefault="008C5C45" w:rsidP="00E63A38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</w:p>
    <w:tbl>
      <w:tblPr>
        <w:tblW w:w="10389" w:type="dxa"/>
        <w:tblInd w:w="-318" w:type="dxa"/>
        <w:tblLook w:val="04A0" w:firstRow="1" w:lastRow="0" w:firstColumn="1" w:lastColumn="0" w:noHBand="0" w:noVBand="1"/>
      </w:tblPr>
      <w:tblGrid>
        <w:gridCol w:w="1560"/>
        <w:gridCol w:w="1418"/>
        <w:gridCol w:w="1276"/>
        <w:gridCol w:w="1018"/>
        <w:gridCol w:w="1425"/>
        <w:gridCol w:w="1285"/>
        <w:gridCol w:w="1233"/>
        <w:gridCol w:w="1174"/>
      </w:tblGrid>
      <w:tr w:rsidR="00C849A3" w:rsidRPr="00334799" w14:paraId="4C517992" w14:textId="77777777" w:rsidTr="00AD1686">
        <w:trPr>
          <w:trHeight w:val="7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FAD4" w14:textId="77777777" w:rsidR="00E63A38" w:rsidRPr="00334799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Количество аукционов по размещению гос. ценных бумаг </w:t>
            </w:r>
          </w:p>
          <w:p w14:paraId="4F564313" w14:textId="77777777" w:rsidR="00E63A38" w:rsidRPr="00334799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в 2020 году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0240" w14:textId="77777777" w:rsidR="00E63A38" w:rsidRPr="00334799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Код  выпуска бумаги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1CA1" w14:textId="77777777" w:rsidR="00E63A38" w:rsidRPr="00334799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Тип бумаги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1BFC" w14:textId="77777777" w:rsidR="00E63A38" w:rsidRPr="00334799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Дата погашения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8808" w14:textId="77777777" w:rsidR="00E63A38" w:rsidRPr="00334799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предложе-ния</w:t>
            </w:r>
            <w:proofErr w:type="spellEnd"/>
            <w:proofErr w:type="gramEnd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 млн. рублей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93EA" w14:textId="77777777" w:rsidR="00E63A38" w:rsidRPr="00334799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Доходность по </w:t>
            </w:r>
            <w:proofErr w:type="spell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средневзв</w:t>
            </w:r>
            <w:proofErr w:type="gram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е</w:t>
            </w:r>
            <w:proofErr w:type="spellEnd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  <w:proofErr w:type="gramEnd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шенной</w:t>
            </w:r>
            <w:proofErr w:type="spellEnd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цене, % годовых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5F56" w14:textId="77777777" w:rsidR="00E63A38" w:rsidRPr="00334799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размещения по номиналу, млн. рублей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2C39" w14:textId="77777777" w:rsidR="00E63A38" w:rsidRPr="00334799" w:rsidRDefault="00E63A38" w:rsidP="00170AC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выручки, млн. рублей</w:t>
            </w:r>
          </w:p>
        </w:tc>
      </w:tr>
      <w:tr w:rsidR="00C849A3" w:rsidRPr="00334799" w14:paraId="0A7162E3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C155" w14:textId="03CC3DC0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DE46" w14:textId="66CC7066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25084RMFS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2222" w14:textId="587917E9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522F" w14:textId="1BFE02EC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04.10.2023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BB20" w14:textId="225BB5D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1 073 649,6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A399" w14:textId="768192B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4,77 до 6,45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910C7" w14:textId="316BAB96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151 476,3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58739" w14:textId="11C85CB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152 648,0</w:t>
            </w:r>
          </w:p>
        </w:tc>
      </w:tr>
      <w:tr w:rsidR="00C849A3" w:rsidRPr="00334799" w14:paraId="64AE09F7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5563" w14:textId="192FF6D3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79645" w14:textId="4A2FF60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26233RMFS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D710" w14:textId="4ACD32A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86B6" w14:textId="442B192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18.07.2035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BE5E" w14:textId="152A7E82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1 262 368,8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B1C94" w14:textId="3B7CD5A9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5,87 до 6,16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419FB" w14:textId="68D5A8C6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60 468,1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57F35" w14:textId="2FF25B6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62 227,5</w:t>
            </w:r>
          </w:p>
        </w:tc>
      </w:tr>
      <w:tr w:rsidR="00C849A3" w:rsidRPr="00334799" w14:paraId="51B8E16A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13049" w14:textId="33E75918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150C" w14:textId="548CD43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26226RMFS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2D7F" w14:textId="777BAA63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D8E" w14:textId="05416165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07.10.2026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3A6B" w14:textId="58791AB7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23 413,4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0232" w14:textId="3C0669B0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6,06 до 6,06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B2496" w14:textId="001A16B3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23 413,4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6209" w14:textId="16FF3BB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26 467,0</w:t>
            </w:r>
          </w:p>
        </w:tc>
      </w:tr>
      <w:tr w:rsidR="00C849A3" w:rsidRPr="00334799" w14:paraId="334B2F90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79F2" w14:textId="5FF9257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1BF8" w14:textId="04F4039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26228RMFS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D7E2" w14:textId="22AC727C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A3F7" w14:textId="318412F0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10.04.2030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CEA4F" w14:textId="0B95242A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988 735,2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BFA8" w14:textId="552268E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5,54 до 6,78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63353" w14:textId="075269A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303 389,3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BFD5" w14:textId="2A13B70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347 818,0</w:t>
            </w:r>
          </w:p>
        </w:tc>
      </w:tr>
      <w:tr w:rsidR="00C849A3" w:rsidRPr="00334799" w14:paraId="7B3C88BF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2106" w14:textId="51607069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D599" w14:textId="7BC55E2F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26229RMFS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1026" w14:textId="5DBB1C72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2CF" w14:textId="6E3F267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12.11.2025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70119" w14:textId="07B48AE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1 237 846,6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E403" w14:textId="3440FB82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5,1 до 6,56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52F51" w14:textId="3BFD8A49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322 649,2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5034D" w14:textId="08AEE71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352 814,3</w:t>
            </w:r>
          </w:p>
        </w:tc>
      </w:tr>
      <w:tr w:rsidR="00C849A3" w:rsidRPr="00334799" w14:paraId="674EAC27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5FFA" w14:textId="38E52026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C472" w14:textId="490F18C3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26230RMFS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4651" w14:textId="6335CB3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89D7" w14:textId="21C165F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16.03.2039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ACB0" w14:textId="13720AB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345 548,1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F9C87" w14:textId="1912526C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5,83 до 6,41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B08C" w14:textId="6EF0AC55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148 033,6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5CBF8" w14:textId="22103470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176 986,9</w:t>
            </w:r>
          </w:p>
        </w:tc>
      </w:tr>
      <w:tr w:rsidR="00C849A3" w:rsidRPr="00334799" w14:paraId="11FA0D99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38F8E" w14:textId="62B8746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33AB" w14:textId="59561A03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26232RMFS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1557" w14:textId="5730BE5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D8BEF" w14:textId="0402832C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06.10.2027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E4E27" w14:textId="6F6EDC9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1 904 360,2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91199" w14:textId="0B1264A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5,25 до 6,14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F5D9" w14:textId="5BAB360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424 016,8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84273" w14:textId="52456817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440 439,7</w:t>
            </w:r>
          </w:p>
        </w:tc>
      </w:tr>
      <w:tr w:rsidR="00C849A3" w:rsidRPr="00334799" w14:paraId="2ECA4E55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AD97" w14:textId="4BB70C40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2AA2" w14:textId="485DE18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26234RMFS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6C36" w14:textId="54A279B8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18A0" w14:textId="78247B15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16.07.2025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9720" w14:textId="2A92BC68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1 050 663,0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A122" w14:textId="5A52AB49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5,07 до 5,41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26E84" w14:textId="3081F0A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190 095,3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69DA3" w14:textId="03F9138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185 842,6</w:t>
            </w:r>
          </w:p>
        </w:tc>
      </w:tr>
      <w:tr w:rsidR="00C849A3" w:rsidRPr="00334799" w14:paraId="703E7E9B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7157" w14:textId="2DC50E1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0220" w14:textId="1447E91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24021RMFS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7891" w14:textId="468F1B5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1E94" w14:textId="21A4B0E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24.04.2024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EEDAE" w14:textId="6A4FF45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1 529 229,9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104D9" w14:textId="4735E978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доходность не рассчитывается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3F478" w14:textId="1813B14F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300 000,0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647D5" w14:textId="167D37F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299 620,1</w:t>
            </w:r>
          </w:p>
        </w:tc>
      </w:tr>
      <w:tr w:rsidR="00C849A3" w:rsidRPr="00334799" w14:paraId="56FEF938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C0469" w14:textId="732D4333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EC9D" w14:textId="56ED1318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29013RMFS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0CEA" w14:textId="57F894A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4A98" w14:textId="3FAF157A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18.09.2030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7E0B" w14:textId="022D5028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900 000,0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910CA" w14:textId="11B0CF5A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доходность не рассчитывается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CFFA" w14:textId="34C0FC2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111 737,0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8854E" w14:textId="7FA7828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108 461,1</w:t>
            </w:r>
          </w:p>
        </w:tc>
      </w:tr>
      <w:tr w:rsidR="00C849A3" w:rsidRPr="00334799" w14:paraId="40129F32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CB2A" w14:textId="6D523A9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BA5C" w14:textId="2F7F5C42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29014RMFS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4CCB" w14:textId="44435852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B47A" w14:textId="252BB9D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25.03.2026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9704" w14:textId="48A6B70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1 620 235,3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6778" w14:textId="1801D9E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доходность не рассчитывается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53978" w14:textId="46671C4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450 000,0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A6007" w14:textId="5B60DB7C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443 162,2</w:t>
            </w:r>
          </w:p>
        </w:tc>
      </w:tr>
      <w:tr w:rsidR="00C849A3" w:rsidRPr="00334799" w14:paraId="008B0549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212EA" w14:textId="479728E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6C02" w14:textId="1EFA6BE9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29015RMFS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49C4" w14:textId="1A48A81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B127" w14:textId="55763CC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18.10.2028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313EA" w14:textId="1997764A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450 000,0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FBD51" w14:textId="705CD0BA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доходность не рассчитывается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EA6F0" w14:textId="7705E243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100 205,3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72F36" w14:textId="462FE8E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97 028,4</w:t>
            </w:r>
          </w:p>
        </w:tc>
      </w:tr>
      <w:tr w:rsidR="00C849A3" w:rsidRPr="00334799" w14:paraId="68AD9E12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4AF7" w14:textId="4406F72F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B71B" w14:textId="3C3A0400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29016RMFS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4453" w14:textId="6F363DC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A02DD" w14:textId="597E3E6C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23.12.2026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CA28A" w14:textId="7CCB4999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450 000,0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6232" w14:textId="53C7BC1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доходность не рассчитывается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7FEBD" w14:textId="005F0F4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155 059,6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48C0D" w14:textId="33A1F51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150 989,3</w:t>
            </w:r>
          </w:p>
        </w:tc>
      </w:tr>
      <w:tr w:rsidR="00C849A3" w:rsidRPr="00334799" w14:paraId="36B90928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47CE9" w14:textId="6AB017E8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BD4D" w14:textId="7FB21685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52002RMFS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17D3" w14:textId="7E51C07C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ОФЗ-ИН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E63A" w14:textId="6CDCDE2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02.02.2028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DFA1C" w14:textId="7EE8704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133 122,2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10979" w14:textId="238FA6F3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2,47 до 2,98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51FD5" w14:textId="1A5BB4A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77 635,6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2DCAF" w14:textId="334CDB25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77 497,6</w:t>
            </w:r>
          </w:p>
        </w:tc>
      </w:tr>
      <w:tr w:rsidR="00C849A3" w:rsidRPr="00334799" w14:paraId="64556CE0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DCDA2" w14:textId="14EDE9CA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6BD6" w14:textId="46E92165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52003RMFS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BC1F" w14:textId="0363DBD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ОФЗ-ИН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C0C3" w14:textId="171D4C1B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17.07.2030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3C7F6" w14:textId="6AEB2B6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250 715,0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B2160" w14:textId="73A7874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от 2,77 до 2,77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C4733" w14:textId="537BCE28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25 697,1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5BDF" w14:textId="64E9262E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</w:rPr>
              <w:t>25 205,4</w:t>
            </w:r>
          </w:p>
        </w:tc>
      </w:tr>
      <w:tr w:rsidR="00C849A3" w:rsidRPr="00334799" w14:paraId="275C3AC5" w14:textId="77777777" w:rsidTr="00AD1686">
        <w:trPr>
          <w:trHeight w:val="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66CC0" w14:textId="777A4514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6FA89" w14:textId="28B91890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right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637A8" w14:textId="5FF00F5F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right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1F25D" w14:textId="3C088DBC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B9475" w14:textId="1D5B2BAA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13 219 887,3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B0898" w14:textId="66C6778D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5A2FB" w14:textId="044BFEFC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 2 843 876,7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A6973" w14:textId="77F24D31" w:rsidR="00AD1686" w:rsidRPr="00334799" w:rsidRDefault="00AD1686" w:rsidP="00AD1686">
            <w:pPr>
              <w:overflowPunct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 2 947 208,1   </w:t>
            </w:r>
          </w:p>
        </w:tc>
      </w:tr>
    </w:tbl>
    <w:p w14:paraId="184750D0" w14:textId="25A17AE1" w:rsidR="00E63A38" w:rsidRPr="00334799" w:rsidRDefault="00E63A38" w:rsidP="00E63A38">
      <w:pPr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334799">
        <w:rPr>
          <w:color w:val="000000" w:themeColor="text1"/>
          <w:sz w:val="16"/>
          <w:szCs w:val="16"/>
        </w:rPr>
        <w:t xml:space="preserve">* </w:t>
      </w:r>
      <w:r w:rsidRPr="00334799">
        <w:rPr>
          <w:b/>
          <w:color w:val="000000" w:themeColor="text1"/>
          <w:sz w:val="16"/>
          <w:szCs w:val="16"/>
        </w:rPr>
        <w:t>Доразмещение</w:t>
      </w:r>
      <w:r w:rsidRPr="00334799">
        <w:rPr>
          <w:color w:val="000000" w:themeColor="text1"/>
          <w:sz w:val="16"/>
          <w:szCs w:val="16"/>
        </w:rPr>
        <w:t xml:space="preserve"> на вторичном рынке в 2020 году составило </w:t>
      </w:r>
      <w:r w:rsidR="00E574DF" w:rsidRPr="00334799">
        <w:rPr>
          <w:color w:val="000000" w:themeColor="text1"/>
          <w:sz w:val="16"/>
          <w:szCs w:val="16"/>
        </w:rPr>
        <w:t>6 667,6</w:t>
      </w:r>
      <w:r w:rsidRPr="00334799">
        <w:rPr>
          <w:color w:val="000000" w:themeColor="text1"/>
          <w:sz w:val="16"/>
          <w:szCs w:val="16"/>
        </w:rPr>
        <w:t xml:space="preserve"> млн. рублей по номиналу</w:t>
      </w:r>
      <w:r w:rsidR="00AD1686" w:rsidRPr="00334799">
        <w:rPr>
          <w:color w:val="000000" w:themeColor="text1"/>
          <w:sz w:val="16"/>
          <w:szCs w:val="16"/>
        </w:rPr>
        <w:t>, в том числе по ОФЗ-ПД – 6 667,6 млн. рублей, ОФЗ-ИН – 0,001 млн. рублей, ОФЗ-ПК – 0,014 млн. рублей</w:t>
      </w:r>
      <w:r w:rsidRPr="00334799">
        <w:rPr>
          <w:color w:val="000000" w:themeColor="text1"/>
          <w:sz w:val="16"/>
          <w:szCs w:val="16"/>
        </w:rPr>
        <w:t>.</w:t>
      </w:r>
    </w:p>
    <w:p w14:paraId="02F40CB7" w14:textId="335FAA1A" w:rsidR="00E63A38" w:rsidRPr="00334799" w:rsidRDefault="00E63A38" w:rsidP="00E63A38">
      <w:pPr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334799">
        <w:rPr>
          <w:color w:val="000000" w:themeColor="text1"/>
          <w:sz w:val="16"/>
          <w:szCs w:val="16"/>
        </w:rPr>
        <w:t xml:space="preserve">** </w:t>
      </w:r>
      <w:r w:rsidRPr="00334799">
        <w:rPr>
          <w:b/>
          <w:color w:val="000000" w:themeColor="text1"/>
          <w:sz w:val="16"/>
          <w:szCs w:val="16"/>
        </w:rPr>
        <w:t>В марте 2020 года</w:t>
      </w:r>
      <w:r w:rsidRPr="00334799">
        <w:rPr>
          <w:color w:val="000000" w:themeColor="text1"/>
          <w:sz w:val="16"/>
          <w:szCs w:val="16"/>
        </w:rPr>
        <w:t xml:space="preserve"> Минфином России в целях </w:t>
      </w:r>
      <w:proofErr w:type="spellStart"/>
      <w:r w:rsidRPr="00334799">
        <w:rPr>
          <w:color w:val="000000" w:themeColor="text1"/>
          <w:sz w:val="16"/>
          <w:szCs w:val="16"/>
        </w:rPr>
        <w:t>избежания</w:t>
      </w:r>
      <w:proofErr w:type="spellEnd"/>
      <w:r w:rsidRPr="00334799">
        <w:rPr>
          <w:color w:val="000000" w:themeColor="text1"/>
          <w:sz w:val="16"/>
          <w:szCs w:val="16"/>
        </w:rPr>
        <w:t xml:space="preserve"> избыточного давления на долговой рынок и учитывая наличие необходимых финансовых ресурсов для выполнения текущих бюджетных обязательств, </w:t>
      </w:r>
      <w:r w:rsidRPr="00334799">
        <w:rPr>
          <w:b/>
          <w:color w:val="000000" w:themeColor="text1"/>
          <w:sz w:val="16"/>
          <w:szCs w:val="16"/>
        </w:rPr>
        <w:t>проведение аукционов</w:t>
      </w:r>
      <w:r w:rsidRPr="00334799">
        <w:rPr>
          <w:color w:val="000000" w:themeColor="text1"/>
          <w:sz w:val="16"/>
          <w:szCs w:val="16"/>
        </w:rPr>
        <w:t xml:space="preserve"> по размещению ОФЗ приостановлено на период до стабилизации рыночной ситуации</w:t>
      </w:r>
      <w:r w:rsidR="00520837" w:rsidRPr="00334799">
        <w:rPr>
          <w:color w:val="000000" w:themeColor="text1"/>
          <w:sz w:val="16"/>
          <w:szCs w:val="16"/>
        </w:rPr>
        <w:t>.</w:t>
      </w:r>
    </w:p>
    <w:p w14:paraId="5E376A6E" w14:textId="34A8BC99" w:rsidR="00590188" w:rsidRPr="00334799" w:rsidRDefault="00520837" w:rsidP="0099027E">
      <w:pPr>
        <w:spacing w:line="240" w:lineRule="auto"/>
        <w:ind w:left="0" w:right="0" w:firstLine="0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16"/>
          <w:szCs w:val="16"/>
        </w:rPr>
        <w:t xml:space="preserve">Объем размещения облигаций федерального займа для физических лиц (ОФЗ-н) составил </w:t>
      </w:r>
      <w:r w:rsidR="00AD1686" w:rsidRPr="00334799">
        <w:rPr>
          <w:color w:val="000000" w:themeColor="text1"/>
          <w:sz w:val="16"/>
          <w:szCs w:val="16"/>
        </w:rPr>
        <w:t xml:space="preserve">11 931,8 </w:t>
      </w:r>
      <w:r w:rsidR="00905F9B" w:rsidRPr="00334799">
        <w:rPr>
          <w:color w:val="000000" w:themeColor="text1"/>
          <w:sz w:val="16"/>
          <w:szCs w:val="16"/>
        </w:rPr>
        <w:t>млн. рублей, что в 2</w:t>
      </w:r>
      <w:r w:rsidR="00AD1686" w:rsidRPr="00334799">
        <w:rPr>
          <w:color w:val="000000" w:themeColor="text1"/>
          <w:sz w:val="16"/>
          <w:szCs w:val="16"/>
        </w:rPr>
        <w:t>,2</w:t>
      </w:r>
      <w:r w:rsidR="00905F9B" w:rsidRPr="00334799">
        <w:rPr>
          <w:color w:val="000000" w:themeColor="text1"/>
          <w:sz w:val="16"/>
          <w:szCs w:val="16"/>
        </w:rPr>
        <w:t xml:space="preserve"> раза больше аналогичн</w:t>
      </w:r>
      <w:r w:rsidR="00AD1686" w:rsidRPr="00334799">
        <w:rPr>
          <w:color w:val="000000" w:themeColor="text1"/>
          <w:sz w:val="16"/>
          <w:szCs w:val="16"/>
        </w:rPr>
        <w:t>ого показателя 2019 года (5 326,4</w:t>
      </w:r>
      <w:r w:rsidR="00905F9B" w:rsidRPr="00334799">
        <w:rPr>
          <w:color w:val="000000" w:themeColor="text1"/>
          <w:sz w:val="16"/>
          <w:szCs w:val="16"/>
        </w:rPr>
        <w:t xml:space="preserve"> млн. рублей).</w:t>
      </w:r>
      <w:r w:rsidR="00590188" w:rsidRPr="00334799">
        <w:rPr>
          <w:color w:val="000000" w:themeColor="text1"/>
          <w:sz w:val="24"/>
          <w:szCs w:val="24"/>
        </w:rPr>
        <w:br w:type="page"/>
      </w:r>
    </w:p>
    <w:p w14:paraId="49271A48" w14:textId="77777777" w:rsidR="00EE7D54" w:rsidRPr="00334799" w:rsidRDefault="00EE7D54" w:rsidP="00EE7D54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lastRenderedPageBreak/>
        <w:t xml:space="preserve">Таблица 3 </w:t>
      </w:r>
    </w:p>
    <w:p w14:paraId="7C2814A5" w14:textId="77777777" w:rsidR="00EE7D54" w:rsidRPr="00334799" w:rsidRDefault="00EE7D54" w:rsidP="00EE7D54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</w:rPr>
      </w:pPr>
    </w:p>
    <w:p w14:paraId="28ACEBA3" w14:textId="77777777" w:rsidR="004E3B37" w:rsidRPr="00334799" w:rsidRDefault="004E3B37" w:rsidP="004E3B37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>Анализ доходности облигаций федерального займа</w:t>
      </w:r>
    </w:p>
    <w:p w14:paraId="0CD8A30F" w14:textId="2DDA05E5" w:rsidR="004E3B37" w:rsidRPr="00334799" w:rsidRDefault="004E3B37" w:rsidP="004E3B37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в </w:t>
      </w:r>
      <w:r w:rsidR="008E74E4" w:rsidRPr="00334799">
        <w:rPr>
          <w:b/>
          <w:color w:val="000000" w:themeColor="text1"/>
          <w:sz w:val="24"/>
          <w:szCs w:val="24"/>
        </w:rPr>
        <w:t xml:space="preserve">январе – </w:t>
      </w:r>
      <w:r w:rsidR="00386A38" w:rsidRPr="00334799">
        <w:rPr>
          <w:b/>
          <w:color w:val="000000" w:themeColor="text1"/>
          <w:sz w:val="24"/>
          <w:szCs w:val="24"/>
        </w:rPr>
        <w:t>сентябре</w:t>
      </w:r>
      <w:r w:rsidR="008E74E4" w:rsidRPr="00334799">
        <w:rPr>
          <w:b/>
          <w:color w:val="000000" w:themeColor="text1"/>
          <w:sz w:val="24"/>
          <w:szCs w:val="24"/>
        </w:rPr>
        <w:t xml:space="preserve"> </w:t>
      </w:r>
      <w:r w:rsidRPr="00334799">
        <w:rPr>
          <w:b/>
          <w:color w:val="000000" w:themeColor="text1"/>
          <w:sz w:val="24"/>
          <w:szCs w:val="24"/>
        </w:rPr>
        <w:t>201</w:t>
      </w:r>
      <w:r w:rsidR="00B61946" w:rsidRPr="00334799">
        <w:rPr>
          <w:b/>
          <w:color w:val="000000" w:themeColor="text1"/>
          <w:sz w:val="24"/>
          <w:szCs w:val="24"/>
        </w:rPr>
        <w:t>8</w:t>
      </w:r>
      <w:r w:rsidRPr="00334799">
        <w:rPr>
          <w:b/>
          <w:color w:val="000000" w:themeColor="text1"/>
          <w:sz w:val="24"/>
          <w:szCs w:val="24"/>
        </w:rPr>
        <w:t xml:space="preserve"> – 20</w:t>
      </w:r>
      <w:r w:rsidR="00B61946" w:rsidRPr="00334799">
        <w:rPr>
          <w:b/>
          <w:color w:val="000000" w:themeColor="text1"/>
          <w:sz w:val="24"/>
          <w:szCs w:val="24"/>
        </w:rPr>
        <w:t>20</w:t>
      </w:r>
      <w:r w:rsidR="00661C0F" w:rsidRPr="00334799">
        <w:rPr>
          <w:b/>
          <w:color w:val="000000" w:themeColor="text1"/>
          <w:sz w:val="24"/>
          <w:szCs w:val="24"/>
        </w:rPr>
        <w:t xml:space="preserve"> годов</w:t>
      </w:r>
    </w:p>
    <w:p w14:paraId="6DF43DEE" w14:textId="77777777" w:rsidR="004E3B37" w:rsidRPr="00334799" w:rsidRDefault="004E3B37" w:rsidP="004E3B37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Style w:val="ab"/>
        <w:tblW w:w="9964" w:type="dxa"/>
        <w:tblInd w:w="-318" w:type="dxa"/>
        <w:tblLook w:val="04A0" w:firstRow="1" w:lastRow="0" w:firstColumn="1" w:lastColumn="0" w:noHBand="0" w:noVBand="1"/>
      </w:tblPr>
      <w:tblGrid>
        <w:gridCol w:w="4775"/>
        <w:gridCol w:w="1580"/>
        <w:gridCol w:w="1752"/>
        <w:gridCol w:w="1857"/>
      </w:tblGrid>
      <w:tr w:rsidR="00C849A3" w:rsidRPr="00334799" w14:paraId="293AE9A4" w14:textId="77777777" w:rsidTr="00174F69">
        <w:tc>
          <w:tcPr>
            <w:tcW w:w="4976" w:type="dxa"/>
          </w:tcPr>
          <w:p w14:paraId="4DF8B83D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5" w:type="dxa"/>
          </w:tcPr>
          <w:p w14:paraId="59C0E1D6" w14:textId="77777777" w:rsidR="004E3B37" w:rsidRPr="00334799" w:rsidRDefault="004E3B37" w:rsidP="00A070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201</w:t>
            </w:r>
            <w:r w:rsidR="00A07086" w:rsidRPr="00334799">
              <w:rPr>
                <w:color w:val="000000" w:themeColor="text1"/>
                <w:sz w:val="20"/>
                <w:szCs w:val="20"/>
              </w:rPr>
              <w:t>8</w:t>
            </w:r>
            <w:r w:rsidRPr="00334799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479" w:type="dxa"/>
          </w:tcPr>
          <w:p w14:paraId="57A4BB3D" w14:textId="77777777" w:rsidR="004E3B37" w:rsidRPr="00334799" w:rsidRDefault="004E3B37" w:rsidP="00A070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201</w:t>
            </w:r>
            <w:r w:rsidR="00A07086" w:rsidRPr="00334799">
              <w:rPr>
                <w:color w:val="000000" w:themeColor="text1"/>
                <w:sz w:val="20"/>
                <w:szCs w:val="20"/>
              </w:rPr>
              <w:t>9</w:t>
            </w:r>
            <w:r w:rsidRPr="00334799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864" w:type="dxa"/>
          </w:tcPr>
          <w:p w14:paraId="65AFED99" w14:textId="77777777" w:rsidR="004E3B37" w:rsidRPr="00334799" w:rsidRDefault="004E3B37" w:rsidP="00A070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20</w:t>
            </w:r>
            <w:r w:rsidR="00A07086" w:rsidRPr="00334799">
              <w:rPr>
                <w:color w:val="000000" w:themeColor="text1"/>
                <w:sz w:val="20"/>
                <w:szCs w:val="20"/>
              </w:rPr>
              <w:t>20</w:t>
            </w:r>
            <w:r w:rsidRPr="00334799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</w:tr>
      <w:tr w:rsidR="00C849A3" w:rsidRPr="00334799" w14:paraId="04372E7C" w14:textId="77777777" w:rsidTr="00174F69">
        <w:tc>
          <w:tcPr>
            <w:tcW w:w="4976" w:type="dxa"/>
            <w:shd w:val="clear" w:color="auto" w:fill="FDE9D9" w:themeFill="accent6" w:themeFillTint="33"/>
          </w:tcPr>
          <w:p w14:paraId="5421F100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b/>
                <w:color w:val="000000" w:themeColor="text1"/>
                <w:sz w:val="20"/>
                <w:szCs w:val="20"/>
              </w:rPr>
              <w:t>ОФЗ-ПД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14:paraId="35275E39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14:paraId="425686A6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14:paraId="0C787542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849A3" w:rsidRPr="00334799" w14:paraId="72A15EA1" w14:textId="77777777" w:rsidTr="00174F69">
        <w:tc>
          <w:tcPr>
            <w:tcW w:w="4976" w:type="dxa"/>
          </w:tcPr>
          <w:p w14:paraId="53FF05CA" w14:textId="77777777" w:rsidR="00A07086" w:rsidRPr="00334799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14:paraId="798DFFCE" w14:textId="7157D3AD" w:rsidR="00A07086" w:rsidRPr="00334799" w:rsidRDefault="00024389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49</w:t>
            </w:r>
            <w:r w:rsidR="00401EB7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79" w:type="dxa"/>
            <w:vAlign w:val="center"/>
          </w:tcPr>
          <w:p w14:paraId="579B717A" w14:textId="14441365" w:rsidR="00A07086" w:rsidRPr="00334799" w:rsidRDefault="00024389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864" w:type="dxa"/>
            <w:vAlign w:val="center"/>
          </w:tcPr>
          <w:p w14:paraId="015D480A" w14:textId="636AE0F8" w:rsidR="00A07086" w:rsidRPr="00334799" w:rsidRDefault="00024389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C849A3" w:rsidRPr="00334799" w14:paraId="4EA8B5F5" w14:textId="77777777" w:rsidTr="00174F69">
        <w:tc>
          <w:tcPr>
            <w:tcW w:w="4976" w:type="dxa"/>
          </w:tcPr>
          <w:p w14:paraId="33B82CC5" w14:textId="77777777" w:rsidR="00A07086" w:rsidRPr="00334799" w:rsidRDefault="00A07086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334799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45" w:type="dxa"/>
            <w:vAlign w:val="center"/>
          </w:tcPr>
          <w:p w14:paraId="3B9A3E55" w14:textId="26A0A129" w:rsidR="00A07086" w:rsidRPr="00334799" w:rsidRDefault="00024389" w:rsidP="00024389">
            <w:pPr>
              <w:widowControl w:val="0"/>
              <w:spacing w:line="240" w:lineRule="auto"/>
              <w:ind w:left="33" w:right="0" w:hanging="33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от 6,55 до 8,25</w:t>
            </w:r>
          </w:p>
        </w:tc>
        <w:tc>
          <w:tcPr>
            <w:tcW w:w="1479" w:type="dxa"/>
            <w:vAlign w:val="center"/>
          </w:tcPr>
          <w:p w14:paraId="275628A2" w14:textId="380FF23E" w:rsidR="00A07086" w:rsidRPr="00334799" w:rsidRDefault="00A07086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024389" w:rsidRPr="00334799">
              <w:rPr>
                <w:color w:val="000000" w:themeColor="text1"/>
                <w:sz w:val="20"/>
                <w:szCs w:val="20"/>
              </w:rPr>
              <w:t>6,90</w:t>
            </w:r>
            <w:r w:rsidRPr="00334799">
              <w:rPr>
                <w:color w:val="000000" w:themeColor="text1"/>
                <w:sz w:val="20"/>
                <w:szCs w:val="20"/>
              </w:rPr>
              <w:t xml:space="preserve"> до 8,56</w:t>
            </w:r>
          </w:p>
        </w:tc>
        <w:tc>
          <w:tcPr>
            <w:tcW w:w="1864" w:type="dxa"/>
            <w:vAlign w:val="center"/>
          </w:tcPr>
          <w:p w14:paraId="2F619BF4" w14:textId="36531E91" w:rsidR="00A07086" w:rsidRPr="00334799" w:rsidRDefault="00A07086" w:rsidP="008E1BC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755ADF" w:rsidRPr="00334799">
              <w:rPr>
                <w:color w:val="000000" w:themeColor="text1"/>
                <w:sz w:val="20"/>
                <w:szCs w:val="20"/>
              </w:rPr>
              <w:t>4,77</w:t>
            </w:r>
            <w:r w:rsidRPr="00334799">
              <w:rPr>
                <w:color w:val="000000" w:themeColor="text1"/>
                <w:sz w:val="20"/>
                <w:szCs w:val="20"/>
              </w:rPr>
              <w:t xml:space="preserve"> до </w:t>
            </w:r>
            <w:r w:rsidR="008E1BC0" w:rsidRPr="00334799">
              <w:rPr>
                <w:color w:val="000000" w:themeColor="text1"/>
                <w:sz w:val="20"/>
                <w:szCs w:val="20"/>
              </w:rPr>
              <w:t>6,</w:t>
            </w:r>
            <w:r w:rsidR="00755ADF" w:rsidRPr="00334799">
              <w:rPr>
                <w:color w:val="000000" w:themeColor="text1"/>
                <w:sz w:val="20"/>
                <w:szCs w:val="20"/>
              </w:rPr>
              <w:t>78</w:t>
            </w:r>
          </w:p>
        </w:tc>
      </w:tr>
      <w:tr w:rsidR="00C849A3" w:rsidRPr="00334799" w14:paraId="1999B747" w14:textId="77777777" w:rsidTr="00174F69">
        <w:tc>
          <w:tcPr>
            <w:tcW w:w="4976" w:type="dxa"/>
            <w:shd w:val="clear" w:color="auto" w:fill="FDE9D9" w:themeFill="accent6" w:themeFillTint="33"/>
          </w:tcPr>
          <w:p w14:paraId="39595B6F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b/>
                <w:color w:val="000000" w:themeColor="text1"/>
                <w:sz w:val="20"/>
                <w:szCs w:val="20"/>
              </w:rPr>
              <w:t>ОФЗ-ПК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14:paraId="34158C97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14:paraId="39BF3979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14:paraId="780CAEC5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849A3" w:rsidRPr="00334799" w14:paraId="2A229F5E" w14:textId="77777777" w:rsidTr="00174F69">
        <w:tc>
          <w:tcPr>
            <w:tcW w:w="4976" w:type="dxa"/>
          </w:tcPr>
          <w:p w14:paraId="3918CE13" w14:textId="77777777" w:rsidR="004E3B37" w:rsidRPr="00334799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14:paraId="07A679FC" w14:textId="294406B2" w:rsidR="004E3B37" w:rsidRPr="00334799" w:rsidRDefault="00024389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79" w:type="dxa"/>
            <w:vAlign w:val="center"/>
          </w:tcPr>
          <w:p w14:paraId="18A26C2D" w14:textId="741474EE" w:rsidR="004E3B37" w:rsidRPr="00334799" w:rsidRDefault="00024389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64" w:type="dxa"/>
            <w:vAlign w:val="center"/>
          </w:tcPr>
          <w:p w14:paraId="2A1CB398" w14:textId="60BCC91E" w:rsidR="004E3B37" w:rsidRPr="00334799" w:rsidRDefault="00024389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18</w:t>
            </w:r>
            <w:r w:rsidR="006049E2" w:rsidRPr="00334799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C849A3" w:rsidRPr="00334799" w14:paraId="0DB83DD3" w14:textId="77777777" w:rsidTr="00174F69">
        <w:tc>
          <w:tcPr>
            <w:tcW w:w="4976" w:type="dxa"/>
          </w:tcPr>
          <w:p w14:paraId="0D48A820" w14:textId="77777777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334799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45" w:type="dxa"/>
            <w:vAlign w:val="center"/>
          </w:tcPr>
          <w:p w14:paraId="37669856" w14:textId="61A0A5FC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от 7,32 до 8,30</w:t>
            </w:r>
          </w:p>
        </w:tc>
        <w:tc>
          <w:tcPr>
            <w:tcW w:w="1479" w:type="dxa"/>
            <w:vAlign w:val="center"/>
          </w:tcPr>
          <w:p w14:paraId="75EEE45F" w14:textId="17021657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доходность не рассчитывается*</w:t>
            </w:r>
            <w:r w:rsidR="006049E2" w:rsidRPr="00334799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64" w:type="dxa"/>
            <w:vAlign w:val="center"/>
          </w:tcPr>
          <w:p w14:paraId="68BBF523" w14:textId="36D8F464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доходность не рассчитывается*</w:t>
            </w:r>
            <w:r w:rsidR="006049E2" w:rsidRPr="00334799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C849A3" w:rsidRPr="00334799" w14:paraId="7FB0CE12" w14:textId="77777777" w:rsidTr="00174F69">
        <w:tc>
          <w:tcPr>
            <w:tcW w:w="4976" w:type="dxa"/>
            <w:shd w:val="clear" w:color="auto" w:fill="FDE9D9" w:themeFill="accent6" w:themeFillTint="33"/>
          </w:tcPr>
          <w:p w14:paraId="70286FA9" w14:textId="77777777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20"/>
                <w:szCs w:val="20"/>
              </w:rPr>
            </w:pPr>
            <w:r w:rsidRPr="00334799">
              <w:rPr>
                <w:b/>
                <w:color w:val="000000" w:themeColor="text1"/>
                <w:sz w:val="20"/>
                <w:szCs w:val="20"/>
              </w:rPr>
              <w:t>ОФЗ-ИН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14:paraId="5A50A672" w14:textId="77777777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14:paraId="630E4D96" w14:textId="77777777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14:paraId="36C35C18" w14:textId="77777777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849A3" w:rsidRPr="00334799" w14:paraId="5A742461" w14:textId="77777777" w:rsidTr="00174F69">
        <w:tc>
          <w:tcPr>
            <w:tcW w:w="4976" w:type="dxa"/>
          </w:tcPr>
          <w:p w14:paraId="3CDE8213" w14:textId="77777777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14:paraId="3F30DE5B" w14:textId="35BC2C04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9" w:type="dxa"/>
            <w:vAlign w:val="center"/>
          </w:tcPr>
          <w:p w14:paraId="50CF1F86" w14:textId="3C6C72C1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9</w:t>
            </w:r>
            <w:r w:rsidR="00401EB7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64" w:type="dxa"/>
            <w:vAlign w:val="center"/>
          </w:tcPr>
          <w:p w14:paraId="34F9490C" w14:textId="00F9B478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C849A3" w:rsidRPr="00334799" w14:paraId="7DF19EBB" w14:textId="77777777" w:rsidTr="00174F69">
        <w:tc>
          <w:tcPr>
            <w:tcW w:w="4976" w:type="dxa"/>
          </w:tcPr>
          <w:p w14:paraId="34A480F8" w14:textId="77777777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334799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45" w:type="dxa"/>
            <w:vAlign w:val="center"/>
          </w:tcPr>
          <w:p w14:paraId="25F47ADE" w14:textId="4133B9C8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от 2,89 до 3,02</w:t>
            </w:r>
          </w:p>
        </w:tc>
        <w:tc>
          <w:tcPr>
            <w:tcW w:w="1479" w:type="dxa"/>
            <w:vAlign w:val="center"/>
          </w:tcPr>
          <w:p w14:paraId="2F1A6925" w14:textId="62848DDE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от 3,22 до 3,58</w:t>
            </w:r>
          </w:p>
        </w:tc>
        <w:tc>
          <w:tcPr>
            <w:tcW w:w="1864" w:type="dxa"/>
            <w:vAlign w:val="center"/>
          </w:tcPr>
          <w:p w14:paraId="234089C2" w14:textId="7FD3E582" w:rsidR="00024389" w:rsidRPr="00334799" w:rsidRDefault="00024389" w:rsidP="00024389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color w:val="000000" w:themeColor="text1"/>
                <w:sz w:val="20"/>
                <w:szCs w:val="20"/>
              </w:rPr>
              <w:t>от 2,47 до 2,98</w:t>
            </w:r>
          </w:p>
        </w:tc>
      </w:tr>
    </w:tbl>
    <w:p w14:paraId="4A1013A4" w14:textId="5B189C5C" w:rsidR="006049E2" w:rsidRPr="00334799" w:rsidRDefault="006049E2" w:rsidP="004E3B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334799">
        <w:rPr>
          <w:color w:val="000000" w:themeColor="text1"/>
          <w:sz w:val="16"/>
          <w:szCs w:val="16"/>
        </w:rPr>
        <w:t>* Признаны несостоявшимися</w:t>
      </w:r>
      <w:r w:rsidR="00401EB7">
        <w:rPr>
          <w:color w:val="000000" w:themeColor="text1"/>
          <w:sz w:val="16"/>
          <w:szCs w:val="16"/>
        </w:rPr>
        <w:t>: в 2018 году – 1 аукцион,</w:t>
      </w:r>
      <w:r w:rsidRPr="00334799">
        <w:rPr>
          <w:color w:val="000000" w:themeColor="text1"/>
          <w:sz w:val="16"/>
          <w:szCs w:val="16"/>
        </w:rPr>
        <w:t xml:space="preserve"> </w:t>
      </w:r>
      <w:r w:rsidR="00401EB7">
        <w:rPr>
          <w:color w:val="000000" w:themeColor="text1"/>
          <w:sz w:val="16"/>
          <w:szCs w:val="16"/>
        </w:rPr>
        <w:t xml:space="preserve">в 2019 году – 1 аукцион, в 2020 году - </w:t>
      </w:r>
      <w:r w:rsidRPr="00334799">
        <w:rPr>
          <w:color w:val="000000" w:themeColor="text1"/>
          <w:sz w:val="16"/>
          <w:szCs w:val="16"/>
        </w:rPr>
        <w:t>3 аукциона.</w:t>
      </w:r>
    </w:p>
    <w:p w14:paraId="3963622C" w14:textId="082D39D3" w:rsidR="004E3B37" w:rsidRPr="00334799" w:rsidRDefault="006049E2" w:rsidP="004E3B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334799">
        <w:rPr>
          <w:color w:val="000000" w:themeColor="text1"/>
          <w:sz w:val="16"/>
          <w:szCs w:val="16"/>
        </w:rPr>
        <w:t>*</w:t>
      </w:r>
      <w:r w:rsidR="004E3B37" w:rsidRPr="00334799">
        <w:rPr>
          <w:color w:val="000000" w:themeColor="text1"/>
          <w:sz w:val="16"/>
          <w:szCs w:val="16"/>
        </w:rPr>
        <w:t xml:space="preserve">* </w:t>
      </w:r>
      <w:r w:rsidR="00A679DA" w:rsidRPr="00334799">
        <w:rPr>
          <w:color w:val="000000" w:themeColor="text1"/>
          <w:sz w:val="16"/>
          <w:szCs w:val="16"/>
        </w:rPr>
        <w:t xml:space="preserve">В соответствии с приказами Минфина России сведения о купонном доходе по купонам выпусков ОФЗ-ПК публикуются на официальном сайте Минфина России в информационно-телекоммуникационной сети «Интернет» </w:t>
      </w:r>
      <w:r w:rsidR="00A679DA" w:rsidRPr="00334799">
        <w:rPr>
          <w:b/>
          <w:color w:val="000000" w:themeColor="text1"/>
          <w:sz w:val="16"/>
          <w:szCs w:val="16"/>
        </w:rPr>
        <w:t>не позднее, чем за два рабочих дня до даты выплат</w:t>
      </w:r>
      <w:r w:rsidR="00A679DA" w:rsidRPr="00334799">
        <w:rPr>
          <w:color w:val="000000" w:themeColor="text1"/>
          <w:sz w:val="16"/>
          <w:szCs w:val="16"/>
        </w:rPr>
        <w:t xml:space="preserve"> по соответствующим купонам.</w:t>
      </w:r>
    </w:p>
    <w:p w14:paraId="51C1A920" w14:textId="77777777" w:rsidR="00715F42" w:rsidRPr="00334799" w:rsidRDefault="00715F42" w:rsidP="00073145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</w:p>
    <w:p w14:paraId="2A08766F" w14:textId="77777777" w:rsidR="00A74892" w:rsidRPr="00A74892" w:rsidRDefault="00A74892" w:rsidP="00A74892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A74892">
        <w:rPr>
          <w:rFonts w:eastAsia="Times New Roman"/>
          <w:color w:val="000000" w:themeColor="text1"/>
          <w:sz w:val="24"/>
          <w:szCs w:val="24"/>
        </w:rPr>
        <w:t xml:space="preserve">По данным Банка России, </w:t>
      </w:r>
      <w:r w:rsidRPr="00A74892">
        <w:rPr>
          <w:rFonts w:eastAsia="Times New Roman"/>
          <w:b/>
          <w:color w:val="000000" w:themeColor="text1"/>
          <w:sz w:val="24"/>
          <w:szCs w:val="24"/>
        </w:rPr>
        <w:t>доля нерезидентов</w:t>
      </w:r>
      <w:r w:rsidRPr="00A74892">
        <w:rPr>
          <w:rFonts w:eastAsia="Times New Roman"/>
          <w:color w:val="000000" w:themeColor="text1"/>
          <w:sz w:val="24"/>
          <w:szCs w:val="24"/>
        </w:rPr>
        <w:t xml:space="preserve"> на рынке облигаций федеральных займов за январь - сентябрь 2020 года уменьшилась на 5,4 процентных пункта, при этом </w:t>
      </w:r>
      <w:r w:rsidRPr="00A74892">
        <w:rPr>
          <w:rFonts w:eastAsia="Times New Roman"/>
          <w:b/>
          <w:color w:val="000000" w:themeColor="text1"/>
          <w:sz w:val="24"/>
          <w:szCs w:val="24"/>
        </w:rPr>
        <w:t>объем вложений</w:t>
      </w:r>
      <w:r w:rsidRPr="00A74892">
        <w:rPr>
          <w:rFonts w:eastAsia="Times New Roman"/>
          <w:color w:val="000000" w:themeColor="text1"/>
          <w:sz w:val="24"/>
          <w:szCs w:val="24"/>
        </w:rPr>
        <w:t xml:space="preserve"> нерезидентов в ОФЗ увеличился на 149 млрд. рублей, или на </w:t>
      </w:r>
      <w:r w:rsidRPr="00A74892">
        <w:rPr>
          <w:rFonts w:eastAsia="Times New Roman"/>
          <w:b/>
          <w:color w:val="000000" w:themeColor="text1"/>
          <w:sz w:val="24"/>
          <w:szCs w:val="24"/>
        </w:rPr>
        <w:t>5,2 %</w:t>
      </w:r>
      <w:r w:rsidRPr="00A74892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14:paraId="21B43E71" w14:textId="77777777" w:rsidR="00A74892" w:rsidRPr="00A74892" w:rsidRDefault="00A74892" w:rsidP="00A74892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A74892">
        <w:rPr>
          <w:rFonts w:eastAsia="Times New Roman"/>
          <w:color w:val="000000" w:themeColor="text1"/>
          <w:sz w:val="24"/>
          <w:szCs w:val="24"/>
        </w:rPr>
        <w:t>Информация об указанных показателях в 2018 – 2020 годах представлена на следующей диаграмме.</w:t>
      </w:r>
    </w:p>
    <w:p w14:paraId="1ACC3EC8" w14:textId="77777777" w:rsidR="00A74892" w:rsidRPr="00AD482E" w:rsidRDefault="00A74892" w:rsidP="00A74892">
      <w:pPr>
        <w:widowControl w:val="0"/>
        <w:ind w:left="0" w:right="0" w:firstLine="0"/>
        <w:rPr>
          <w:rFonts w:eastAsia="Times New Roman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6975E365" wp14:editId="6AA18A75">
            <wp:extent cx="6042660" cy="1615440"/>
            <wp:effectExtent l="0" t="0" r="0" b="381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0000000-0008-0000-03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6AE4865" w14:textId="77777777" w:rsidR="00073145" w:rsidRPr="00334799" w:rsidRDefault="00073145" w:rsidP="00073145">
      <w:pPr>
        <w:spacing w:line="336" w:lineRule="auto"/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334799">
        <w:rPr>
          <w:rFonts w:eastAsia="Times New Roman"/>
          <w:color w:val="000000" w:themeColor="text1"/>
          <w:sz w:val="24"/>
          <w:szCs w:val="24"/>
        </w:rPr>
        <w:t xml:space="preserve">Таким образом, доля нерезидентов на рынке облигаций федеральных займов </w:t>
      </w:r>
      <w:r w:rsidRPr="00334799">
        <w:rPr>
          <w:rFonts w:eastAsia="Times New Roman"/>
          <w:b/>
          <w:color w:val="000000" w:themeColor="text1"/>
          <w:sz w:val="24"/>
          <w:szCs w:val="24"/>
        </w:rPr>
        <w:t>остается на достаточно высоком уровне</w:t>
      </w:r>
      <w:r w:rsidRPr="00334799">
        <w:rPr>
          <w:rFonts w:eastAsia="Times New Roman"/>
          <w:color w:val="000000" w:themeColor="text1"/>
          <w:sz w:val="24"/>
          <w:szCs w:val="24"/>
        </w:rPr>
        <w:t>.</w:t>
      </w:r>
    </w:p>
    <w:p w14:paraId="1A1CAF10" w14:textId="74DFB0D5" w:rsidR="00C85A6B" w:rsidRPr="00334799" w:rsidRDefault="00890979" w:rsidP="007E5AF8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</w:rPr>
        <w:t xml:space="preserve">В </w:t>
      </w:r>
      <w:r w:rsidR="00170ACE" w:rsidRPr="00334799">
        <w:rPr>
          <w:color w:val="000000" w:themeColor="text1"/>
          <w:sz w:val="24"/>
        </w:rPr>
        <w:t xml:space="preserve">январе – </w:t>
      </w:r>
      <w:r w:rsidR="00024389" w:rsidRPr="00334799">
        <w:rPr>
          <w:color w:val="000000" w:themeColor="text1"/>
          <w:sz w:val="24"/>
        </w:rPr>
        <w:t>сентябре</w:t>
      </w:r>
      <w:r w:rsidR="00170ACE" w:rsidRPr="00334799">
        <w:rPr>
          <w:color w:val="000000" w:themeColor="text1"/>
          <w:sz w:val="24"/>
        </w:rPr>
        <w:t xml:space="preserve"> </w:t>
      </w:r>
      <w:r w:rsidRPr="00334799">
        <w:rPr>
          <w:color w:val="000000" w:themeColor="text1"/>
          <w:sz w:val="24"/>
        </w:rPr>
        <w:t>20</w:t>
      </w:r>
      <w:r w:rsidR="00170ACE" w:rsidRPr="00334799">
        <w:rPr>
          <w:color w:val="000000" w:themeColor="text1"/>
          <w:sz w:val="24"/>
        </w:rPr>
        <w:t>20</w:t>
      </w:r>
      <w:r w:rsidRPr="00334799">
        <w:rPr>
          <w:color w:val="000000" w:themeColor="text1"/>
          <w:sz w:val="24"/>
        </w:rPr>
        <w:t xml:space="preserve"> год</w:t>
      </w:r>
      <w:r w:rsidR="00170ACE" w:rsidRPr="00334799">
        <w:rPr>
          <w:color w:val="000000" w:themeColor="text1"/>
          <w:sz w:val="24"/>
        </w:rPr>
        <w:t>а</w:t>
      </w:r>
      <w:r w:rsidRPr="00334799">
        <w:rPr>
          <w:color w:val="000000" w:themeColor="text1"/>
          <w:sz w:val="24"/>
        </w:rPr>
        <w:t xml:space="preserve"> Банк России прин</w:t>
      </w:r>
      <w:r w:rsidR="00E1660E" w:rsidRPr="00334799">
        <w:rPr>
          <w:color w:val="000000" w:themeColor="text1"/>
          <w:sz w:val="24"/>
        </w:rPr>
        <w:t xml:space="preserve">ял </w:t>
      </w:r>
      <w:r w:rsidR="00ED3608" w:rsidRPr="00334799">
        <w:rPr>
          <w:b/>
          <w:color w:val="000000" w:themeColor="text1"/>
          <w:sz w:val="24"/>
        </w:rPr>
        <w:t>четыре</w:t>
      </w:r>
      <w:r w:rsidRPr="00334799">
        <w:rPr>
          <w:color w:val="000000" w:themeColor="text1"/>
          <w:sz w:val="24"/>
        </w:rPr>
        <w:t xml:space="preserve"> решени</w:t>
      </w:r>
      <w:r w:rsidR="00ED3608" w:rsidRPr="00334799">
        <w:rPr>
          <w:color w:val="000000" w:themeColor="text1"/>
          <w:sz w:val="24"/>
        </w:rPr>
        <w:t>я</w:t>
      </w:r>
      <w:r w:rsidRPr="00334799">
        <w:rPr>
          <w:color w:val="000000" w:themeColor="text1"/>
          <w:sz w:val="24"/>
        </w:rPr>
        <w:t xml:space="preserve"> </w:t>
      </w:r>
      <w:r w:rsidRPr="00334799">
        <w:rPr>
          <w:b/>
          <w:color w:val="000000" w:themeColor="text1"/>
          <w:sz w:val="24"/>
        </w:rPr>
        <w:t>о понижении ключевой ставки</w:t>
      </w:r>
      <w:r w:rsidRPr="00334799">
        <w:rPr>
          <w:color w:val="000000" w:themeColor="text1"/>
          <w:sz w:val="24"/>
          <w:szCs w:val="24"/>
        </w:rPr>
        <w:t xml:space="preserve"> в целом на </w:t>
      </w:r>
      <w:r w:rsidR="00ED3608" w:rsidRPr="00334799">
        <w:rPr>
          <w:color w:val="000000" w:themeColor="text1"/>
          <w:sz w:val="24"/>
          <w:szCs w:val="24"/>
        </w:rPr>
        <w:t>2</w:t>
      </w:r>
      <w:r w:rsidRPr="00334799">
        <w:rPr>
          <w:color w:val="000000" w:themeColor="text1"/>
          <w:sz w:val="24"/>
          <w:szCs w:val="24"/>
        </w:rPr>
        <w:t xml:space="preserve"> процентных пункта. </w:t>
      </w:r>
      <w:r w:rsidR="000365B0" w:rsidRPr="00334799">
        <w:rPr>
          <w:color w:val="000000" w:themeColor="text1"/>
          <w:sz w:val="24"/>
          <w:szCs w:val="24"/>
        </w:rPr>
        <w:t>Так,</w:t>
      </w:r>
      <w:r w:rsidR="00ED3608" w:rsidRPr="00334799">
        <w:rPr>
          <w:color w:val="000000" w:themeColor="text1"/>
          <w:sz w:val="24"/>
          <w:szCs w:val="24"/>
        </w:rPr>
        <w:t xml:space="preserve"> с 27</w:t>
      </w:r>
      <w:r w:rsidR="00E1660E" w:rsidRPr="00334799">
        <w:rPr>
          <w:color w:val="000000" w:themeColor="text1"/>
          <w:sz w:val="24"/>
          <w:szCs w:val="24"/>
        </w:rPr>
        <w:t xml:space="preserve"> </w:t>
      </w:r>
      <w:r w:rsidR="00E66621" w:rsidRPr="00334799">
        <w:rPr>
          <w:color w:val="000000" w:themeColor="text1"/>
          <w:sz w:val="24"/>
          <w:szCs w:val="24"/>
        </w:rPr>
        <w:t>ию</w:t>
      </w:r>
      <w:r w:rsidR="00ED3608" w:rsidRPr="00334799">
        <w:rPr>
          <w:color w:val="000000" w:themeColor="text1"/>
          <w:sz w:val="24"/>
          <w:szCs w:val="24"/>
        </w:rPr>
        <w:t>л</w:t>
      </w:r>
      <w:r w:rsidR="00E66621" w:rsidRPr="00334799">
        <w:rPr>
          <w:color w:val="000000" w:themeColor="text1"/>
          <w:sz w:val="24"/>
          <w:szCs w:val="24"/>
        </w:rPr>
        <w:t>я</w:t>
      </w:r>
      <w:r w:rsidR="00E1660E" w:rsidRPr="00334799">
        <w:rPr>
          <w:color w:val="000000" w:themeColor="text1"/>
          <w:sz w:val="24"/>
          <w:szCs w:val="24"/>
        </w:rPr>
        <w:t xml:space="preserve"> 2020</w:t>
      </w:r>
      <w:r w:rsidR="000365B0" w:rsidRPr="00334799">
        <w:rPr>
          <w:color w:val="000000" w:themeColor="text1"/>
          <w:sz w:val="24"/>
          <w:szCs w:val="24"/>
        </w:rPr>
        <w:t> </w:t>
      </w:r>
      <w:r w:rsidR="00E1660E" w:rsidRPr="00334799">
        <w:rPr>
          <w:color w:val="000000" w:themeColor="text1"/>
          <w:sz w:val="24"/>
          <w:szCs w:val="24"/>
        </w:rPr>
        <w:t>года ключевая ставка составил</w:t>
      </w:r>
      <w:r w:rsidR="00E66621" w:rsidRPr="00334799">
        <w:rPr>
          <w:color w:val="000000" w:themeColor="text1"/>
          <w:sz w:val="24"/>
          <w:szCs w:val="24"/>
        </w:rPr>
        <w:t>а</w:t>
      </w:r>
      <w:r w:rsidR="00E1660E" w:rsidRPr="00334799">
        <w:rPr>
          <w:color w:val="000000" w:themeColor="text1"/>
          <w:sz w:val="24"/>
          <w:szCs w:val="24"/>
        </w:rPr>
        <w:t xml:space="preserve"> </w:t>
      </w:r>
      <w:r w:rsidR="00E66621" w:rsidRPr="00334799">
        <w:rPr>
          <w:color w:val="000000" w:themeColor="text1"/>
          <w:sz w:val="24"/>
          <w:szCs w:val="24"/>
        </w:rPr>
        <w:t>4</w:t>
      </w:r>
      <w:r w:rsidR="00ED3608" w:rsidRPr="00334799">
        <w:rPr>
          <w:color w:val="000000" w:themeColor="text1"/>
          <w:sz w:val="24"/>
          <w:szCs w:val="24"/>
        </w:rPr>
        <w:t>,25</w:t>
      </w:r>
      <w:r w:rsidR="00E1660E" w:rsidRPr="00334799">
        <w:rPr>
          <w:color w:val="000000" w:themeColor="text1"/>
          <w:sz w:val="24"/>
          <w:szCs w:val="24"/>
        </w:rPr>
        <w:t xml:space="preserve"> % </w:t>
      </w:r>
      <w:proofErr w:type="gramStart"/>
      <w:r w:rsidR="00E1660E" w:rsidRPr="00334799">
        <w:rPr>
          <w:color w:val="000000" w:themeColor="text1"/>
          <w:sz w:val="24"/>
          <w:szCs w:val="24"/>
        </w:rPr>
        <w:t>годовых</w:t>
      </w:r>
      <w:proofErr w:type="gramEnd"/>
      <w:r w:rsidR="00E1660E" w:rsidRPr="00334799">
        <w:rPr>
          <w:color w:val="000000" w:themeColor="text1"/>
          <w:sz w:val="24"/>
          <w:szCs w:val="24"/>
        </w:rPr>
        <w:t xml:space="preserve">. </w:t>
      </w:r>
    </w:p>
    <w:p w14:paraId="5974CA55" w14:textId="77777777" w:rsidR="00C85A6B" w:rsidRPr="00334799" w:rsidRDefault="00C85A6B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br w:type="page"/>
      </w:r>
    </w:p>
    <w:p w14:paraId="708310B1" w14:textId="77777777" w:rsidR="00C85A6B" w:rsidRPr="00334799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lastRenderedPageBreak/>
        <w:t>Таблица 4</w:t>
      </w:r>
    </w:p>
    <w:p w14:paraId="6F245321" w14:textId="77777777" w:rsidR="00C85A6B" w:rsidRPr="00334799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14:paraId="5F960A81" w14:textId="7A9A9382" w:rsidR="00C85A6B" w:rsidRPr="00334799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Анализ исполнения </w:t>
      </w:r>
    </w:p>
    <w:p w14:paraId="1A1DD7E6" w14:textId="77777777" w:rsidR="00C85A6B" w:rsidRPr="00334799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</w:rPr>
      </w:pPr>
      <w:r w:rsidRPr="00334799">
        <w:rPr>
          <w:b/>
          <w:bCs/>
          <w:color w:val="000000" w:themeColor="text1"/>
          <w:sz w:val="24"/>
          <w:szCs w:val="24"/>
        </w:rPr>
        <w:t xml:space="preserve">Программы </w:t>
      </w:r>
      <w:r w:rsidRPr="00334799">
        <w:rPr>
          <w:b/>
          <w:color w:val="000000" w:themeColor="text1"/>
          <w:sz w:val="24"/>
          <w:szCs w:val="24"/>
        </w:rPr>
        <w:t>государственных внешних заимствований Российской Федерации</w:t>
      </w:r>
    </w:p>
    <w:p w14:paraId="307EC3CA" w14:textId="77777777" w:rsidR="000E5F9B" w:rsidRPr="00334799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>на 20</w:t>
      </w:r>
      <w:r w:rsidR="00C8769B" w:rsidRPr="00334799">
        <w:rPr>
          <w:b/>
          <w:color w:val="000000" w:themeColor="text1"/>
          <w:sz w:val="24"/>
          <w:szCs w:val="24"/>
        </w:rPr>
        <w:t>20</w:t>
      </w:r>
      <w:r w:rsidRPr="00334799">
        <w:rPr>
          <w:b/>
          <w:color w:val="000000" w:themeColor="text1"/>
          <w:sz w:val="24"/>
          <w:szCs w:val="24"/>
        </w:rPr>
        <w:t xml:space="preserve"> год и на плановый период 202</w:t>
      </w:r>
      <w:r w:rsidR="00C8769B" w:rsidRPr="00334799">
        <w:rPr>
          <w:b/>
          <w:color w:val="000000" w:themeColor="text1"/>
          <w:sz w:val="24"/>
          <w:szCs w:val="24"/>
        </w:rPr>
        <w:t>1</w:t>
      </w:r>
      <w:r w:rsidRPr="00334799">
        <w:rPr>
          <w:b/>
          <w:color w:val="000000" w:themeColor="text1"/>
          <w:sz w:val="24"/>
          <w:szCs w:val="24"/>
        </w:rPr>
        <w:t xml:space="preserve"> и 202</w:t>
      </w:r>
      <w:r w:rsidR="00C8769B" w:rsidRPr="00334799">
        <w:rPr>
          <w:b/>
          <w:color w:val="000000" w:themeColor="text1"/>
          <w:sz w:val="24"/>
          <w:szCs w:val="24"/>
        </w:rPr>
        <w:t>2</w:t>
      </w:r>
      <w:r w:rsidRPr="00334799">
        <w:rPr>
          <w:b/>
          <w:color w:val="000000" w:themeColor="text1"/>
          <w:sz w:val="24"/>
          <w:szCs w:val="24"/>
        </w:rPr>
        <w:t xml:space="preserve"> годов</w:t>
      </w:r>
      <w:r w:rsidR="00BC02D5" w:rsidRPr="00334799">
        <w:rPr>
          <w:b/>
          <w:color w:val="000000" w:themeColor="text1"/>
          <w:sz w:val="24"/>
          <w:szCs w:val="24"/>
        </w:rPr>
        <w:t xml:space="preserve"> </w:t>
      </w:r>
    </w:p>
    <w:p w14:paraId="05F04EA7" w14:textId="35402401" w:rsidR="00C85A6B" w:rsidRPr="00334799" w:rsidRDefault="00BC02D5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>за январь</w:t>
      </w:r>
      <w:r w:rsidR="000E5F9B" w:rsidRPr="00334799">
        <w:rPr>
          <w:b/>
          <w:color w:val="000000" w:themeColor="text1"/>
          <w:sz w:val="24"/>
          <w:szCs w:val="24"/>
        </w:rPr>
        <w:t xml:space="preserve"> </w:t>
      </w:r>
      <w:r w:rsidRPr="00334799">
        <w:rPr>
          <w:b/>
          <w:color w:val="000000" w:themeColor="text1"/>
          <w:sz w:val="24"/>
          <w:szCs w:val="24"/>
        </w:rPr>
        <w:t>-</w:t>
      </w:r>
      <w:r w:rsidR="000E5F9B" w:rsidRPr="00334799">
        <w:rPr>
          <w:b/>
          <w:color w:val="000000" w:themeColor="text1"/>
          <w:sz w:val="24"/>
          <w:szCs w:val="24"/>
        </w:rPr>
        <w:t xml:space="preserve"> </w:t>
      </w:r>
      <w:r w:rsidR="00A679DA" w:rsidRPr="00334799">
        <w:rPr>
          <w:b/>
          <w:color w:val="000000" w:themeColor="text1"/>
          <w:sz w:val="24"/>
          <w:szCs w:val="24"/>
        </w:rPr>
        <w:t>сентябрь</w:t>
      </w:r>
      <w:r w:rsidRPr="00334799">
        <w:rPr>
          <w:b/>
          <w:color w:val="000000" w:themeColor="text1"/>
          <w:sz w:val="24"/>
          <w:szCs w:val="24"/>
        </w:rPr>
        <w:t xml:space="preserve"> 2020 года</w:t>
      </w:r>
    </w:p>
    <w:p w14:paraId="6F0603B4" w14:textId="77777777" w:rsidR="00C85A6B" w:rsidRPr="00334799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 w:firstLine="709"/>
        <w:jc w:val="center"/>
        <w:rPr>
          <w:b/>
          <w:bCs/>
          <w:color w:val="000000" w:themeColor="text1"/>
          <w:sz w:val="24"/>
          <w:szCs w:val="24"/>
          <w:u w:val="single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42"/>
        <w:gridCol w:w="1239"/>
        <w:gridCol w:w="1238"/>
        <w:gridCol w:w="1104"/>
        <w:gridCol w:w="1307"/>
        <w:gridCol w:w="1101"/>
        <w:gridCol w:w="1240"/>
      </w:tblGrid>
      <w:tr w:rsidR="00A679DA" w:rsidRPr="00334799" w14:paraId="46A87A03" w14:textId="77777777" w:rsidTr="007944A5">
        <w:trPr>
          <w:trHeight w:val="43"/>
          <w:tblHeader/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3127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94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AD49316" w14:textId="7C3B997F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Предусмотрено Программой государственных внешних заимствований Российской Федерации на 2020 год и на плановый период 2021 и 2022 годы в части 2020 года </w:t>
            </w: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br/>
            </w: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(Федеральный закон № 380-ФЗ</w:t>
            </w:r>
            <w:r w:rsidR="000A6AF9"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 с изменениями</w:t>
            </w: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4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B9ED1" w14:textId="5E4A7759" w:rsidR="00BC02D5" w:rsidRPr="00334799" w:rsidRDefault="00BC02D5" w:rsidP="00A679D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Исполнено на 1 </w:t>
            </w:r>
            <w:r w:rsidR="00A679DA" w:rsidRPr="00334799">
              <w:rPr>
                <w:b/>
                <w:bCs/>
                <w:color w:val="000000" w:themeColor="text1"/>
                <w:sz w:val="16"/>
                <w:szCs w:val="16"/>
              </w:rPr>
              <w:t>октября</w:t>
            </w: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 2020 года</w:t>
            </w:r>
          </w:p>
        </w:tc>
      </w:tr>
      <w:tr w:rsidR="00A679DA" w:rsidRPr="00334799" w14:paraId="430DFE1E" w14:textId="77777777" w:rsidTr="00BC02D5">
        <w:trPr>
          <w:trHeight w:val="760"/>
          <w:tblHeader/>
          <w:jc w:val="center"/>
        </w:trPr>
        <w:tc>
          <w:tcPr>
            <w:tcW w:w="1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A6DF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7946D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5E427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7BBD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A679DA" w:rsidRPr="00334799" w14:paraId="1F611522" w14:textId="77777777" w:rsidTr="00BC02D5">
        <w:trPr>
          <w:trHeight w:val="385"/>
          <w:tblHeader/>
          <w:jc w:val="center"/>
        </w:trPr>
        <w:tc>
          <w:tcPr>
            <w:tcW w:w="1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936D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cyan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67DDB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42C7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9AED4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A905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2E4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61DC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</w:tr>
      <w:tr w:rsidR="00A679DA" w:rsidRPr="00334799" w14:paraId="2280D8A7" w14:textId="77777777" w:rsidTr="00BC02D5">
        <w:trPr>
          <w:trHeight w:val="105"/>
          <w:tblHeader/>
          <w:jc w:val="center"/>
        </w:trPr>
        <w:tc>
          <w:tcPr>
            <w:tcW w:w="1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8361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cyan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10BC3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046A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F48C6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ADD9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101C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6=4/2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D770" w14:textId="77777777" w:rsidR="00BC02D5" w:rsidRPr="00334799" w:rsidRDefault="00BC02D5" w:rsidP="00BC02D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7=5/3</w:t>
            </w:r>
          </w:p>
        </w:tc>
      </w:tr>
      <w:tr w:rsidR="009E09B2" w:rsidRPr="00334799" w14:paraId="7E797FE0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46E6" w14:textId="77777777" w:rsidR="009E09B2" w:rsidRPr="00334799" w:rsidRDefault="009E09B2" w:rsidP="009E09B2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0C34A" w14:textId="651F4D91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-135 891,9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D0A3" w14:textId="11C65C92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-2 068,4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E6A4" w14:textId="23D113F0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-383 876,5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EADB" w14:textId="5DC03E1A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-5 113,1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C620" w14:textId="7777777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890C" w14:textId="7777777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green"/>
              </w:rPr>
            </w:pPr>
          </w:p>
        </w:tc>
      </w:tr>
      <w:tr w:rsidR="009E09B2" w:rsidRPr="00334799" w14:paraId="66E164C6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B195" w14:textId="77777777" w:rsidR="009E09B2" w:rsidRPr="00334799" w:rsidRDefault="009E09B2" w:rsidP="009E09B2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868B0" w14:textId="3A4BDB8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-133 674,7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ED52" w14:textId="068EF323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-2 034,6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4446" w14:textId="16348978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iCs/>
                <w:color w:val="000000" w:themeColor="text1"/>
                <w:sz w:val="16"/>
                <w:szCs w:val="16"/>
              </w:rPr>
              <w:t>-381 246,1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F0F9" w14:textId="73430052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iCs/>
                <w:color w:val="000000" w:themeColor="text1"/>
                <w:sz w:val="16"/>
                <w:szCs w:val="16"/>
              </w:rPr>
              <w:t>-5 070,8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3523" w14:textId="7777777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276E" w14:textId="7777777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E09B2" w:rsidRPr="00334799" w14:paraId="381BA804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FA83" w14:textId="77777777" w:rsidR="009E09B2" w:rsidRPr="00334799" w:rsidRDefault="009E09B2" w:rsidP="009E09B2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E53BA" w14:textId="27978C45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197 100,0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BBD7" w14:textId="4AF62CED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3 000,0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92CED" w14:textId="17329F6A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69D2" w14:textId="6B6CBADA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8271" w14:textId="243E5564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0B48" w14:textId="7960ECE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i/>
                <w:iCs/>
                <w:color w:val="000000" w:themeColor="text1"/>
                <w:sz w:val="16"/>
                <w:szCs w:val="16"/>
              </w:rPr>
              <w:t>0,0</w:t>
            </w:r>
          </w:p>
        </w:tc>
      </w:tr>
      <w:tr w:rsidR="009E09B2" w:rsidRPr="00334799" w14:paraId="74EA933F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79A6" w14:textId="77777777" w:rsidR="009E09B2" w:rsidRPr="00334799" w:rsidRDefault="009E09B2" w:rsidP="009E09B2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C80C3" w14:textId="7CE20086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-330 774,7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A02B" w14:textId="46A59389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-5 034,6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579B" w14:textId="4D5CF86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-381 246,1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A1D0" w14:textId="1274B9B1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iCs/>
                <w:color w:val="000000" w:themeColor="text1"/>
                <w:sz w:val="16"/>
                <w:szCs w:val="16"/>
              </w:rPr>
              <w:t>-5 070,8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6D7F" w14:textId="7D934006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i/>
                <w:iCs/>
                <w:color w:val="000000" w:themeColor="text1"/>
                <w:sz w:val="16"/>
                <w:szCs w:val="16"/>
              </w:rPr>
              <w:t>115,3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7F2B" w14:textId="0C51E490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bCs/>
                <w:i/>
                <w:iCs/>
                <w:color w:val="000000" w:themeColor="text1"/>
                <w:sz w:val="16"/>
                <w:szCs w:val="16"/>
              </w:rPr>
              <w:t>100,7</w:t>
            </w:r>
          </w:p>
        </w:tc>
      </w:tr>
      <w:tr w:rsidR="009E09B2" w:rsidRPr="00334799" w14:paraId="4C56541C" w14:textId="77777777" w:rsidTr="00BC02D5">
        <w:trPr>
          <w:trHeight w:val="824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D730" w14:textId="77777777" w:rsidR="009E09B2" w:rsidRPr="00334799" w:rsidRDefault="009E09B2" w:rsidP="009E09B2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лиц, 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F3DA7" w14:textId="498F942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-2 217,2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1B1E" w14:textId="63857071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- 33,8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613A9" w14:textId="1BD18A3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-2 630,4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F1FE" w14:textId="0D1B2A5C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-42,3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6E93" w14:textId="7777777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F4" w14:textId="7777777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9E09B2" w:rsidRPr="00334799" w14:paraId="6F06D9A6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8B8E" w14:textId="77777777" w:rsidR="009E09B2" w:rsidRPr="00334799" w:rsidRDefault="009E09B2" w:rsidP="009E09B2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Привлечение (использование)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78C6B" w14:textId="1415C67E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highlight w:val="yellow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10 079,8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C9CD" w14:textId="38D155F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153,4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48AA7" w14:textId="7489EB76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4 589,3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DF97" w14:textId="2876970D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59,7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832A" w14:textId="1D0EB4BD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45,5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BDE4" w14:textId="07E4EB89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38,9</w:t>
            </w:r>
          </w:p>
        </w:tc>
      </w:tr>
      <w:tr w:rsidR="009E09B2" w:rsidRPr="00334799" w14:paraId="2FD68D33" w14:textId="77777777" w:rsidTr="00BC02D5">
        <w:trPr>
          <w:trHeight w:val="156"/>
          <w:jc w:val="center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9F07" w14:textId="77777777" w:rsidR="009E09B2" w:rsidRPr="00334799" w:rsidRDefault="009E09B2" w:rsidP="009E09B2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B4C6" w14:textId="6FD84107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highlight w:val="yellow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-12 297,0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D2B1" w14:textId="7B80A564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highlight w:val="yellow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-187,2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7A412" w14:textId="27A3364C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</w:rPr>
              <w:t>-7 219,7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233B" w14:textId="70F85F3C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-102,0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35FF" w14:textId="273A164E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58,7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4DE2" w14:textId="2C7344A3" w:rsidR="009E09B2" w:rsidRPr="00334799" w:rsidRDefault="009E09B2" w:rsidP="009E09B2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i/>
                <w:iCs/>
                <w:color w:val="000000" w:themeColor="text1"/>
                <w:sz w:val="16"/>
                <w:szCs w:val="16"/>
                <w:lang w:eastAsia="en-US"/>
              </w:rPr>
              <w:t>54,5</w:t>
            </w:r>
          </w:p>
        </w:tc>
      </w:tr>
    </w:tbl>
    <w:p w14:paraId="5963ECE5" w14:textId="310EDAFA" w:rsidR="00C85A6B" w:rsidRPr="00334799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14:paraId="57269D8B" w14:textId="77777777" w:rsidR="00DD6E4B" w:rsidRPr="00334799" w:rsidRDefault="00DD6E4B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br w:type="page"/>
      </w:r>
    </w:p>
    <w:p w14:paraId="7F76D17B" w14:textId="77777777" w:rsidR="00EE7D54" w:rsidRPr="00334799" w:rsidRDefault="00EE7D54" w:rsidP="00EE7D54">
      <w:pPr>
        <w:widowControl w:val="0"/>
        <w:spacing w:after="120" w:line="240" w:lineRule="auto"/>
        <w:ind w:left="-426" w:right="0" w:firstLine="0"/>
        <w:jc w:val="right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lastRenderedPageBreak/>
        <w:t xml:space="preserve">Таблица </w:t>
      </w:r>
      <w:r w:rsidR="00C85A6B" w:rsidRPr="00334799">
        <w:rPr>
          <w:color w:val="000000" w:themeColor="text1"/>
          <w:sz w:val="24"/>
          <w:szCs w:val="24"/>
        </w:rPr>
        <w:t>5</w:t>
      </w:r>
      <w:r w:rsidRPr="00334799">
        <w:rPr>
          <w:color w:val="000000" w:themeColor="text1"/>
          <w:sz w:val="24"/>
          <w:szCs w:val="24"/>
        </w:rPr>
        <w:t xml:space="preserve"> </w:t>
      </w:r>
    </w:p>
    <w:p w14:paraId="0C4F62C8" w14:textId="77777777" w:rsidR="00EE7D54" w:rsidRPr="00334799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334799">
        <w:rPr>
          <w:b/>
          <w:color w:val="000000" w:themeColor="text1"/>
          <w:sz w:val="24"/>
          <w:szCs w:val="24"/>
          <w:lang w:eastAsia="en-US"/>
        </w:rPr>
        <w:t xml:space="preserve">Анализ информации об управлении средствами </w:t>
      </w:r>
    </w:p>
    <w:p w14:paraId="5C8D5950" w14:textId="77777777" w:rsidR="00EE7D54" w:rsidRPr="00334799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334799">
        <w:rPr>
          <w:b/>
          <w:color w:val="000000" w:themeColor="text1"/>
          <w:sz w:val="24"/>
          <w:szCs w:val="24"/>
          <w:lang w:eastAsia="en-US"/>
        </w:rPr>
        <w:t>Фонда национального благосостояния в части разрешенных финансовых активов</w:t>
      </w:r>
    </w:p>
    <w:p w14:paraId="35A836EB" w14:textId="77777777" w:rsidR="00EE7D54" w:rsidRPr="00334799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</w:p>
    <w:tbl>
      <w:tblPr>
        <w:tblStyle w:val="ab"/>
        <w:tblW w:w="9889" w:type="dxa"/>
        <w:tblInd w:w="108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A679DA" w:rsidRPr="00334799" w14:paraId="7F05C287" w14:textId="77777777" w:rsidTr="00C97B98">
        <w:trPr>
          <w:tblHeader/>
        </w:trPr>
        <w:tc>
          <w:tcPr>
            <w:tcW w:w="3936" w:type="dxa"/>
          </w:tcPr>
          <w:p w14:paraId="114F9B95" w14:textId="77777777" w:rsidR="00C97B98" w:rsidRPr="00334799" w:rsidRDefault="00C97B98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34799">
              <w:rPr>
                <w:b/>
                <w:color w:val="000000" w:themeColor="text1"/>
                <w:sz w:val="22"/>
                <w:szCs w:val="22"/>
              </w:rPr>
              <w:t>Наименование направления (вида финансового актива)</w:t>
            </w:r>
          </w:p>
        </w:tc>
        <w:tc>
          <w:tcPr>
            <w:tcW w:w="5953" w:type="dxa"/>
            <w:vAlign w:val="center"/>
          </w:tcPr>
          <w:p w14:paraId="36105E2C" w14:textId="77777777" w:rsidR="00C97B98" w:rsidRPr="00334799" w:rsidRDefault="00C97B98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34799">
              <w:rPr>
                <w:b/>
                <w:color w:val="000000" w:themeColor="text1"/>
                <w:sz w:val="22"/>
                <w:szCs w:val="22"/>
              </w:rPr>
              <w:t xml:space="preserve">Объем размещения (возврата)/ </w:t>
            </w:r>
          </w:p>
          <w:p w14:paraId="2CF99CEC" w14:textId="77777777" w:rsidR="00C97B98" w:rsidRPr="00334799" w:rsidRDefault="00C97B98" w:rsidP="00C97B9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34799">
              <w:rPr>
                <w:b/>
                <w:color w:val="000000" w:themeColor="text1"/>
                <w:sz w:val="22"/>
                <w:szCs w:val="22"/>
              </w:rPr>
              <w:t>основание размещения</w:t>
            </w:r>
          </w:p>
        </w:tc>
      </w:tr>
      <w:tr w:rsidR="00A679DA" w:rsidRPr="00334799" w14:paraId="39C6A6E0" w14:textId="77777777" w:rsidTr="00C97B98">
        <w:tc>
          <w:tcPr>
            <w:tcW w:w="3936" w:type="dxa"/>
          </w:tcPr>
          <w:p w14:paraId="1B04A91C" w14:textId="77777777" w:rsidR="00C97B98" w:rsidRPr="00334799" w:rsidRDefault="00C97B98" w:rsidP="00C97B98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 xml:space="preserve">Остатки средств ФНБ, </w:t>
            </w:r>
            <w:r w:rsidRPr="00334799">
              <w:rPr>
                <w:b/>
                <w:color w:val="000000" w:themeColor="text1"/>
                <w:sz w:val="22"/>
                <w:szCs w:val="22"/>
              </w:rPr>
              <w:t xml:space="preserve">размещенные в разрешенные финансовые активы </w:t>
            </w:r>
          </w:p>
          <w:p w14:paraId="1CD85896" w14:textId="77777777" w:rsidR="00C97B98" w:rsidRPr="00334799" w:rsidRDefault="00C97B98" w:rsidP="00C97B98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b/>
                <w:color w:val="000000" w:themeColor="text1"/>
                <w:sz w:val="22"/>
                <w:szCs w:val="22"/>
              </w:rPr>
              <w:t xml:space="preserve">на 1 января 2020 года, </w:t>
            </w:r>
            <w:r w:rsidRPr="00334799">
              <w:rPr>
                <w:color w:val="000000" w:themeColor="text1"/>
                <w:sz w:val="22"/>
                <w:szCs w:val="22"/>
              </w:rPr>
              <w:t>млн. рублей</w:t>
            </w:r>
          </w:p>
        </w:tc>
        <w:tc>
          <w:tcPr>
            <w:tcW w:w="5953" w:type="dxa"/>
            <w:vAlign w:val="center"/>
          </w:tcPr>
          <w:p w14:paraId="32CB3BEC" w14:textId="77777777" w:rsidR="00C97B98" w:rsidRPr="00334799" w:rsidRDefault="00C97B98" w:rsidP="00C97B9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1 635 297,2</w:t>
            </w:r>
          </w:p>
        </w:tc>
      </w:tr>
      <w:tr w:rsidR="00A679DA" w:rsidRPr="00334799" w14:paraId="658B9548" w14:textId="77777777" w:rsidTr="00C97B98">
        <w:tc>
          <w:tcPr>
            <w:tcW w:w="3936" w:type="dxa"/>
          </w:tcPr>
          <w:p w14:paraId="14FCA68F" w14:textId="77777777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1. Размещено*</w:t>
            </w:r>
          </w:p>
        </w:tc>
        <w:tc>
          <w:tcPr>
            <w:tcW w:w="5953" w:type="dxa"/>
          </w:tcPr>
          <w:p w14:paraId="3B8E84DB" w14:textId="1167F045" w:rsidR="00A679DA" w:rsidRPr="00334799" w:rsidRDefault="00A679DA" w:rsidP="00A679D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2 239 123,3</w:t>
            </w:r>
          </w:p>
        </w:tc>
      </w:tr>
      <w:tr w:rsidR="00A679DA" w:rsidRPr="00334799" w14:paraId="5DDA25E8" w14:textId="77777777" w:rsidTr="00C97B98">
        <w:tc>
          <w:tcPr>
            <w:tcW w:w="3936" w:type="dxa"/>
          </w:tcPr>
          <w:p w14:paraId="64407398" w14:textId="73F8655C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на депозиты в ВЭБ</w:t>
            </w:r>
            <w:proofErr w:type="gramStart"/>
            <w:r w:rsidRPr="00334799">
              <w:rPr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334799">
              <w:rPr>
                <w:color w:val="000000" w:themeColor="text1"/>
                <w:sz w:val="22"/>
                <w:szCs w:val="22"/>
              </w:rPr>
              <w:t>Ф в целях финансирования проектов в реальном секторе экономики, реализуемых российскими организациями</w:t>
            </w:r>
          </w:p>
        </w:tc>
        <w:tc>
          <w:tcPr>
            <w:tcW w:w="5953" w:type="dxa"/>
          </w:tcPr>
          <w:p w14:paraId="179F85BB" w14:textId="2F71ED79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В соответствии с постановлением Правительства Российской Федерации от 19 января 2008 г. № 18, заключенным в 2017 году между Федеральным казначейством и ВЭБ</w:t>
            </w:r>
            <w:proofErr w:type="gramStart"/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Ф депозитным договором и на основании заявок ВЭБ.РФ средства ФНБ в сумме </w:t>
            </w:r>
            <w:r w:rsidRPr="00334799">
              <w:rPr>
                <w:rFonts w:eastAsia="Arial Unicode MS"/>
                <w:b/>
                <w:bCs/>
                <w:color w:val="000000" w:themeColor="text1"/>
                <w:sz w:val="22"/>
                <w:szCs w:val="22"/>
              </w:rPr>
              <w:t>11</w:t>
            </w:r>
            <w:r w:rsidRPr="00334799">
              <w:rPr>
                <w:rFonts w:eastAsia="Arial Unicode MS"/>
                <w:b/>
                <w:bCs/>
                <w:color w:val="000000" w:themeColor="text1"/>
                <w:sz w:val="22"/>
                <w:szCs w:val="22"/>
                <w:lang w:val="en-US"/>
              </w:rPr>
              <w:t> </w:t>
            </w:r>
            <w:r w:rsidRPr="00334799">
              <w:rPr>
                <w:rFonts w:eastAsia="Arial Unicode MS"/>
                <w:b/>
                <w:bCs/>
                <w:color w:val="000000" w:themeColor="text1"/>
                <w:sz w:val="22"/>
                <w:szCs w:val="22"/>
              </w:rPr>
              <w:t>437,6 млн. рублей</w:t>
            </w: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>87,9 % показателя сводной росписи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) </w:t>
            </w: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размещены в целях финансирования проекта</w:t>
            </w:r>
            <w:r w:rsidRPr="00334799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«Приобретение и предоставление во владение и пользование (лизинг) вагонов Московского метро» (КЖЦ-2).</w:t>
            </w:r>
          </w:p>
        </w:tc>
      </w:tr>
      <w:tr w:rsidR="00A679DA" w:rsidRPr="00334799" w14:paraId="6561E828" w14:textId="77777777" w:rsidTr="00C97B98">
        <w:tc>
          <w:tcPr>
            <w:tcW w:w="3936" w:type="dxa"/>
          </w:tcPr>
          <w:p w14:paraId="36EACF30" w14:textId="0400C6DA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на депозиты в ВЭБ</w:t>
            </w:r>
            <w:proofErr w:type="gramStart"/>
            <w:r w:rsidRPr="00334799">
              <w:rPr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334799">
              <w:rPr>
                <w:color w:val="000000" w:themeColor="text1"/>
                <w:sz w:val="22"/>
                <w:szCs w:val="22"/>
              </w:rPr>
              <w:t>Ф в целях кредитования АО «ДОМ.РФ»</w:t>
            </w:r>
          </w:p>
        </w:tc>
        <w:tc>
          <w:tcPr>
            <w:tcW w:w="5953" w:type="dxa"/>
          </w:tcPr>
          <w:p w14:paraId="5242BD38" w14:textId="26FD788E" w:rsidR="00A679DA" w:rsidRPr="00334799" w:rsidRDefault="00A679DA" w:rsidP="00A679DA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В соответствии с постановлением Правительства Российской Федерации от 19 января 2008 г. № 18 средства ФНБ в сумме 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>40 000,0 млн. рублей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>100,0 % показателя сводной росписи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) размещены на депозите в ВЭБ</w:t>
            </w:r>
            <w:proofErr w:type="gramStart"/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.Р</w:t>
            </w:r>
            <w:proofErr w:type="gramEnd"/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Ф в целях кредитования АО «ДОМ.РФ».</w:t>
            </w:r>
          </w:p>
        </w:tc>
      </w:tr>
      <w:tr w:rsidR="00A679DA" w:rsidRPr="00334799" w14:paraId="04D6A49C" w14:textId="77777777" w:rsidTr="00C97B98">
        <w:tc>
          <w:tcPr>
            <w:tcW w:w="3936" w:type="dxa"/>
          </w:tcPr>
          <w:p w14:paraId="78142610" w14:textId="77777777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в целях финансирования инфраструктурных проектов*</w:t>
            </w:r>
          </w:p>
        </w:tc>
        <w:tc>
          <w:tcPr>
            <w:tcW w:w="5953" w:type="dxa"/>
          </w:tcPr>
          <w:p w14:paraId="2428AE7C" w14:textId="77777777" w:rsidR="00A679DA" w:rsidRPr="00334799" w:rsidRDefault="00A679DA" w:rsidP="00A679DA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В соответствии с постановлениями Правительства Российской Федерации от 19 января 2008 г. № 18 и от 5 ноября 2013 г. № 990 средства ФНБ в сумме 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>48 250,0 млн. рублей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 размещены в следующие ценные бумаги, связанные с реализацией самоокупаемых инфраструктурных проектов, перечень которых утвержден распоряжением Правительства Российской Федерации от 5 ноября 2013 г. № 2044-р:</w:t>
            </w:r>
            <w:proofErr w:type="gramEnd"/>
          </w:p>
          <w:p w14:paraId="47BAA3C3" w14:textId="77777777" w:rsidR="00A679DA" w:rsidRPr="00334799" w:rsidRDefault="00A679DA" w:rsidP="00A679DA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- в облигации Государственной компании «Российские автомобильные дороги» в целях финансирования 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>инфраструктурного проекта «Центральная кольцевая автомобильная дорога (Московская область)»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, предусмотренного пунктом 1 указанного перечня, </w:t>
            </w:r>
            <w:r w:rsidRPr="00334799">
              <w:rPr>
                <w:bCs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 в сумме 27 750,0 млн. рублей (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>78,3 % показателя сводной росписи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);</w:t>
            </w:r>
          </w:p>
          <w:p w14:paraId="38508A4E" w14:textId="5E294C13" w:rsidR="00A679DA" w:rsidRPr="00334799" w:rsidRDefault="00A679DA" w:rsidP="00A679DA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- в привилегированные акции ОАО «РЖД» в целях финансирования 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>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, предусмотренного пунктом 2 указанного перечня, </w:t>
            </w:r>
            <w:r w:rsidRPr="00334799">
              <w:rPr>
                <w:bCs/>
                <w:color w:val="000000" w:themeColor="text1"/>
                <w:sz w:val="22"/>
                <w:szCs w:val="22"/>
                <w:lang w:eastAsia="en-US"/>
              </w:rPr>
              <w:t xml:space="preserve">– 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в сумме 20 500,0 млн. рублей (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>86,6 % показателя сводной росписи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).</w:t>
            </w:r>
          </w:p>
        </w:tc>
      </w:tr>
      <w:tr w:rsidR="00A679DA" w:rsidRPr="00334799" w14:paraId="5CDD1C00" w14:textId="77777777" w:rsidTr="00C97B98">
        <w:tc>
          <w:tcPr>
            <w:tcW w:w="3936" w:type="dxa"/>
          </w:tcPr>
          <w:p w14:paraId="3975B915" w14:textId="39CB7294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в целях приобретения обыкновенных акций ПАО Сбербанк</w:t>
            </w:r>
          </w:p>
        </w:tc>
        <w:tc>
          <w:tcPr>
            <w:tcW w:w="5953" w:type="dxa"/>
          </w:tcPr>
          <w:p w14:paraId="744A2E3F" w14:textId="52F0647D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В соответствии с Федеральным законом от 18 марта 2020 г. № 50-ФЗ и постановлением Правительства Российской Федерации от 19 января 2008 г. № 18 средства ФНБ в сумме 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2 139 435,7 млн. рублей 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(</w:t>
            </w:r>
            <w:r w:rsidRPr="00334799">
              <w:rPr>
                <w:b/>
                <w:color w:val="000000" w:themeColor="text1"/>
                <w:sz w:val="22"/>
                <w:szCs w:val="22"/>
                <w:lang w:eastAsia="en-US"/>
              </w:rPr>
              <w:t>99,7 % показателя сводной росписи</w:t>
            </w:r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) размещены в обыкновенные акции ПАО Сбербанк в количестве 11 293 474 001 штуки по средневзвешенной цене, определенной по результатам организованных торгов на ПАО «Московская Биржа</w:t>
            </w:r>
            <w:proofErr w:type="gramEnd"/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» за период с  9 марта 2020 г. по 7 апреля 2020 г., </w:t>
            </w:r>
            <w:proofErr w:type="gramStart"/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>составившей</w:t>
            </w:r>
            <w:proofErr w:type="gramEnd"/>
            <w:r w:rsidRPr="00334799">
              <w:rPr>
                <w:color w:val="000000" w:themeColor="text1"/>
                <w:sz w:val="22"/>
                <w:szCs w:val="22"/>
                <w:lang w:eastAsia="en-US"/>
              </w:rPr>
              <w:t xml:space="preserve"> 189,44 рублей за одну акцию.</w:t>
            </w:r>
          </w:p>
        </w:tc>
      </w:tr>
      <w:tr w:rsidR="00A679DA" w:rsidRPr="00334799" w14:paraId="39D2515C" w14:textId="77777777" w:rsidTr="00C97B98">
        <w:tc>
          <w:tcPr>
            <w:tcW w:w="3936" w:type="dxa"/>
          </w:tcPr>
          <w:p w14:paraId="31AC058D" w14:textId="3B41AC1D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lastRenderedPageBreak/>
              <w:t>2. Возвращено</w:t>
            </w:r>
          </w:p>
        </w:tc>
        <w:tc>
          <w:tcPr>
            <w:tcW w:w="5953" w:type="dxa"/>
          </w:tcPr>
          <w:p w14:paraId="2F5DBAC1" w14:textId="0CCFF384" w:rsidR="00A679DA" w:rsidRPr="00334799" w:rsidRDefault="00A679DA" w:rsidP="00A679D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42 113,4</w:t>
            </w:r>
          </w:p>
        </w:tc>
      </w:tr>
      <w:tr w:rsidR="00A679DA" w:rsidRPr="00334799" w14:paraId="58605D98" w14:textId="77777777" w:rsidTr="00C97B98">
        <w:tc>
          <w:tcPr>
            <w:tcW w:w="3936" w:type="dxa"/>
          </w:tcPr>
          <w:p w14:paraId="435906AF" w14:textId="08375FCA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с депозитов в ВЭБ</w:t>
            </w:r>
            <w:proofErr w:type="gramStart"/>
            <w:r w:rsidRPr="00334799">
              <w:rPr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334799">
              <w:rPr>
                <w:color w:val="000000" w:themeColor="text1"/>
                <w:sz w:val="22"/>
                <w:szCs w:val="22"/>
              </w:rPr>
              <w:t>Ф в целях финансирования проектов в реальном секторе экономики, реализуемых российскими организациями</w:t>
            </w:r>
          </w:p>
        </w:tc>
        <w:tc>
          <w:tcPr>
            <w:tcW w:w="5953" w:type="dxa"/>
          </w:tcPr>
          <w:p w14:paraId="587AC477" w14:textId="77777777" w:rsidR="00A679DA" w:rsidRPr="00334799" w:rsidRDefault="00A679DA" w:rsidP="00A679DA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ВЭБ</w:t>
            </w:r>
            <w:proofErr w:type="gramStart"/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Ф досрочно возвратил часть средств Фонда, размещенных на депозитах в 2016-2020 годах на общую сумму </w:t>
            </w:r>
            <w:r w:rsidRPr="00334799">
              <w:rPr>
                <w:rFonts w:eastAsia="Arial Unicode MS"/>
                <w:b/>
                <w:bCs/>
                <w:color w:val="000000" w:themeColor="text1"/>
                <w:sz w:val="22"/>
                <w:szCs w:val="22"/>
              </w:rPr>
              <w:t>2 113,4 млн. рублей</w:t>
            </w: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 в целях финансирования следующих проектов:</w:t>
            </w:r>
          </w:p>
          <w:p w14:paraId="78D00070" w14:textId="77777777" w:rsidR="00A679DA" w:rsidRPr="00334799" w:rsidRDefault="00A679DA" w:rsidP="00A679DA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- «Приобретение и предоставление во </w:t>
            </w:r>
            <w:proofErr w:type="gramStart"/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владение</w:t>
            </w:r>
            <w:proofErr w:type="gramEnd"/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 и пользование (лизинг) вагонов Московского метро» (КЖЦ-1) – в сумме 932,5 млн. рублей;</w:t>
            </w:r>
          </w:p>
          <w:p w14:paraId="49623A38" w14:textId="5EADC883" w:rsidR="00A679DA" w:rsidRPr="00334799" w:rsidRDefault="00A679DA" w:rsidP="00A679D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- «Приобретение и предоставление во </w:t>
            </w:r>
            <w:proofErr w:type="gramStart"/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владение</w:t>
            </w:r>
            <w:proofErr w:type="gramEnd"/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 и пользование (лизинг) вагонов Московского метро» (КЖЦ-2) – в сумме 1 180,9 млн. рублей.</w:t>
            </w:r>
          </w:p>
        </w:tc>
      </w:tr>
      <w:tr w:rsidR="00A679DA" w:rsidRPr="00334799" w14:paraId="52F23283" w14:textId="77777777" w:rsidTr="00AD1686">
        <w:tc>
          <w:tcPr>
            <w:tcW w:w="3936" w:type="dxa"/>
          </w:tcPr>
          <w:p w14:paraId="2988023F" w14:textId="546F25E2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с депозитов в ВЭБ</w:t>
            </w:r>
            <w:proofErr w:type="gramStart"/>
            <w:r w:rsidRPr="00334799">
              <w:rPr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334799">
              <w:rPr>
                <w:color w:val="000000" w:themeColor="text1"/>
                <w:sz w:val="22"/>
                <w:szCs w:val="22"/>
              </w:rPr>
              <w:t>Ф в целях кредитования АО «АИЖК» (с 2018 г. – АО «ДОМ.РФ»)</w:t>
            </w:r>
          </w:p>
        </w:tc>
        <w:tc>
          <w:tcPr>
            <w:tcW w:w="5953" w:type="dxa"/>
            <w:vAlign w:val="center"/>
          </w:tcPr>
          <w:p w14:paraId="304B4711" w14:textId="0A44C3F9" w:rsidR="00A679DA" w:rsidRPr="00334799" w:rsidRDefault="00A679DA" w:rsidP="00A679DA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33479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ВЭБ</w:t>
            </w:r>
            <w:proofErr w:type="gramStart"/>
            <w:r w:rsidRPr="0033479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33479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 xml:space="preserve">Ф возвратил средства ФНБ в сумме </w:t>
            </w:r>
            <w:r w:rsidRPr="00334799">
              <w:rPr>
                <w:rFonts w:ascii="Times New Roman CYR" w:hAnsi="Times New Roman CYR" w:cs="Times New Roman CYR"/>
                <w:b/>
                <w:color w:val="000000" w:themeColor="text1"/>
                <w:sz w:val="22"/>
                <w:szCs w:val="22"/>
              </w:rPr>
              <w:t>40 000,0 млн. рублей</w:t>
            </w:r>
            <w:r w:rsidRPr="0033479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, размещенные на депозитах в 2010-2011 гг. в соответствии с Федеральным законом от 13 октября 2008 г. № 173-ФЗ «О дополнительных мерах по поддержке финансовой системы Российской Федерации» и постановлением Правительства Российской Федерации от 19 января 2008 г. № 18 «О порядке управления средствами Фонда национального благосостояния» в целях кредитования АО «АИЖК» (с 2018 года – АО «ДОМ</w:t>
            </w:r>
            <w:proofErr w:type="gramStart"/>
            <w:r w:rsidRPr="0033479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33479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Ф»)</w:t>
            </w:r>
          </w:p>
        </w:tc>
      </w:tr>
      <w:tr w:rsidR="00A679DA" w:rsidRPr="00334799" w14:paraId="037594BD" w14:textId="77777777" w:rsidTr="00C97B98">
        <w:tc>
          <w:tcPr>
            <w:tcW w:w="3936" w:type="dxa"/>
          </w:tcPr>
          <w:p w14:paraId="3088B58A" w14:textId="77777777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с депозитов в целях финансирования инфраструктурных проектов</w:t>
            </w:r>
          </w:p>
        </w:tc>
        <w:tc>
          <w:tcPr>
            <w:tcW w:w="5953" w:type="dxa"/>
          </w:tcPr>
          <w:p w14:paraId="07A942D5" w14:textId="77777777" w:rsidR="00A679DA" w:rsidRPr="00334799" w:rsidRDefault="00A679DA" w:rsidP="00AA17D6">
            <w:pPr>
              <w:shd w:val="clear" w:color="auto" w:fill="FFFFFF"/>
              <w:spacing w:line="240" w:lineRule="auto"/>
              <w:ind w:left="0" w:right="34" w:firstLine="743"/>
              <w:jc w:val="center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  <w:tr w:rsidR="00A679DA" w:rsidRPr="00334799" w14:paraId="520014B9" w14:textId="77777777" w:rsidTr="00C97B98">
        <w:tc>
          <w:tcPr>
            <w:tcW w:w="3936" w:type="dxa"/>
          </w:tcPr>
          <w:p w14:paraId="50D7C258" w14:textId="77777777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>с депозитов в ВЭБ</w:t>
            </w:r>
            <w:proofErr w:type="gramStart"/>
            <w:r w:rsidRPr="00334799">
              <w:rPr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334799">
              <w:rPr>
                <w:color w:val="000000" w:themeColor="text1"/>
                <w:sz w:val="22"/>
                <w:szCs w:val="22"/>
              </w:rPr>
              <w:t>Ф, размещенных в соответствии с Федеральным законом от 13 октября 2008 г. № 173-ФЗ «О дополнительных мерах по поддержке финансовой системы Российской Федерации»</w:t>
            </w:r>
          </w:p>
        </w:tc>
        <w:tc>
          <w:tcPr>
            <w:tcW w:w="5953" w:type="dxa"/>
          </w:tcPr>
          <w:p w14:paraId="00477FD7" w14:textId="77777777" w:rsidR="00A679DA" w:rsidRPr="00334799" w:rsidRDefault="00A679DA" w:rsidP="00AA17D6">
            <w:pPr>
              <w:shd w:val="clear" w:color="auto" w:fill="FFFFFF"/>
              <w:spacing w:line="240" w:lineRule="auto"/>
              <w:ind w:left="0" w:right="34" w:firstLine="743"/>
              <w:jc w:val="center"/>
              <w:textAlignment w:val="top"/>
              <w:rPr>
                <w:rFonts w:eastAsia="Arial Unicode MS"/>
                <w:bCs/>
                <w:color w:val="000000" w:themeColor="text1"/>
                <w:sz w:val="22"/>
                <w:szCs w:val="22"/>
              </w:rPr>
            </w:pPr>
            <w:r w:rsidRPr="00334799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  <w:tr w:rsidR="00A679DA" w:rsidRPr="00334799" w14:paraId="01B2909D" w14:textId="77777777" w:rsidTr="00C97B98">
        <w:tc>
          <w:tcPr>
            <w:tcW w:w="3936" w:type="dxa"/>
          </w:tcPr>
          <w:p w14:paraId="6827F132" w14:textId="77777777" w:rsidR="00A679DA" w:rsidRPr="00334799" w:rsidRDefault="00A679DA" w:rsidP="00A679DA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2"/>
                <w:szCs w:val="22"/>
              </w:rPr>
            </w:pPr>
            <w:r w:rsidRPr="00334799">
              <w:rPr>
                <w:color w:val="000000" w:themeColor="text1"/>
                <w:sz w:val="22"/>
                <w:szCs w:val="22"/>
              </w:rPr>
              <w:t xml:space="preserve">Остатки средств ФНБ, </w:t>
            </w:r>
            <w:r w:rsidRPr="00334799">
              <w:rPr>
                <w:b/>
                <w:color w:val="000000" w:themeColor="text1"/>
                <w:sz w:val="22"/>
                <w:szCs w:val="22"/>
              </w:rPr>
              <w:t xml:space="preserve">размещенные в разрешенные финансовые активы </w:t>
            </w:r>
          </w:p>
          <w:p w14:paraId="5F5CFA48" w14:textId="76F9DF7F" w:rsidR="00A679DA" w:rsidRPr="00334799" w:rsidRDefault="00A679DA" w:rsidP="00A679DA">
            <w:pPr>
              <w:spacing w:line="240" w:lineRule="auto"/>
              <w:ind w:left="0" w:right="0" w:firstLine="0"/>
              <w:rPr>
                <w:color w:val="000000" w:themeColor="text1"/>
                <w:sz w:val="22"/>
                <w:szCs w:val="22"/>
              </w:rPr>
            </w:pPr>
            <w:r w:rsidRPr="00334799">
              <w:rPr>
                <w:b/>
                <w:color w:val="000000" w:themeColor="text1"/>
                <w:sz w:val="22"/>
                <w:szCs w:val="22"/>
              </w:rPr>
              <w:t xml:space="preserve">на 1 октября 2020 года </w:t>
            </w:r>
            <w:r w:rsidRPr="00334799">
              <w:rPr>
                <w:color w:val="000000" w:themeColor="text1"/>
                <w:sz w:val="22"/>
                <w:szCs w:val="22"/>
              </w:rPr>
              <w:t>(с учетом курсовой разницы)**</w:t>
            </w:r>
          </w:p>
        </w:tc>
        <w:tc>
          <w:tcPr>
            <w:tcW w:w="5953" w:type="dxa"/>
            <w:vAlign w:val="center"/>
          </w:tcPr>
          <w:p w14:paraId="0CFA844F" w14:textId="3E2F4849" w:rsidR="00A679DA" w:rsidRPr="00334799" w:rsidRDefault="00A679DA" w:rsidP="00A679DA">
            <w:pPr>
              <w:ind w:left="0" w:firstLine="33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</w:pPr>
            <w:r w:rsidRPr="0033479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4 387 135,2</w:t>
            </w:r>
          </w:p>
        </w:tc>
      </w:tr>
    </w:tbl>
    <w:p w14:paraId="63695065" w14:textId="2ED9C97A" w:rsidR="0022722C" w:rsidRPr="00334799" w:rsidRDefault="0022722C" w:rsidP="0022722C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proofErr w:type="gramStart"/>
      <w:r w:rsidRPr="00334799">
        <w:rPr>
          <w:color w:val="000000" w:themeColor="text1"/>
          <w:sz w:val="20"/>
          <w:szCs w:val="20"/>
          <w:lang w:eastAsia="en-US"/>
        </w:rPr>
        <w:t>* Н</w:t>
      </w:r>
      <w:r w:rsidRPr="00334799">
        <w:rPr>
          <w:color w:val="000000" w:themeColor="text1"/>
          <w:sz w:val="20"/>
          <w:szCs w:val="20"/>
        </w:rPr>
        <w:t>а основании статьи 96</w:t>
      </w:r>
      <w:r w:rsidRPr="00334799">
        <w:rPr>
          <w:color w:val="000000" w:themeColor="text1"/>
          <w:sz w:val="20"/>
          <w:szCs w:val="20"/>
          <w:vertAlign w:val="superscript"/>
        </w:rPr>
        <w:t xml:space="preserve">11 </w:t>
      </w:r>
      <w:r w:rsidRPr="00334799">
        <w:rPr>
          <w:color w:val="000000" w:themeColor="text1"/>
          <w:sz w:val="20"/>
          <w:szCs w:val="20"/>
        </w:rPr>
        <w:t xml:space="preserve">Бюджетного кодекса Российской Федерации и постановления Правительства Российской Федерации от 19 января 2008 г. № 18 «О порядке управления средствами Фонда национального благосостояния» </w:t>
      </w:r>
      <w:r w:rsidRPr="00334799">
        <w:rPr>
          <w:b/>
          <w:color w:val="000000" w:themeColor="text1"/>
          <w:sz w:val="20"/>
          <w:szCs w:val="20"/>
        </w:rPr>
        <w:t xml:space="preserve">в связи с планируемым размещением </w:t>
      </w:r>
      <w:r w:rsidRPr="00334799">
        <w:rPr>
          <w:color w:val="000000" w:themeColor="text1"/>
          <w:sz w:val="20"/>
          <w:szCs w:val="20"/>
        </w:rPr>
        <w:t>средств Фонда</w:t>
      </w:r>
      <w:r w:rsidRPr="00334799">
        <w:rPr>
          <w:b/>
          <w:color w:val="000000" w:themeColor="text1"/>
          <w:sz w:val="20"/>
          <w:szCs w:val="20"/>
        </w:rPr>
        <w:t xml:space="preserve"> </w:t>
      </w:r>
      <w:r w:rsidRPr="00334799">
        <w:rPr>
          <w:color w:val="000000" w:themeColor="text1"/>
          <w:sz w:val="20"/>
          <w:szCs w:val="20"/>
        </w:rPr>
        <w:t xml:space="preserve">национального благосостояния показатели сводной бюджетной росписи по источникам финансирования дефицита федерального бюджета увеличены на </w:t>
      </w:r>
      <w:r w:rsidRPr="00334799">
        <w:rPr>
          <w:b/>
          <w:color w:val="000000" w:themeColor="text1"/>
          <w:sz w:val="20"/>
          <w:szCs w:val="20"/>
        </w:rPr>
        <w:t>2 257 883,6 млн. рублей</w:t>
      </w:r>
      <w:r w:rsidRPr="00334799">
        <w:rPr>
          <w:color w:val="000000" w:themeColor="text1"/>
          <w:sz w:val="20"/>
          <w:szCs w:val="20"/>
        </w:rPr>
        <w:t>, из них:</w:t>
      </w:r>
      <w:proofErr w:type="gramEnd"/>
    </w:p>
    <w:p w14:paraId="0A35F216" w14:textId="77777777" w:rsidR="00A679DA" w:rsidRPr="00334799" w:rsidRDefault="00A679DA" w:rsidP="00A679DA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334799">
        <w:rPr>
          <w:color w:val="000000" w:themeColor="text1"/>
          <w:sz w:val="20"/>
          <w:szCs w:val="20"/>
        </w:rPr>
        <w:t>- в целях финансирования самоокупаемого инфраструктурного проекта «Центральная кольцевая автомобильная дорога (Московская область)» на 35 433,8 млн. рублей;</w:t>
      </w:r>
    </w:p>
    <w:p w14:paraId="5294E8F1" w14:textId="77777777" w:rsidR="00A679DA" w:rsidRPr="00334799" w:rsidRDefault="00A679DA" w:rsidP="00A679DA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334799">
        <w:rPr>
          <w:color w:val="000000" w:themeColor="text1"/>
          <w:sz w:val="20"/>
          <w:szCs w:val="20"/>
        </w:rPr>
        <w:t>- в целях финансирования проектов ВЭБ</w:t>
      </w:r>
      <w:proofErr w:type="gramStart"/>
      <w:r w:rsidRPr="00334799">
        <w:rPr>
          <w:color w:val="000000" w:themeColor="text1"/>
          <w:sz w:val="20"/>
          <w:szCs w:val="20"/>
        </w:rPr>
        <w:t>.Р</w:t>
      </w:r>
      <w:proofErr w:type="gramEnd"/>
      <w:r w:rsidRPr="00334799">
        <w:rPr>
          <w:color w:val="000000" w:themeColor="text1"/>
          <w:sz w:val="20"/>
          <w:szCs w:val="20"/>
        </w:rPr>
        <w:t>Ф на 13 014,1 млн. рублей;</w:t>
      </w:r>
    </w:p>
    <w:p w14:paraId="35B9532C" w14:textId="77777777" w:rsidR="00A679DA" w:rsidRPr="00334799" w:rsidRDefault="00A679DA" w:rsidP="00A679DA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334799">
        <w:rPr>
          <w:color w:val="000000" w:themeColor="text1"/>
          <w:sz w:val="20"/>
          <w:szCs w:val="20"/>
        </w:rPr>
        <w:t>- в целях размещения средств ФНБ в обыкновенные акции ПАО Сбербанк на 2 145 760,0 млн. рублей;</w:t>
      </w:r>
    </w:p>
    <w:p w14:paraId="21B88EDC" w14:textId="77777777" w:rsidR="00A679DA" w:rsidRPr="00334799" w:rsidRDefault="00A679DA" w:rsidP="00A679DA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334799">
        <w:rPr>
          <w:color w:val="000000" w:themeColor="text1"/>
          <w:sz w:val="20"/>
          <w:szCs w:val="20"/>
        </w:rPr>
        <w:t>- в целях финансирования самоокупаемого 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 на 23 675,7 млн. рублей;</w:t>
      </w:r>
    </w:p>
    <w:p w14:paraId="404D5986" w14:textId="77777777" w:rsidR="00A679DA" w:rsidRPr="00334799" w:rsidRDefault="00A679DA" w:rsidP="00A679DA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334799">
        <w:rPr>
          <w:color w:val="000000" w:themeColor="text1"/>
          <w:sz w:val="20"/>
          <w:szCs w:val="20"/>
        </w:rPr>
        <w:t>- в целях размещения средств ФНБ на депозит в ВЭБ</w:t>
      </w:r>
      <w:proofErr w:type="gramStart"/>
      <w:r w:rsidRPr="00334799">
        <w:rPr>
          <w:color w:val="000000" w:themeColor="text1"/>
          <w:sz w:val="20"/>
          <w:szCs w:val="20"/>
        </w:rPr>
        <w:t>.Р</w:t>
      </w:r>
      <w:proofErr w:type="gramEnd"/>
      <w:r w:rsidRPr="00334799">
        <w:rPr>
          <w:color w:val="000000" w:themeColor="text1"/>
          <w:sz w:val="20"/>
          <w:szCs w:val="20"/>
        </w:rPr>
        <w:t xml:space="preserve">Ф для кредитования АО «ДОМ.РФ» на </w:t>
      </w:r>
      <w:r w:rsidRPr="00334799">
        <w:rPr>
          <w:color w:val="000000" w:themeColor="text1"/>
          <w:sz w:val="20"/>
          <w:szCs w:val="20"/>
        </w:rPr>
        <w:br/>
        <w:t>40 000,0 млн. рублей.</w:t>
      </w:r>
    </w:p>
    <w:p w14:paraId="72704E15" w14:textId="77777777" w:rsidR="00A679DA" w:rsidRPr="00334799" w:rsidRDefault="00A679DA" w:rsidP="00A679DA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334799">
        <w:rPr>
          <w:color w:val="000000" w:themeColor="text1"/>
          <w:sz w:val="20"/>
          <w:szCs w:val="20"/>
        </w:rPr>
        <w:t xml:space="preserve">**Положительная курсовая разница по указанным средствам составила 126 466,6 млн. рублей. </w:t>
      </w:r>
      <w:proofErr w:type="gramStart"/>
      <w:r w:rsidRPr="00334799">
        <w:rPr>
          <w:color w:val="000000" w:themeColor="text1"/>
          <w:sz w:val="20"/>
          <w:szCs w:val="20"/>
        </w:rPr>
        <w:t>Рыночная стоимость приобретенного пакета акций ПАО Сбербанк, рассчитанная на основании средневзвешенной цены акций, определенной по результатам организованных торгов на ПАО «Московская Биржа» за 30 сентября 2020 года, составила 2 567 797,2 млн. рублей и увеличилась на 428 361,5 млн. рублей по сравнению с объемом средств ФНБ, направленных на покупку указанных акций.</w:t>
      </w:r>
      <w:proofErr w:type="gramEnd"/>
    </w:p>
    <w:p w14:paraId="75432BAA" w14:textId="77777777" w:rsidR="006E27C0" w:rsidRPr="00334799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</w:p>
    <w:p w14:paraId="2CEEFCCA" w14:textId="77777777" w:rsidR="00AB62C7" w:rsidRPr="00334799" w:rsidRDefault="00AB62C7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br w:type="page"/>
      </w:r>
    </w:p>
    <w:p w14:paraId="676497BD" w14:textId="77777777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lastRenderedPageBreak/>
        <w:t>Таблица 6</w:t>
      </w:r>
    </w:p>
    <w:p w14:paraId="191E1D02" w14:textId="77777777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334B860E" w14:textId="6538A589" w:rsidR="00EE6473" w:rsidRPr="00334799" w:rsidRDefault="00EE6473" w:rsidP="00EE6473">
      <w:pPr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>Сведения об изменении объема и структуры государственного внутреннего долга Российской Федерации за январь</w:t>
      </w:r>
      <w:r w:rsidR="00726B0E" w:rsidRPr="00334799">
        <w:rPr>
          <w:b/>
          <w:color w:val="000000" w:themeColor="text1"/>
          <w:sz w:val="24"/>
          <w:szCs w:val="24"/>
        </w:rPr>
        <w:t xml:space="preserve"> </w:t>
      </w:r>
      <w:r w:rsidRPr="00334799">
        <w:rPr>
          <w:b/>
          <w:color w:val="000000" w:themeColor="text1"/>
          <w:sz w:val="24"/>
          <w:szCs w:val="24"/>
        </w:rPr>
        <w:t>-</w:t>
      </w:r>
      <w:r w:rsidR="00726B0E" w:rsidRPr="00334799">
        <w:rPr>
          <w:b/>
          <w:color w:val="000000" w:themeColor="text1"/>
          <w:sz w:val="24"/>
          <w:szCs w:val="24"/>
        </w:rPr>
        <w:t xml:space="preserve"> </w:t>
      </w:r>
      <w:r w:rsidR="00A679DA" w:rsidRPr="00334799">
        <w:rPr>
          <w:b/>
          <w:color w:val="000000" w:themeColor="text1"/>
          <w:sz w:val="24"/>
          <w:szCs w:val="24"/>
        </w:rPr>
        <w:t>сентябрь</w:t>
      </w:r>
      <w:r w:rsidRPr="00334799">
        <w:rPr>
          <w:b/>
          <w:color w:val="000000" w:themeColor="text1"/>
          <w:sz w:val="24"/>
          <w:szCs w:val="24"/>
        </w:rPr>
        <w:t xml:space="preserve"> 2020 год</w:t>
      </w:r>
      <w:r w:rsidR="000E5F9B" w:rsidRPr="00334799">
        <w:rPr>
          <w:b/>
          <w:color w:val="000000" w:themeColor="text1"/>
          <w:sz w:val="24"/>
          <w:szCs w:val="24"/>
        </w:rPr>
        <w:t>а</w:t>
      </w:r>
    </w:p>
    <w:p w14:paraId="7362A6FE" w14:textId="6A5A97D4" w:rsidR="00EE6473" w:rsidRPr="00334799" w:rsidRDefault="00EE6473" w:rsidP="00EE6473">
      <w:pPr>
        <w:overflowPunct/>
        <w:autoSpaceDE/>
        <w:autoSpaceDN/>
        <w:adjustRightInd/>
        <w:spacing w:after="120" w:line="240" w:lineRule="auto"/>
        <w:ind w:left="0" w:right="0"/>
        <w:jc w:val="right"/>
        <w:textAlignment w:val="auto"/>
        <w:rPr>
          <w:color w:val="000000" w:themeColor="text1"/>
          <w:sz w:val="18"/>
          <w:szCs w:val="16"/>
        </w:rPr>
      </w:pPr>
      <w:r w:rsidRPr="00334799">
        <w:rPr>
          <w:color w:val="000000" w:themeColor="text1"/>
          <w:sz w:val="18"/>
          <w:szCs w:val="16"/>
        </w:rPr>
        <w:t>(млрд. рублей)</w:t>
      </w:r>
    </w:p>
    <w:tbl>
      <w:tblPr>
        <w:tblW w:w="992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7"/>
        <w:gridCol w:w="1134"/>
        <w:gridCol w:w="1260"/>
        <w:gridCol w:w="1100"/>
        <w:gridCol w:w="1220"/>
        <w:gridCol w:w="940"/>
        <w:gridCol w:w="709"/>
        <w:gridCol w:w="992"/>
      </w:tblGrid>
      <w:tr w:rsidR="00A679DA" w:rsidRPr="00334799" w14:paraId="17BCFC0C" w14:textId="77777777" w:rsidTr="00AD1686">
        <w:trPr>
          <w:trHeight w:val="635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8049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66AE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государственного внутреннего долга Российской Федерации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0C36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35C8" w14:textId="4C4F47A1" w:rsidR="00156DE9" w:rsidRPr="00334799" w:rsidRDefault="00156DE9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Изменение</w:t>
            </w:r>
            <w:proofErr w:type="gram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( +/-) </w:t>
            </w: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gramEnd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за январь-</w:t>
            </w:r>
            <w:r w:rsidR="00A679DA"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сентябрь</w:t>
            </w: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2020 год</w:t>
            </w:r>
          </w:p>
        </w:tc>
      </w:tr>
      <w:tr w:rsidR="00A679DA" w:rsidRPr="00334799" w14:paraId="2842A7E4" w14:textId="77777777" w:rsidTr="00AD1686">
        <w:trPr>
          <w:trHeight w:val="57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094A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26D0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C59E" w14:textId="1E9FBE49" w:rsidR="00156DE9" w:rsidRPr="00334799" w:rsidRDefault="00156DE9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A679DA"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октября</w:t>
            </w: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2020 года*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FFE4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77DE" w14:textId="11E7C3EE" w:rsidR="00156DE9" w:rsidRPr="00334799" w:rsidRDefault="00156DE9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A679DA"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октября</w:t>
            </w: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2020 года*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3ACD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C70A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B6E7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процент-</w:t>
            </w:r>
            <w:proofErr w:type="spell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A679DA" w:rsidRPr="00334799" w14:paraId="382FAF32" w14:textId="77777777" w:rsidTr="00AD1686">
        <w:trPr>
          <w:trHeight w:val="57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A5DB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75BC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8975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3760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50F8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8ED91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CBB7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DEA9" w14:textId="77777777" w:rsidR="00156DE9" w:rsidRPr="00334799" w:rsidRDefault="00156DE9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A679DA" w:rsidRPr="00334799" w14:paraId="02C93882" w14:textId="77777777" w:rsidTr="00AD168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D4AD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Государственный внутренний долг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BBD93" w14:textId="395FFFCF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10 171,9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48A3F" w14:textId="29672F0F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12 402,3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83E31" w14:textId="77777777" w:rsidR="00A679DA" w:rsidRPr="00334799" w:rsidRDefault="00A679DA" w:rsidP="00A679D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6DD8E" w14:textId="77777777" w:rsidR="00A679DA" w:rsidRPr="00334799" w:rsidRDefault="00A679DA" w:rsidP="00A679D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5EE3" w14:textId="68D97FEA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2 230,4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AFD2F" w14:textId="408DFBD9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E24A" w14:textId="7B706766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A679DA" w:rsidRPr="00334799" w14:paraId="75A36AA6" w14:textId="77777777" w:rsidTr="00AD168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7E02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1. Государственные ценные бумаги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0811" w14:textId="646B7D28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9 331,4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4FF7" w14:textId="3729E339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11 657,1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7DC4" w14:textId="370B891C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3832C" w14:textId="6CC4000B" w:rsidR="00A679DA" w:rsidRPr="00334799" w:rsidRDefault="00A679DA" w:rsidP="00A679D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94,0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06F4" w14:textId="31BE949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2 325,7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7B8F" w14:textId="65B74ABE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7EA46" w14:textId="050C58BB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2,3</w:t>
            </w:r>
          </w:p>
        </w:tc>
      </w:tr>
      <w:tr w:rsidR="00A679DA" w:rsidRPr="00334799" w14:paraId="57E98B82" w14:textId="77777777" w:rsidTr="00AD168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5FBD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в том числе в структуре государственных ценных бумаг: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8BD6" w14:textId="3ED068C9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50BC" w14:textId="1EA7E4C1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AF46C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F8896" w14:textId="77777777" w:rsidR="00A679DA" w:rsidRPr="00334799" w:rsidRDefault="00A679DA" w:rsidP="00A679D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A28E" w14:textId="4B271551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070A" w14:textId="2F652E53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E23A" w14:textId="6F380999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A679DA" w:rsidRPr="00334799" w14:paraId="7ED44D26" w14:textId="77777777" w:rsidTr="00AD1686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DC29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федеральных займов с постоянной ставкой купонного дохода (ОФЗ-ПД)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D3E1" w14:textId="34356456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6 474,7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476B" w14:textId="4AE67C69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7 873,3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7DD6" w14:textId="31B9F540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69,4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236E" w14:textId="667272F1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67,5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FEA3" w14:textId="3CFC8658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1 398,6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9E97" w14:textId="1CDC89DB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C593" w14:textId="6F84F736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-1,8</w:t>
            </w:r>
          </w:p>
        </w:tc>
      </w:tr>
      <w:tr w:rsidR="00A679DA" w:rsidRPr="00334799" w14:paraId="34A1E801" w14:textId="77777777" w:rsidTr="00AD1686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A636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переменным купоном (ОФЗ-ПК)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45BF" w14:textId="15AA57EB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1 713,9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B24F" w14:textId="488C6D82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2 580,9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7FB3" w14:textId="3A6E5998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18,4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F1BC" w14:textId="014AC319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22,1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8EF0" w14:textId="13AEE4C1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867,0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7EA0" w14:textId="57C74F56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C07B" w14:textId="4B83568B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3,8</w:t>
            </w:r>
          </w:p>
        </w:tc>
      </w:tr>
      <w:tr w:rsidR="00A679DA" w:rsidRPr="00334799" w14:paraId="63ED7EC7" w14:textId="77777777" w:rsidTr="00AD1686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467B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амортизацией долга (ОФЗ-АД)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A789" w14:textId="6397F074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345,0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1E38" w14:textId="6090AC2C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315,5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0FF3" w14:textId="4BFC8223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D3AA" w14:textId="3607A629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FA4D" w14:textId="2D4745FF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-29,5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11C6" w14:textId="36D2786A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-8,5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9C72" w14:textId="2F44C0C1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-1,0</w:t>
            </w:r>
          </w:p>
        </w:tc>
      </w:tr>
      <w:tr w:rsidR="00A679DA" w:rsidRPr="00334799" w14:paraId="56DFA0A6" w14:textId="77777777" w:rsidTr="00AD1686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8F6E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индексируемым номиналом (ОФЗ-ИН)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4176" w14:textId="4948AAFB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371,2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FED2" w14:textId="7D970420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489,1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7858C" w14:textId="2C28A44C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B1BBB" w14:textId="1128864B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4,2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C6E6" w14:textId="608CF61B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117,9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4A08" w14:textId="60E4B72F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F04FF" w14:textId="6090DBE8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0,2</w:t>
            </w:r>
          </w:p>
        </w:tc>
      </w:tr>
      <w:tr w:rsidR="00A679DA" w:rsidRPr="00334799" w14:paraId="4D25FD13" w14:textId="77777777" w:rsidTr="00AD1686">
        <w:trPr>
          <w:trHeight w:val="2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D70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постоянной процентной ставкой (ГСО-ППС)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096C" w14:textId="36E91CAA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581D" w14:textId="42FB036B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2F3E" w14:textId="633C6FC3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4E24" w14:textId="1425177F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9537" w14:textId="060EC7A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4C86" w14:textId="354429FA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9FF2" w14:textId="2D815173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-0,5</w:t>
            </w:r>
          </w:p>
        </w:tc>
      </w:tr>
      <w:tr w:rsidR="00A679DA" w:rsidRPr="00334799" w14:paraId="14037C92" w14:textId="77777777" w:rsidTr="00AD1686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ACFA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фиксированной процентной ставкой купонного дохода (ГСО-ФПС)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BBF4" w14:textId="0D1B895E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3DE9" w14:textId="467BBF23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8C4F3" w14:textId="559BBACF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865AF" w14:textId="71A12A75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1C863" w14:textId="0779CDD0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14153" w14:textId="3D9FCBF3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3F24F" w14:textId="1A1CE1D3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-0,3</w:t>
            </w:r>
          </w:p>
        </w:tc>
      </w:tr>
      <w:tr w:rsidR="00A679DA" w:rsidRPr="00334799" w14:paraId="43EA85A8" w14:textId="77777777" w:rsidTr="00AD1686">
        <w:trPr>
          <w:trHeight w:val="26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EA588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облигации федерального займа для населения (ОФЗ-н)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50F5" w14:textId="44B32206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64,2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BF31" w14:textId="09D5D1C6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36,0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7BC4" w14:textId="4858917A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2D42F" w14:textId="745B65AF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0,3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301F0" w14:textId="79DAB58E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-28,2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E3F90" w14:textId="3CDDFAFE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-44,0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3606" w14:textId="3B9DA7ED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color w:val="000000" w:themeColor="text1"/>
                <w:sz w:val="16"/>
                <w:szCs w:val="16"/>
              </w:rPr>
              <w:t>-0,4</w:t>
            </w:r>
          </w:p>
        </w:tc>
      </w:tr>
      <w:tr w:rsidR="00A679DA" w:rsidRPr="00334799" w14:paraId="4389BC9C" w14:textId="77777777" w:rsidTr="00AD1686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5314" w14:textId="77777777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2. Государственные гарантии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DFF6" w14:textId="73F1A462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840,5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B4F6" w14:textId="5C3599D2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745,2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C1DFA" w14:textId="2C8FD81A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8,3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ED25" w14:textId="42F5A871" w:rsidR="00A679DA" w:rsidRPr="00334799" w:rsidRDefault="00A679DA" w:rsidP="00A679DA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6,0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45871" w14:textId="2A851663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1C324" w14:textId="1BC002BB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7F8A0" w14:textId="0D3A7916" w:rsidR="00A679DA" w:rsidRPr="00334799" w:rsidRDefault="00A679DA" w:rsidP="00A679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-2,3</w:t>
            </w:r>
          </w:p>
        </w:tc>
      </w:tr>
    </w:tbl>
    <w:p w14:paraId="4A71963D" w14:textId="77777777" w:rsidR="00EE6473" w:rsidRPr="00334799" w:rsidRDefault="00EE6473" w:rsidP="00EE6473">
      <w:pPr>
        <w:overflowPunct/>
        <w:autoSpaceDE/>
        <w:autoSpaceDN/>
        <w:adjustRightInd/>
        <w:spacing w:line="240" w:lineRule="auto"/>
        <w:ind w:left="0" w:right="-2"/>
        <w:jc w:val="left"/>
        <w:textAlignment w:val="auto"/>
        <w:rPr>
          <w:color w:val="000000" w:themeColor="text1"/>
          <w:sz w:val="20"/>
          <w:szCs w:val="24"/>
        </w:rPr>
      </w:pPr>
      <w:r w:rsidRPr="00334799">
        <w:rPr>
          <w:color w:val="000000" w:themeColor="text1"/>
          <w:sz w:val="20"/>
          <w:szCs w:val="24"/>
        </w:rPr>
        <w:t xml:space="preserve">* Данные официального сайта Минфина России. </w:t>
      </w:r>
    </w:p>
    <w:p w14:paraId="7C509886" w14:textId="77777777" w:rsidR="00EE6473" w:rsidRPr="00334799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br w:type="page"/>
      </w:r>
    </w:p>
    <w:p w14:paraId="3AF83F8C" w14:textId="620F25BE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lastRenderedPageBreak/>
        <w:t>Таблица 7</w:t>
      </w:r>
    </w:p>
    <w:p w14:paraId="60AAA2DE" w14:textId="77777777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65207669" w14:textId="77777777" w:rsidR="000E5F9B" w:rsidRPr="00334799" w:rsidRDefault="000E5F9B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>Анализ исполнения</w:t>
      </w:r>
      <w:r w:rsidR="00EE6473" w:rsidRPr="00334799">
        <w:rPr>
          <w:b/>
          <w:color w:val="000000" w:themeColor="text1"/>
          <w:sz w:val="24"/>
          <w:szCs w:val="24"/>
        </w:rPr>
        <w:t xml:space="preserve"> </w:t>
      </w:r>
    </w:p>
    <w:p w14:paraId="02E211B2" w14:textId="77777777" w:rsidR="000E5F9B" w:rsidRPr="00334799" w:rsidRDefault="00EE6473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Программы государственных гарантий Российской Федерации </w:t>
      </w:r>
    </w:p>
    <w:p w14:paraId="612863B6" w14:textId="21B7C4F4" w:rsidR="000E5F9B" w:rsidRPr="00334799" w:rsidRDefault="00EE6473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в валюте Российской Федерации на 2020 год и на плановый период 2021 и 2022 годов </w:t>
      </w:r>
      <w:r w:rsidR="000E5F9B" w:rsidRPr="00334799">
        <w:rPr>
          <w:b/>
          <w:color w:val="000000" w:themeColor="text1"/>
          <w:sz w:val="24"/>
          <w:szCs w:val="24"/>
        </w:rPr>
        <w:t xml:space="preserve">за январь - </w:t>
      </w:r>
      <w:r w:rsidR="00A679DA" w:rsidRPr="00334799">
        <w:rPr>
          <w:b/>
          <w:color w:val="000000" w:themeColor="text1"/>
          <w:sz w:val="24"/>
          <w:szCs w:val="24"/>
        </w:rPr>
        <w:t>сентябрь</w:t>
      </w:r>
      <w:r w:rsidR="000E5F9B" w:rsidRPr="00334799">
        <w:rPr>
          <w:b/>
          <w:color w:val="000000" w:themeColor="text1"/>
          <w:sz w:val="24"/>
          <w:szCs w:val="24"/>
        </w:rPr>
        <w:t xml:space="preserve"> 2020 года</w:t>
      </w:r>
    </w:p>
    <w:p w14:paraId="220B83F5" w14:textId="4A0C600B" w:rsidR="00A679DA" w:rsidRPr="00334799" w:rsidRDefault="00A679DA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</w:p>
    <w:tbl>
      <w:tblPr>
        <w:tblW w:w="9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05"/>
        <w:gridCol w:w="1630"/>
        <w:gridCol w:w="1247"/>
        <w:gridCol w:w="1672"/>
      </w:tblGrid>
      <w:tr w:rsidR="00334799" w:rsidRPr="00334799" w14:paraId="0BB72108" w14:textId="77777777" w:rsidTr="00217CE7">
        <w:trPr>
          <w:trHeight w:val="1719"/>
          <w:tblHeader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86F9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Цель гарантирования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F571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Предусмотрено Программой государственных гарантий Российской Федерации в валюте Российской Федерации на 2020 год и на плановый период 2021 и 2022 годов, в части 2020 года (Федеральный закон № 380-ФЗ)</w:t>
            </w:r>
          </w:p>
          <w:p w14:paraId="4B2BDAF9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strike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93D4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Исполнение</w:t>
            </w: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br/>
              <w:t xml:space="preserve"> на 1 октября 2020 года</w:t>
            </w:r>
          </w:p>
          <w:p w14:paraId="78EC2552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strike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BDFE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Исполнение,</w:t>
            </w:r>
          </w:p>
          <w:p w14:paraId="18656EDA" w14:textId="10FCD7BC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% (раз)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4FCE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Предоставленные государственные гарантии, </w:t>
            </w:r>
          </w:p>
          <w:p w14:paraId="51B44490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</w:tr>
      <w:tr w:rsidR="00334799" w:rsidRPr="00334799" w14:paraId="4ABDF492" w14:textId="77777777" w:rsidTr="00365A95">
        <w:trPr>
          <w:trHeight w:val="155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19DF" w14:textId="77777777" w:rsidR="00365A95" w:rsidRPr="00334799" w:rsidRDefault="00365A95" w:rsidP="009E09B2">
            <w:pPr>
              <w:spacing w:line="240" w:lineRule="auto"/>
              <w:ind w:left="0" w:right="0" w:firstLine="0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По кредитам либо облигационным займам, привлекаемым юридическими лицами на цели, установленные Правительством Российской Федерации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7ECA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30 000,0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F722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70 000,0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C0D2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в 2,3 раза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20AB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</w:tr>
      <w:tr w:rsidR="00334799" w:rsidRPr="00334799" w14:paraId="443EE512" w14:textId="77777777" w:rsidTr="00365A95">
        <w:trPr>
          <w:trHeight w:val="313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C6492" w14:textId="77777777" w:rsidR="00365A95" w:rsidRPr="00334799" w:rsidRDefault="00365A95" w:rsidP="009E09B2">
            <w:pPr>
              <w:spacing w:line="240" w:lineRule="auto"/>
              <w:ind w:left="0" w:right="0" w:firstLine="0"/>
              <w:jc w:val="left"/>
              <w:textAlignment w:val="auto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2596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eastAsia="en-US"/>
              </w:rPr>
              <w:t>30 000,0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6D27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eastAsia="en-US"/>
              </w:rPr>
              <w:t>70 000,0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0F38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в 2,3 раза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849B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</w:tr>
      <w:tr w:rsidR="00334799" w:rsidRPr="00334799" w14:paraId="6EE29B0B" w14:textId="77777777" w:rsidTr="00365A95">
        <w:trPr>
          <w:trHeight w:val="313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B506" w14:textId="2B802B05" w:rsidR="00365A95" w:rsidRPr="00334799" w:rsidRDefault="00365A95" w:rsidP="009E09B2">
            <w:pPr>
              <w:spacing w:line="240" w:lineRule="auto"/>
              <w:ind w:left="0" w:right="0" w:firstLine="0"/>
              <w:jc w:val="left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по обязательствам российских юридических лиц по удовлетворению требований государственной корпорации развития «ВЭБ</w:t>
            </w:r>
            <w:proofErr w:type="gramStart"/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.Р</w:t>
            </w:r>
            <w:proofErr w:type="gramEnd"/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Ф», возникающих в связи с исполнением поручительств государственной корпорации развития «ВЭБ.РФ»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824C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2F2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eastAsia="en-US"/>
              </w:rPr>
              <w:t>220 000,0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FC25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F40F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</w:tr>
      <w:tr w:rsidR="00334799" w:rsidRPr="00334799" w14:paraId="335E1B87" w14:textId="77777777" w:rsidTr="00365A95">
        <w:trPr>
          <w:trHeight w:val="313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ECA9" w14:textId="77777777" w:rsidR="00365A95" w:rsidRPr="00334799" w:rsidRDefault="00365A95" w:rsidP="009E09B2">
            <w:pPr>
              <w:spacing w:line="240" w:lineRule="auto"/>
              <w:ind w:left="0" w:right="0" w:firstLine="0"/>
              <w:textAlignment w:val="auto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eastAsia="en-US"/>
              </w:rPr>
              <w:t>Бюджетные ассигнования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C605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905F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6A79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7541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334799" w:rsidRPr="00334799" w14:paraId="6DB6ACC4" w14:textId="77777777" w:rsidTr="00365A95">
        <w:trPr>
          <w:trHeight w:val="313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C683" w14:textId="77777777" w:rsidR="00365A95" w:rsidRPr="00334799" w:rsidRDefault="00365A95" w:rsidP="009E09B2">
            <w:pPr>
              <w:spacing w:line="240" w:lineRule="auto"/>
              <w:ind w:left="0" w:right="0" w:firstLine="0"/>
              <w:jc w:val="left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за счет расходов федерального бюджета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5978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9 323,8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F88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7F90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71E7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334799" w:rsidRPr="00334799" w14:paraId="760EA751" w14:textId="77777777" w:rsidTr="00365A95">
        <w:trPr>
          <w:trHeight w:val="313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D32B" w14:textId="77777777" w:rsidR="00365A95" w:rsidRPr="00334799" w:rsidRDefault="00365A95" w:rsidP="009E09B2">
            <w:pPr>
              <w:spacing w:line="240" w:lineRule="auto"/>
              <w:ind w:left="0" w:right="0" w:firstLine="0"/>
              <w:jc w:val="left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C4C2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38 894,8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B839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color w:val="000000" w:themeColor="text1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0C39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334799">
              <w:rPr>
                <w:bCs/>
                <w:color w:val="000000" w:themeColor="text1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8BF2" w14:textId="77777777" w:rsidR="00365A95" w:rsidRPr="00334799" w:rsidRDefault="00365A95" w:rsidP="009E09B2">
            <w:pPr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6F3C0275" w14:textId="77777777" w:rsidR="00EE6473" w:rsidRPr="00334799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br w:type="page"/>
      </w:r>
    </w:p>
    <w:p w14:paraId="6C372662" w14:textId="77777777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lastRenderedPageBreak/>
        <w:t>Таблица 8</w:t>
      </w:r>
    </w:p>
    <w:p w14:paraId="1AC85C63" w14:textId="77777777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138D1344" w14:textId="3C6FAD9A" w:rsidR="00EE6473" w:rsidRPr="00334799" w:rsidRDefault="00EE6473" w:rsidP="00EE6473">
      <w:pPr>
        <w:widowControl w:val="0"/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Сведения об изменении объема и структуры государственного внешнего долга Российской Федерации в январе – </w:t>
      </w:r>
      <w:r w:rsidR="0022071E" w:rsidRPr="00334799">
        <w:rPr>
          <w:b/>
          <w:color w:val="000000" w:themeColor="text1"/>
          <w:sz w:val="24"/>
          <w:szCs w:val="24"/>
        </w:rPr>
        <w:t>сентябре</w:t>
      </w:r>
      <w:r w:rsidRPr="00334799">
        <w:rPr>
          <w:b/>
          <w:color w:val="000000" w:themeColor="text1"/>
          <w:sz w:val="24"/>
          <w:szCs w:val="24"/>
        </w:rPr>
        <w:t xml:space="preserve"> 2020 года</w:t>
      </w:r>
    </w:p>
    <w:p w14:paraId="2628CE41" w14:textId="6DDA724E" w:rsidR="00EE6473" w:rsidRPr="00334799" w:rsidRDefault="00EE6473" w:rsidP="00EE6473">
      <w:pPr>
        <w:widowControl w:val="0"/>
        <w:spacing w:after="120" w:line="240" w:lineRule="auto"/>
        <w:ind w:left="0" w:right="0"/>
        <w:jc w:val="right"/>
        <w:rPr>
          <w:color w:val="000000" w:themeColor="text1"/>
          <w:sz w:val="18"/>
          <w:szCs w:val="16"/>
        </w:rPr>
      </w:pPr>
      <w:r w:rsidRPr="00334799">
        <w:rPr>
          <w:color w:val="000000" w:themeColor="text1"/>
          <w:sz w:val="18"/>
          <w:szCs w:val="16"/>
        </w:rPr>
        <w:t>(млн. долларов США)</w:t>
      </w:r>
    </w:p>
    <w:tbl>
      <w:tblPr>
        <w:tblW w:w="1063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75"/>
        <w:gridCol w:w="1275"/>
        <w:gridCol w:w="1276"/>
        <w:gridCol w:w="1135"/>
        <w:gridCol w:w="850"/>
        <w:gridCol w:w="993"/>
      </w:tblGrid>
      <w:tr w:rsidR="0022071E" w:rsidRPr="00334799" w14:paraId="0B5BF7BD" w14:textId="77777777" w:rsidTr="00AD1686">
        <w:trPr>
          <w:trHeight w:val="127"/>
          <w:tblHeader/>
          <w:jc w:val="center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0A649C7E" w14:textId="77777777" w:rsidR="004E2CD1" w:rsidRPr="00334799" w:rsidRDefault="004E2CD1" w:rsidP="00AD168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Категория долга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0D451E2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государственного внешнего долга </w:t>
            </w:r>
          </w:p>
          <w:p w14:paraId="7C562935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Российской Федерации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077DBDB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14:paraId="613A0EF0" w14:textId="130A4F0C" w:rsidR="004E2CD1" w:rsidRPr="00334799" w:rsidRDefault="004E2CD1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Изменение</w:t>
            </w:r>
            <w:proofErr w:type="gram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( +/-) </w:t>
            </w: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gramEnd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за январь – </w:t>
            </w:r>
            <w:r w:rsidR="0022071E"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сентябрь</w:t>
            </w: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2020 года</w:t>
            </w:r>
          </w:p>
        </w:tc>
      </w:tr>
      <w:tr w:rsidR="0022071E" w:rsidRPr="00334799" w14:paraId="567017D9" w14:textId="77777777" w:rsidTr="00AD1686">
        <w:trPr>
          <w:trHeight w:val="419"/>
          <w:tblHeader/>
          <w:jc w:val="center"/>
        </w:trPr>
        <w:tc>
          <w:tcPr>
            <w:tcW w:w="2551" w:type="dxa"/>
            <w:vMerge/>
            <w:shd w:val="clear" w:color="auto" w:fill="auto"/>
            <w:vAlign w:val="center"/>
            <w:hideMark/>
          </w:tcPr>
          <w:p w14:paraId="623BCC60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1C59FD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75" w:type="dxa"/>
            <w:vAlign w:val="center"/>
          </w:tcPr>
          <w:p w14:paraId="79B513F3" w14:textId="66961BC9" w:rsidR="004E2CD1" w:rsidRPr="00334799" w:rsidRDefault="004E2CD1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22071E"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октября</w:t>
            </w: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2020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CB57B3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F042C6" w14:textId="7F55808F" w:rsidR="004E2CD1" w:rsidRPr="00334799" w:rsidRDefault="004E2CD1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22071E"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октября</w:t>
            </w: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2020 года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453E6A1D" w14:textId="77777777" w:rsidR="004E2CD1" w:rsidRPr="00334799" w:rsidRDefault="004E2CD1" w:rsidP="00AD168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79BF9E" w14:textId="77777777" w:rsidR="004E2CD1" w:rsidRPr="00334799" w:rsidRDefault="004E2CD1" w:rsidP="00AD168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B8C527" w14:textId="77777777" w:rsidR="004E2CD1" w:rsidRPr="00334799" w:rsidRDefault="004E2CD1" w:rsidP="00AD168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процент - </w:t>
            </w:r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spellStart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33479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22071E" w:rsidRPr="00334799" w14:paraId="5F0894B4" w14:textId="77777777" w:rsidTr="00AD1686">
        <w:trPr>
          <w:trHeight w:val="357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254FBFE4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Государственный внешний долг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626B" w14:textId="26D920F1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54 848,3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A5D9" w14:textId="69B016C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50 364,9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3CCB" w14:textId="3A7068C6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EBBE" w14:textId="412207B4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4DA79" w14:textId="5D2C55D4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-4 483,4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36F1" w14:textId="6AB3E035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-8,2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6D01" w14:textId="11AD3AAE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22071E" w:rsidRPr="00334799" w14:paraId="5900168A" w14:textId="77777777" w:rsidTr="00AD1686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673DB952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6943" w14:textId="777777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0D73" w14:textId="3DB0EE7E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D403" w14:textId="777777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4BC3" w14:textId="47BA23F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33479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B350F" w14:textId="4B02FD3E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434A" w14:textId="4CBA220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2242" w14:textId="1BB8D6C4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22071E" w:rsidRPr="00334799" w14:paraId="3B7079A5" w14:textId="77777777" w:rsidTr="00AD1686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736DA0CB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государственным ценным бумагам Российской Федерации, номинальная стоимость которых указана в иностранной валюте: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84D4" w14:textId="1E2D9E62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40 663,4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A73C" w14:textId="47E0C24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35 700,2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8A0D" w14:textId="0FB967D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0C15" w14:textId="139D864D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70,9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6908" w14:textId="3C11845C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-4 963,2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24DC" w14:textId="7A5ECBB3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-12,2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D44D" w14:textId="682E678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-3,3</w:t>
            </w:r>
          </w:p>
        </w:tc>
      </w:tr>
      <w:tr w:rsidR="0022071E" w:rsidRPr="00334799" w14:paraId="0595D464" w14:textId="77777777" w:rsidTr="00AD1686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64F78987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внешним облигационным займам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F10A" w14:textId="5AC6CAE4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40 660,7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BCD0" w14:textId="373A0693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35 697,5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4988" w14:textId="5160EC7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DBAC" w14:textId="1FF98C12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70,9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7134D" w14:textId="0822167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-4 963,2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4531" w14:textId="5325BEE0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-12,2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48EF" w14:textId="49935BEF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-3,3</w:t>
            </w:r>
          </w:p>
        </w:tc>
      </w:tr>
      <w:tr w:rsidR="0022071E" w:rsidRPr="00334799" w14:paraId="7CEB607C" w14:textId="77777777" w:rsidTr="00AD1686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6001B274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ОВГВЗ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F9D6" w14:textId="27DAACF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5D95" w14:textId="00934842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0AFA" w14:textId="31DF55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0D73C" w14:textId="76D594F5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FE66" w14:textId="41D0F9A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7495" w14:textId="305EBD42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56C3" w14:textId="3FB904FF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22071E" w:rsidRPr="00334799" w14:paraId="62C6B91E" w14:textId="77777777" w:rsidTr="00AD1686">
        <w:trPr>
          <w:trHeight w:val="255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6CE17998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кредитам правительств иностранных государств, иностранных коммерческих банков и фирм, международных финансовых организаций: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A280" w14:textId="2DD98745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932,1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B9B9" w14:textId="31C26C8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891,1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FB5F" w14:textId="0DBEC91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4D71" w14:textId="7020D16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8D17A" w14:textId="6CE7FD0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-41,0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8FEAE" w14:textId="205C5586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-4,4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0604" w14:textId="55802BF2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0,1</w:t>
            </w:r>
          </w:p>
        </w:tc>
      </w:tr>
      <w:tr w:rsidR="0022071E" w:rsidRPr="00334799" w14:paraId="230211F6" w14:textId="77777777" w:rsidTr="00AD1686">
        <w:trPr>
          <w:trHeight w:val="90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7CB8A2DD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color w:val="000000" w:themeColor="text1"/>
                <w:sz w:val="18"/>
                <w:szCs w:val="18"/>
              </w:rPr>
              <w:t>по кредитам правительств иностранных государств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F8DC" w14:textId="20D4BA1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419,5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046F" w14:textId="4F644E3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384,5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0179" w14:textId="04B6E029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4F34" w14:textId="152178DE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F6C55" w14:textId="2206B23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-35,0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EF0A" w14:textId="04932486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-8,3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3DB4" w14:textId="697EB3ED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22071E" w:rsidRPr="00334799" w14:paraId="3F40FEB9" w14:textId="77777777" w:rsidTr="00AD1686">
        <w:trPr>
          <w:trHeight w:val="60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2177CF9A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color w:val="000000" w:themeColor="text1"/>
                <w:sz w:val="18"/>
                <w:szCs w:val="18"/>
              </w:rPr>
              <w:t>по займам международных финансовых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1A7E" w14:textId="15D8D55D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492,1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1B8D" w14:textId="0E11E00D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484,9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F0E0" w14:textId="7C39CFC3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9692" w14:textId="6628B2B5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026AC" w14:textId="78C5DB53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-7,2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60D6" w14:textId="0478FDD0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-1,5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CF1B" w14:textId="161696D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0,1</w:t>
            </w:r>
          </w:p>
        </w:tc>
      </w:tr>
      <w:tr w:rsidR="0022071E" w:rsidRPr="00334799" w14:paraId="421F50FB" w14:textId="77777777" w:rsidTr="00AD1686">
        <w:trPr>
          <w:trHeight w:val="86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3B78D6B9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color w:val="000000" w:themeColor="text1"/>
                <w:sz w:val="18"/>
                <w:szCs w:val="18"/>
              </w:rPr>
              <w:t>прочая задолженность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570B" w14:textId="24C1E7A6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00B0" w14:textId="6D8B555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228C" w14:textId="2D62D20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410E" w14:textId="5BA9CB63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79B03" w14:textId="5B07281D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B5A2" w14:textId="1B33F54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BEEC" w14:textId="6C813CB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34799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22071E" w:rsidRPr="00334799" w14:paraId="3CAA24BA" w14:textId="77777777" w:rsidTr="00AD1686">
        <w:trPr>
          <w:trHeight w:val="480"/>
          <w:jc w:val="center"/>
        </w:trPr>
        <w:tc>
          <w:tcPr>
            <w:tcW w:w="2551" w:type="dxa"/>
            <w:shd w:val="clear" w:color="auto" w:fill="auto"/>
            <w:vAlign w:val="center"/>
            <w:hideMark/>
          </w:tcPr>
          <w:p w14:paraId="46728094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государственные гарантии Российской Федерации в иностранной валюте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8DFA" w14:textId="66EA933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13 252,8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6BFE" w14:textId="587972F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13 773,7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9D48" w14:textId="2C93A6AF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9ADD" w14:textId="1E88291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27,3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4FA9C" w14:textId="07A7FD2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520,9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02EC" w14:textId="0C3BA273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DFD0" w14:textId="66B9EA53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34799">
              <w:rPr>
                <w:b/>
                <w:bCs/>
                <w:color w:val="000000" w:themeColor="text1"/>
                <w:sz w:val="18"/>
                <w:szCs w:val="18"/>
              </w:rPr>
              <w:t>3,2</w:t>
            </w:r>
          </w:p>
        </w:tc>
      </w:tr>
    </w:tbl>
    <w:p w14:paraId="0BD0BF14" w14:textId="77777777" w:rsidR="00EE6473" w:rsidRPr="00334799" w:rsidRDefault="00EE6473" w:rsidP="00EE6473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14:paraId="623F264C" w14:textId="77777777" w:rsidR="00EE6473" w:rsidRPr="00334799" w:rsidRDefault="00EE6473" w:rsidP="00EE647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br w:type="page"/>
      </w:r>
    </w:p>
    <w:p w14:paraId="2BAD2F1E" w14:textId="77777777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lastRenderedPageBreak/>
        <w:t>Таблица 9</w:t>
      </w:r>
    </w:p>
    <w:p w14:paraId="2DF54EE4" w14:textId="77777777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color w:val="000000" w:themeColor="text1"/>
          <w:sz w:val="24"/>
          <w:szCs w:val="24"/>
        </w:rPr>
      </w:pPr>
    </w:p>
    <w:p w14:paraId="6A08DFA4" w14:textId="77777777" w:rsidR="000E5F9B" w:rsidRPr="00334799" w:rsidRDefault="000E5F9B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Анализ исполнения </w:t>
      </w:r>
    </w:p>
    <w:p w14:paraId="36E05520" w14:textId="5CB6C0A2" w:rsidR="00EE6473" w:rsidRPr="00334799" w:rsidRDefault="00EE6473" w:rsidP="00EE6473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 Программы государственных гарантий Российской Федерации в иностранной валюте на 2020 год и на плановый период 2021 и 2022 годов</w:t>
      </w:r>
    </w:p>
    <w:p w14:paraId="2359A45E" w14:textId="6C05117E" w:rsidR="000E5F9B" w:rsidRPr="00334799" w:rsidRDefault="000E5F9B" w:rsidP="000E5F9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 xml:space="preserve">за январь - </w:t>
      </w:r>
      <w:r w:rsidR="0022071E" w:rsidRPr="00334799">
        <w:rPr>
          <w:b/>
          <w:color w:val="000000" w:themeColor="text1"/>
          <w:sz w:val="24"/>
          <w:szCs w:val="24"/>
        </w:rPr>
        <w:t>сентябрь</w:t>
      </w:r>
      <w:r w:rsidRPr="00334799">
        <w:rPr>
          <w:b/>
          <w:color w:val="000000" w:themeColor="text1"/>
          <w:sz w:val="24"/>
          <w:szCs w:val="24"/>
        </w:rPr>
        <w:t xml:space="preserve"> 2020 года</w:t>
      </w:r>
    </w:p>
    <w:p w14:paraId="2B26603A" w14:textId="7AC24945" w:rsidR="00EE6473" w:rsidRPr="00334799" w:rsidRDefault="00EE6473" w:rsidP="00EE6473">
      <w:pPr>
        <w:widowControl w:val="0"/>
        <w:ind w:right="0" w:firstLine="760"/>
        <w:jc w:val="right"/>
        <w:rPr>
          <w:color w:val="000000" w:themeColor="text1"/>
          <w:sz w:val="20"/>
          <w:lang w:bidi="ru-RU"/>
        </w:rPr>
      </w:pPr>
      <w:r w:rsidRPr="00334799">
        <w:rPr>
          <w:color w:val="000000" w:themeColor="text1"/>
          <w:sz w:val="20"/>
          <w:lang w:bidi="ru-RU"/>
        </w:rPr>
        <w:t>(млн. долларов США)</w:t>
      </w:r>
    </w:p>
    <w:tbl>
      <w:tblPr>
        <w:tblW w:w="10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7"/>
        <w:gridCol w:w="1418"/>
        <w:gridCol w:w="1772"/>
        <w:gridCol w:w="1701"/>
        <w:gridCol w:w="1134"/>
        <w:gridCol w:w="1204"/>
      </w:tblGrid>
      <w:tr w:rsidR="0022071E" w:rsidRPr="00334799" w14:paraId="74D986A2" w14:textId="77777777" w:rsidTr="00AD1686">
        <w:trPr>
          <w:trHeight w:val="227"/>
          <w:tblHeader/>
          <w:jc w:val="center"/>
        </w:trPr>
        <w:tc>
          <w:tcPr>
            <w:tcW w:w="567" w:type="dxa"/>
            <w:vAlign w:val="center"/>
          </w:tcPr>
          <w:p w14:paraId="448EC421" w14:textId="77777777" w:rsidR="008F7974" w:rsidRPr="00334799" w:rsidRDefault="008F7974" w:rsidP="00AD1686">
            <w:pPr>
              <w:widowControl w:val="0"/>
              <w:spacing w:line="240" w:lineRule="auto"/>
              <w:ind w:left="68" w:right="0" w:hanging="34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bidi="ru-RU"/>
              </w:rPr>
              <w:t xml:space="preserve">№ </w:t>
            </w:r>
            <w:proofErr w:type="gramStart"/>
            <w:r w:rsidRPr="00334799">
              <w:rPr>
                <w:b/>
                <w:color w:val="000000" w:themeColor="text1"/>
                <w:sz w:val="16"/>
                <w:szCs w:val="16"/>
                <w:lang w:bidi="ru-RU"/>
              </w:rPr>
              <w:t>п</w:t>
            </w:r>
            <w:proofErr w:type="gramEnd"/>
            <w:r w:rsidRPr="00334799">
              <w:rPr>
                <w:b/>
                <w:color w:val="000000" w:themeColor="text1"/>
                <w:sz w:val="16"/>
                <w:szCs w:val="16"/>
                <w:lang w:bidi="ru-RU"/>
              </w:rPr>
              <w:t>/п</w:t>
            </w:r>
          </w:p>
        </w:tc>
        <w:tc>
          <w:tcPr>
            <w:tcW w:w="2837" w:type="dxa"/>
            <w:vAlign w:val="center"/>
            <w:hideMark/>
          </w:tcPr>
          <w:p w14:paraId="3406FCE8" w14:textId="77777777" w:rsidR="008F7974" w:rsidRPr="00334799" w:rsidRDefault="008F7974" w:rsidP="00AD168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bidi="ru-RU"/>
              </w:rPr>
              <w:t>Цель гарантирования</w:t>
            </w:r>
          </w:p>
        </w:tc>
        <w:tc>
          <w:tcPr>
            <w:tcW w:w="1418" w:type="dxa"/>
            <w:vAlign w:val="center"/>
            <w:hideMark/>
          </w:tcPr>
          <w:p w14:paraId="0B211EBC" w14:textId="77777777" w:rsidR="008F7974" w:rsidRPr="00334799" w:rsidRDefault="008F7974" w:rsidP="00AD168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bidi="ru-RU"/>
              </w:rPr>
              <w:t>Наименование принципала</w:t>
            </w:r>
          </w:p>
        </w:tc>
        <w:tc>
          <w:tcPr>
            <w:tcW w:w="1772" w:type="dxa"/>
            <w:vAlign w:val="center"/>
            <w:hideMark/>
          </w:tcPr>
          <w:p w14:paraId="10A4CC98" w14:textId="4B3B947D" w:rsidR="008F7974" w:rsidRPr="00334799" w:rsidRDefault="008F7974" w:rsidP="000E5F9B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Предусмотрено Программой государственных гарантий Российской Федерации в иностранной валюте на 2020 год и на плановый период 2021 и 2022 годов, в части 2020 года </w:t>
            </w:r>
          </w:p>
        </w:tc>
        <w:tc>
          <w:tcPr>
            <w:tcW w:w="1701" w:type="dxa"/>
            <w:vAlign w:val="center"/>
          </w:tcPr>
          <w:p w14:paraId="1D49A2D6" w14:textId="49271D19" w:rsidR="008F7974" w:rsidRPr="00334799" w:rsidRDefault="008F7974" w:rsidP="00AD1686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Исполнение</w:t>
            </w: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br/>
              <w:t xml:space="preserve"> на 1 </w:t>
            </w:r>
            <w:r w:rsidR="0022071E" w:rsidRPr="00334799">
              <w:rPr>
                <w:b/>
                <w:bCs/>
                <w:color w:val="000000" w:themeColor="text1"/>
                <w:sz w:val="16"/>
                <w:szCs w:val="16"/>
              </w:rPr>
              <w:t>октября</w:t>
            </w: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 2020 года* (предварительные данные)</w:t>
            </w:r>
          </w:p>
          <w:p w14:paraId="2CF8A763" w14:textId="77777777" w:rsidR="008F7974" w:rsidRPr="00334799" w:rsidRDefault="008F7974" w:rsidP="00AD1686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A3A4AEB" w14:textId="77777777" w:rsidR="008F7974" w:rsidRPr="00334799" w:rsidRDefault="008F7974" w:rsidP="00AD1686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Исполнение,</w:t>
            </w:r>
          </w:p>
          <w:p w14:paraId="0958FDEE" w14:textId="77777777" w:rsidR="008F7974" w:rsidRPr="00334799" w:rsidRDefault="008F7974" w:rsidP="00AD1686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04" w:type="dxa"/>
            <w:vAlign w:val="center"/>
          </w:tcPr>
          <w:p w14:paraId="36123DCC" w14:textId="77777777" w:rsidR="008F7974" w:rsidRPr="00334799" w:rsidRDefault="008F7974" w:rsidP="00AD1686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Предостав</w:t>
            </w:r>
            <w:proofErr w:type="spellEnd"/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-ленные</w:t>
            </w:r>
            <w:proofErr w:type="gramEnd"/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>государствен-ные</w:t>
            </w:r>
            <w:proofErr w:type="spellEnd"/>
            <w:r w:rsidRPr="00334799">
              <w:rPr>
                <w:b/>
                <w:bCs/>
                <w:color w:val="000000" w:themeColor="text1"/>
                <w:sz w:val="16"/>
                <w:szCs w:val="16"/>
              </w:rPr>
              <w:t xml:space="preserve"> гарантии</w:t>
            </w:r>
          </w:p>
        </w:tc>
      </w:tr>
      <w:tr w:rsidR="0022071E" w:rsidRPr="00334799" w14:paraId="03CEC606" w14:textId="77777777" w:rsidTr="00AD1686">
        <w:trPr>
          <w:trHeight w:val="235"/>
          <w:jc w:val="center"/>
        </w:trPr>
        <w:tc>
          <w:tcPr>
            <w:tcW w:w="567" w:type="dxa"/>
            <w:hideMark/>
          </w:tcPr>
          <w:p w14:paraId="580EF8A6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1</w:t>
            </w:r>
          </w:p>
        </w:tc>
        <w:tc>
          <w:tcPr>
            <w:tcW w:w="2837" w:type="dxa"/>
            <w:hideMark/>
          </w:tcPr>
          <w:p w14:paraId="5165E5A0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по кредитам (в части возврата суммы кредита и (или) уплаты процентов за пользование кредитом)</w:t>
            </w:r>
          </w:p>
        </w:tc>
        <w:tc>
          <w:tcPr>
            <w:tcW w:w="1418" w:type="dxa"/>
            <w:vAlign w:val="center"/>
            <w:hideMark/>
          </w:tcPr>
          <w:p w14:paraId="4D27057D" w14:textId="777777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Российские экспортеры</w:t>
            </w:r>
          </w:p>
        </w:tc>
        <w:tc>
          <w:tcPr>
            <w:tcW w:w="1772" w:type="dxa"/>
            <w:vAlign w:val="center"/>
            <w:hideMark/>
          </w:tcPr>
          <w:p w14:paraId="6D0A687F" w14:textId="527299CC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500,0</w:t>
            </w:r>
          </w:p>
        </w:tc>
        <w:tc>
          <w:tcPr>
            <w:tcW w:w="1701" w:type="dxa"/>
            <w:vAlign w:val="center"/>
          </w:tcPr>
          <w:p w14:paraId="4357B30B" w14:textId="6BF8C2BA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167C7DD9" w14:textId="35E42FE3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  <w:tc>
          <w:tcPr>
            <w:tcW w:w="1204" w:type="dxa"/>
          </w:tcPr>
          <w:p w14:paraId="40F4A0EF" w14:textId="777777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2071E" w:rsidRPr="00334799" w14:paraId="72B201DF" w14:textId="77777777" w:rsidTr="00AD1686">
        <w:trPr>
          <w:jc w:val="center"/>
        </w:trPr>
        <w:tc>
          <w:tcPr>
            <w:tcW w:w="567" w:type="dxa"/>
            <w:hideMark/>
          </w:tcPr>
          <w:p w14:paraId="2E8F7573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2</w:t>
            </w:r>
          </w:p>
        </w:tc>
        <w:tc>
          <w:tcPr>
            <w:tcW w:w="2837" w:type="dxa"/>
            <w:hideMark/>
          </w:tcPr>
          <w:p w14:paraId="50998921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кредитам, привлекаемым на цели поддержки экспорта промышленной продукции (товаров, работ, услуг)</w:t>
            </w:r>
          </w:p>
        </w:tc>
        <w:tc>
          <w:tcPr>
            <w:tcW w:w="1418" w:type="dxa"/>
            <w:vAlign w:val="center"/>
            <w:hideMark/>
          </w:tcPr>
          <w:p w14:paraId="2D2E945A" w14:textId="777777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АО РОСЭКСИМ-БАНК</w:t>
            </w:r>
          </w:p>
        </w:tc>
        <w:tc>
          <w:tcPr>
            <w:tcW w:w="1772" w:type="dxa"/>
            <w:vAlign w:val="center"/>
            <w:hideMark/>
          </w:tcPr>
          <w:p w14:paraId="6EFE009B" w14:textId="466540BA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50,0</w:t>
            </w:r>
          </w:p>
        </w:tc>
        <w:tc>
          <w:tcPr>
            <w:tcW w:w="1701" w:type="dxa"/>
            <w:vAlign w:val="center"/>
          </w:tcPr>
          <w:p w14:paraId="216A3831" w14:textId="486AF658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02FA6946" w14:textId="2FC3D409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  <w:tc>
          <w:tcPr>
            <w:tcW w:w="1204" w:type="dxa"/>
          </w:tcPr>
          <w:p w14:paraId="5BA5621E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2071E" w:rsidRPr="00334799" w14:paraId="33A757FF" w14:textId="77777777" w:rsidTr="00AD1686">
        <w:trPr>
          <w:jc w:val="center"/>
        </w:trPr>
        <w:tc>
          <w:tcPr>
            <w:tcW w:w="567" w:type="dxa"/>
            <w:hideMark/>
          </w:tcPr>
          <w:p w14:paraId="31FECB36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3.1</w:t>
            </w:r>
          </w:p>
        </w:tc>
        <w:tc>
          <w:tcPr>
            <w:tcW w:w="2837" w:type="dxa"/>
            <w:hideMark/>
          </w:tcPr>
          <w:p w14:paraId="16C6B28F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промышленной продукции (товаров, работ, услуг) по удовлетворению регрессных требований АО РОСЭКСИМБАНК, возникших в связи с исполнением банковских гарантий, предоставленных последним по обязательствам российских экспортеров</w:t>
            </w:r>
          </w:p>
        </w:tc>
        <w:tc>
          <w:tcPr>
            <w:tcW w:w="1418" w:type="dxa"/>
            <w:vAlign w:val="center"/>
            <w:hideMark/>
          </w:tcPr>
          <w:p w14:paraId="5FBCC68E" w14:textId="77777777" w:rsidR="0022071E" w:rsidRPr="00334799" w:rsidRDefault="0022071E" w:rsidP="0022071E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Российские экспортеры промышленной продукции (товаров, работ, услуг)</w:t>
            </w:r>
          </w:p>
        </w:tc>
        <w:tc>
          <w:tcPr>
            <w:tcW w:w="1772" w:type="dxa"/>
            <w:vMerge w:val="restart"/>
            <w:vAlign w:val="center"/>
            <w:hideMark/>
          </w:tcPr>
          <w:p w14:paraId="681A0EAC" w14:textId="4828805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50,0</w:t>
            </w:r>
          </w:p>
        </w:tc>
        <w:tc>
          <w:tcPr>
            <w:tcW w:w="1701" w:type="dxa"/>
            <w:vMerge w:val="restart"/>
            <w:vAlign w:val="center"/>
          </w:tcPr>
          <w:p w14:paraId="4AB1DB90" w14:textId="586D0AA1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Merge w:val="restart"/>
            <w:vAlign w:val="center"/>
          </w:tcPr>
          <w:p w14:paraId="2440FF8D" w14:textId="5AFBD928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  <w:tc>
          <w:tcPr>
            <w:tcW w:w="1204" w:type="dxa"/>
          </w:tcPr>
          <w:p w14:paraId="6C988EB3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2071E" w:rsidRPr="00334799" w14:paraId="50AC6A40" w14:textId="77777777" w:rsidTr="00AD1686">
        <w:trPr>
          <w:jc w:val="center"/>
        </w:trPr>
        <w:tc>
          <w:tcPr>
            <w:tcW w:w="567" w:type="dxa"/>
            <w:hideMark/>
          </w:tcPr>
          <w:p w14:paraId="35E7ABED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3.2</w:t>
            </w:r>
          </w:p>
        </w:tc>
        <w:tc>
          <w:tcPr>
            <w:tcW w:w="2837" w:type="dxa"/>
            <w:hideMark/>
          </w:tcPr>
          <w:p w14:paraId="13BB7838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его банковским гарантиям, предоставленным по обязательствам российских экспортеров промышленной продукции (товаров, работ, услуг)</w:t>
            </w:r>
          </w:p>
        </w:tc>
        <w:tc>
          <w:tcPr>
            <w:tcW w:w="1418" w:type="dxa"/>
            <w:vAlign w:val="center"/>
            <w:hideMark/>
          </w:tcPr>
          <w:p w14:paraId="19FFBD02" w14:textId="777777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АО РОСЭКСИМ-БАНК</w:t>
            </w:r>
          </w:p>
        </w:tc>
        <w:tc>
          <w:tcPr>
            <w:tcW w:w="1772" w:type="dxa"/>
            <w:vMerge/>
            <w:vAlign w:val="center"/>
            <w:hideMark/>
          </w:tcPr>
          <w:p w14:paraId="0302C634" w14:textId="77777777" w:rsidR="0022071E" w:rsidRPr="00334799" w:rsidRDefault="0022071E" w:rsidP="0022071E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01" w:type="dxa"/>
            <w:vMerge/>
            <w:vAlign w:val="center"/>
          </w:tcPr>
          <w:p w14:paraId="1C7A6F84" w14:textId="777777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14:paraId="2014DE65" w14:textId="777777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04" w:type="dxa"/>
          </w:tcPr>
          <w:p w14:paraId="5BA47F17" w14:textId="7777777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2071E" w:rsidRPr="00334799" w14:paraId="137F330B" w14:textId="77777777" w:rsidTr="00AD1686">
        <w:trPr>
          <w:jc w:val="center"/>
        </w:trPr>
        <w:tc>
          <w:tcPr>
            <w:tcW w:w="567" w:type="dxa"/>
            <w:hideMark/>
          </w:tcPr>
          <w:p w14:paraId="0174EB60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4</w:t>
            </w:r>
          </w:p>
        </w:tc>
        <w:tc>
          <w:tcPr>
            <w:tcW w:w="2837" w:type="dxa"/>
            <w:hideMark/>
          </w:tcPr>
          <w:p w14:paraId="7D767858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юридических лиц по внешнеторговым (экспортным) контрактам на поставку продукции военного назначения</w:t>
            </w:r>
          </w:p>
        </w:tc>
        <w:tc>
          <w:tcPr>
            <w:tcW w:w="1418" w:type="dxa"/>
            <w:vAlign w:val="center"/>
            <w:hideMark/>
          </w:tcPr>
          <w:p w14:paraId="44F3CA32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Акционерное общество «</w:t>
            </w:r>
            <w:proofErr w:type="spellStart"/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Рособоронэкс</w:t>
            </w:r>
            <w:proofErr w:type="spellEnd"/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-порт», иные российские юридические лица, имеющие право на осуществление внешнеторговой деятельности в отношении продукции военного назначения</w:t>
            </w:r>
          </w:p>
        </w:tc>
        <w:tc>
          <w:tcPr>
            <w:tcW w:w="1772" w:type="dxa"/>
            <w:vAlign w:val="center"/>
            <w:hideMark/>
          </w:tcPr>
          <w:p w14:paraId="57A0B9B4" w14:textId="060C639F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500,0</w:t>
            </w:r>
          </w:p>
        </w:tc>
        <w:tc>
          <w:tcPr>
            <w:tcW w:w="1701" w:type="dxa"/>
            <w:vAlign w:val="center"/>
          </w:tcPr>
          <w:p w14:paraId="4C010A8D" w14:textId="27C7FE38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5EFEAD18" w14:textId="7A081939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04" w:type="dxa"/>
          </w:tcPr>
          <w:p w14:paraId="6B4364CE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2071E" w:rsidRPr="00334799" w14:paraId="43A3FAA3" w14:textId="77777777" w:rsidTr="00AD1686">
        <w:trPr>
          <w:jc w:val="center"/>
        </w:trPr>
        <w:tc>
          <w:tcPr>
            <w:tcW w:w="567" w:type="dxa"/>
          </w:tcPr>
          <w:p w14:paraId="11D5D862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837" w:type="dxa"/>
            <w:hideMark/>
          </w:tcPr>
          <w:p w14:paraId="53DAE198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1418" w:type="dxa"/>
          </w:tcPr>
          <w:p w14:paraId="0F0D74B0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72" w:type="dxa"/>
            <w:vAlign w:val="center"/>
            <w:hideMark/>
          </w:tcPr>
          <w:p w14:paraId="12425011" w14:textId="1413790E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bidi="ru-RU"/>
              </w:rPr>
              <w:t>1 100,0</w:t>
            </w:r>
          </w:p>
        </w:tc>
        <w:tc>
          <w:tcPr>
            <w:tcW w:w="1701" w:type="dxa"/>
            <w:vAlign w:val="center"/>
          </w:tcPr>
          <w:p w14:paraId="150664A2" w14:textId="0E830ACE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314F6721" w14:textId="0A4B1955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04" w:type="dxa"/>
          </w:tcPr>
          <w:p w14:paraId="4E343361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2071E" w:rsidRPr="00334799" w14:paraId="1AC83C53" w14:textId="77777777" w:rsidTr="00AD1686">
        <w:trPr>
          <w:jc w:val="center"/>
        </w:trPr>
        <w:tc>
          <w:tcPr>
            <w:tcW w:w="567" w:type="dxa"/>
          </w:tcPr>
          <w:p w14:paraId="04D3165C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837" w:type="dxa"/>
            <w:vAlign w:val="center"/>
          </w:tcPr>
          <w:p w14:paraId="310D846A" w14:textId="77777777" w:rsidR="0022071E" w:rsidRPr="00334799" w:rsidRDefault="0022071E" w:rsidP="0022071E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334799">
              <w:rPr>
                <w:b/>
                <w:color w:val="000000" w:themeColor="text1"/>
                <w:sz w:val="16"/>
                <w:szCs w:val="16"/>
              </w:rPr>
              <w:t>Бюджетные ассигнования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1418" w:type="dxa"/>
            <w:vMerge w:val="restart"/>
          </w:tcPr>
          <w:p w14:paraId="6E9DAACD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72" w:type="dxa"/>
            <w:vAlign w:val="center"/>
          </w:tcPr>
          <w:p w14:paraId="31AE6193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01" w:type="dxa"/>
            <w:vAlign w:val="center"/>
          </w:tcPr>
          <w:p w14:paraId="09E21BD9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Align w:val="center"/>
          </w:tcPr>
          <w:p w14:paraId="42530655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04" w:type="dxa"/>
          </w:tcPr>
          <w:p w14:paraId="0626D50E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2071E" w:rsidRPr="00334799" w14:paraId="32EDC229" w14:textId="77777777" w:rsidTr="00AD1686">
        <w:trPr>
          <w:jc w:val="center"/>
        </w:trPr>
        <w:tc>
          <w:tcPr>
            <w:tcW w:w="567" w:type="dxa"/>
          </w:tcPr>
          <w:p w14:paraId="0EBF0583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837" w:type="dxa"/>
            <w:vAlign w:val="center"/>
          </w:tcPr>
          <w:p w14:paraId="51431F65" w14:textId="77777777" w:rsidR="0022071E" w:rsidRPr="00334799" w:rsidRDefault="0022071E" w:rsidP="0022071E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за счет расходов федерального бюджета</w:t>
            </w:r>
          </w:p>
        </w:tc>
        <w:tc>
          <w:tcPr>
            <w:tcW w:w="1418" w:type="dxa"/>
            <w:vMerge/>
          </w:tcPr>
          <w:p w14:paraId="1718575C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72" w:type="dxa"/>
            <w:vAlign w:val="center"/>
          </w:tcPr>
          <w:p w14:paraId="1BDC2CF4" w14:textId="6A12C6D2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68B55FE2" w14:textId="6F14AEB5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112C59BD" w14:textId="38B0052B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04" w:type="dxa"/>
          </w:tcPr>
          <w:p w14:paraId="6D7B6C11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22071E" w:rsidRPr="00334799" w14:paraId="1947DFF4" w14:textId="77777777" w:rsidTr="00AD1686">
        <w:trPr>
          <w:jc w:val="center"/>
        </w:trPr>
        <w:tc>
          <w:tcPr>
            <w:tcW w:w="567" w:type="dxa"/>
          </w:tcPr>
          <w:p w14:paraId="663E6DA4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837" w:type="dxa"/>
            <w:vAlign w:val="center"/>
          </w:tcPr>
          <w:p w14:paraId="0401291D" w14:textId="77777777" w:rsidR="0022071E" w:rsidRPr="00334799" w:rsidRDefault="0022071E" w:rsidP="0022071E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1418" w:type="dxa"/>
            <w:vMerge/>
          </w:tcPr>
          <w:p w14:paraId="3B92ECAA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72" w:type="dxa"/>
            <w:vAlign w:val="center"/>
          </w:tcPr>
          <w:p w14:paraId="0E8E1944" w14:textId="7ED45049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71,6</w:t>
            </w:r>
          </w:p>
        </w:tc>
        <w:tc>
          <w:tcPr>
            <w:tcW w:w="1701" w:type="dxa"/>
            <w:vAlign w:val="center"/>
          </w:tcPr>
          <w:p w14:paraId="7C6C0191" w14:textId="04D5E40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Align w:val="center"/>
          </w:tcPr>
          <w:p w14:paraId="56851CE6" w14:textId="4C8261F6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34799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04" w:type="dxa"/>
          </w:tcPr>
          <w:p w14:paraId="4BB27BE5" w14:textId="77777777" w:rsidR="0022071E" w:rsidRPr="00334799" w:rsidRDefault="0022071E" w:rsidP="0022071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</w:tbl>
    <w:p w14:paraId="03A9EF0B" w14:textId="48C419D8" w:rsidR="00EE6473" w:rsidRPr="00334799" w:rsidRDefault="008F7974" w:rsidP="008F7974">
      <w:pPr>
        <w:widowControl w:val="0"/>
        <w:overflowPunct/>
        <w:autoSpaceDE/>
        <w:autoSpaceDN/>
        <w:adjustRightInd/>
        <w:spacing w:line="240" w:lineRule="auto"/>
        <w:ind w:left="0" w:right="0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19"/>
          <w:szCs w:val="19"/>
        </w:rPr>
        <w:t xml:space="preserve">* Согласно выпискам из Государственной долговой книги Российской Федерации по государственным гарантиям Российской Федерации в иностранной валюте Минфином России в январе - </w:t>
      </w:r>
      <w:r w:rsidR="0022071E" w:rsidRPr="00334799">
        <w:rPr>
          <w:color w:val="000000" w:themeColor="text1"/>
          <w:sz w:val="19"/>
          <w:szCs w:val="19"/>
        </w:rPr>
        <w:t>августе</w:t>
      </w:r>
      <w:r w:rsidRPr="00334799">
        <w:rPr>
          <w:color w:val="000000" w:themeColor="text1"/>
          <w:sz w:val="19"/>
          <w:szCs w:val="19"/>
        </w:rPr>
        <w:t xml:space="preserve"> 2020 года государственные гарантии Российской Федерации в иностранной валюте не предоставлялись.</w:t>
      </w:r>
      <w:r w:rsidR="00EE6473" w:rsidRPr="00334799">
        <w:rPr>
          <w:color w:val="000000" w:themeColor="text1"/>
          <w:sz w:val="24"/>
          <w:szCs w:val="24"/>
        </w:rPr>
        <w:br w:type="page"/>
      </w:r>
    </w:p>
    <w:p w14:paraId="2944304B" w14:textId="77777777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334799">
        <w:rPr>
          <w:color w:val="000000" w:themeColor="text1"/>
          <w:sz w:val="24"/>
          <w:szCs w:val="24"/>
        </w:rPr>
        <w:lastRenderedPageBreak/>
        <w:t>Таблица 10</w:t>
      </w:r>
    </w:p>
    <w:p w14:paraId="37FD8909" w14:textId="77777777" w:rsidR="00EE6473" w:rsidRPr="00334799" w:rsidRDefault="00EE6473" w:rsidP="00EE6473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14:paraId="147EE54E" w14:textId="77777777" w:rsidR="00EE6473" w:rsidRPr="00334799" w:rsidRDefault="00EE6473" w:rsidP="00EE6473">
      <w:pPr>
        <w:widowControl w:val="0"/>
        <w:spacing w:line="240" w:lineRule="auto"/>
        <w:ind w:left="142" w:right="0" w:firstLine="0"/>
        <w:jc w:val="center"/>
        <w:rPr>
          <w:b/>
          <w:color w:val="000000" w:themeColor="text1"/>
          <w:sz w:val="24"/>
          <w:szCs w:val="24"/>
        </w:rPr>
      </w:pPr>
      <w:r w:rsidRPr="00334799">
        <w:rPr>
          <w:b/>
          <w:color w:val="000000" w:themeColor="text1"/>
          <w:sz w:val="24"/>
          <w:szCs w:val="24"/>
        </w:rPr>
        <w:t>Анализ расходов на обслуживание государственного долга Российской Федерации</w:t>
      </w:r>
    </w:p>
    <w:p w14:paraId="632F9C4D" w14:textId="77777777" w:rsidR="00EE6473" w:rsidRPr="00334799" w:rsidRDefault="00EE6473" w:rsidP="00EE6473">
      <w:pPr>
        <w:widowControl w:val="0"/>
        <w:spacing w:line="240" w:lineRule="auto"/>
        <w:ind w:left="142" w:right="283" w:firstLine="0"/>
        <w:jc w:val="center"/>
        <w:rPr>
          <w:rFonts w:eastAsia="Times New Roman"/>
          <w:b/>
          <w:iCs/>
          <w:color w:val="000000" w:themeColor="text1"/>
          <w:sz w:val="24"/>
          <w:szCs w:val="24"/>
        </w:rPr>
      </w:pPr>
    </w:p>
    <w:p w14:paraId="348C344E" w14:textId="5773D7FE" w:rsidR="00EE6473" w:rsidRPr="00334799" w:rsidRDefault="00EE6473" w:rsidP="00EE6473">
      <w:pPr>
        <w:spacing w:line="240" w:lineRule="auto"/>
        <w:ind w:left="0" w:right="283" w:firstLine="539"/>
        <w:jc w:val="right"/>
        <w:rPr>
          <w:color w:val="000000" w:themeColor="text1"/>
          <w:sz w:val="18"/>
          <w:szCs w:val="16"/>
        </w:rPr>
      </w:pPr>
      <w:r w:rsidRPr="00334799">
        <w:rPr>
          <w:color w:val="000000" w:themeColor="text1"/>
          <w:sz w:val="18"/>
          <w:szCs w:val="16"/>
        </w:rPr>
        <w:t>(млн. рублей)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1266"/>
        <w:gridCol w:w="1194"/>
        <w:gridCol w:w="1161"/>
        <w:gridCol w:w="1151"/>
        <w:gridCol w:w="1078"/>
        <w:gridCol w:w="771"/>
        <w:gridCol w:w="770"/>
      </w:tblGrid>
      <w:tr w:rsidR="0022071E" w:rsidRPr="00334799" w14:paraId="46B75659" w14:textId="77777777" w:rsidTr="00AD1686">
        <w:trPr>
          <w:trHeight w:val="287"/>
          <w:tblHeader/>
          <w:jc w:val="center"/>
        </w:trPr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14:paraId="6D174E32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2460" w:type="dxa"/>
            <w:gridSpan w:val="2"/>
            <w:vMerge w:val="restart"/>
            <w:vAlign w:val="center"/>
          </w:tcPr>
          <w:p w14:paraId="321FD15F" w14:textId="7B8E6997" w:rsidR="004E2CD1" w:rsidRPr="00334799" w:rsidRDefault="004E2CD1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Исполнено на 1 </w:t>
            </w:r>
            <w:r w:rsidR="0022071E"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октября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14:paraId="09AFF112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Утверждено Федеральным законом</w:t>
            </w:r>
          </w:p>
          <w:p w14:paraId="3DC004EC" w14:textId="15B8A732" w:rsidR="004E2CD1" w:rsidRPr="00334799" w:rsidRDefault="004E2CD1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№ 380-ФЗ</w:t>
            </w:r>
            <w:r w:rsidR="0022071E"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</w:t>
            </w:r>
            <w:r w:rsidR="0022071E"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br/>
            </w:r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(с изменениями)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0A89B338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Установлено сводной бюджетной росписью </w:t>
            </w:r>
          </w:p>
          <w:p w14:paraId="5FAD2AE2" w14:textId="55C541F2" w:rsidR="004E2CD1" w:rsidRPr="00334799" w:rsidRDefault="004E2CD1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на 1 </w:t>
            </w:r>
            <w:r w:rsidR="0022071E"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октября</w:t>
            </w:r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br/>
              <w:t>2020 года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  <w:hideMark/>
          </w:tcPr>
          <w:p w14:paraId="1152FB25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Исполнение </w:t>
            </w:r>
          </w:p>
          <w:p w14:paraId="37796227" w14:textId="7FAA297B" w:rsidR="004E2CD1" w:rsidRPr="00334799" w:rsidRDefault="004E2CD1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на 1 </w:t>
            </w:r>
            <w:r w:rsidR="0022071E"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октября</w:t>
            </w:r>
            <w:r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 2020 года</w:t>
            </w:r>
          </w:p>
        </w:tc>
      </w:tr>
      <w:tr w:rsidR="0022071E" w:rsidRPr="00334799" w14:paraId="4F1B6810" w14:textId="77777777" w:rsidTr="00AD1686">
        <w:trPr>
          <w:trHeight w:val="570"/>
          <w:tblHeader/>
          <w:jc w:val="center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14:paraId="0278688E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460" w:type="dxa"/>
            <w:gridSpan w:val="2"/>
            <w:vMerge/>
          </w:tcPr>
          <w:p w14:paraId="604FC95B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161" w:type="dxa"/>
            <w:vMerge/>
            <w:shd w:val="clear" w:color="auto" w:fill="auto"/>
          </w:tcPr>
          <w:p w14:paraId="6FEC839F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14:paraId="5F825A41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78" w:type="dxa"/>
            <w:vMerge w:val="restart"/>
            <w:shd w:val="clear" w:color="auto" w:fill="auto"/>
            <w:vAlign w:val="center"/>
            <w:hideMark/>
          </w:tcPr>
          <w:p w14:paraId="26CD543E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сумма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  <w:hideMark/>
          </w:tcPr>
          <w:p w14:paraId="2E25A631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proofErr w:type="gramStart"/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в</w:t>
            </w:r>
            <w:proofErr w:type="gramEnd"/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% к </w:t>
            </w:r>
            <w:proofErr w:type="spellStart"/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</w:t>
            </w:r>
            <w:proofErr w:type="spellEnd"/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-денному объему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14:paraId="75656D34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proofErr w:type="gramStart"/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в % к сводной </w:t>
            </w:r>
            <w:proofErr w:type="spellStart"/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бюд-жетной</w:t>
            </w:r>
            <w:proofErr w:type="spellEnd"/>
            <w:r w:rsidRPr="00334799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росписи</w:t>
            </w:r>
            <w:proofErr w:type="gramEnd"/>
          </w:p>
        </w:tc>
      </w:tr>
      <w:tr w:rsidR="0022071E" w:rsidRPr="00334799" w14:paraId="3575C998" w14:textId="77777777" w:rsidTr="00AD1686">
        <w:trPr>
          <w:trHeight w:val="302"/>
          <w:tblHeader/>
          <w:jc w:val="center"/>
        </w:trPr>
        <w:tc>
          <w:tcPr>
            <w:tcW w:w="2466" w:type="dxa"/>
            <w:vMerge/>
            <w:shd w:val="clear" w:color="auto" w:fill="auto"/>
            <w:vAlign w:val="center"/>
          </w:tcPr>
          <w:p w14:paraId="69741789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5B7C7ED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2018 года</w:t>
            </w:r>
          </w:p>
        </w:tc>
        <w:tc>
          <w:tcPr>
            <w:tcW w:w="1194" w:type="dxa"/>
            <w:vAlign w:val="center"/>
          </w:tcPr>
          <w:p w14:paraId="167D8AD2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2019 года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694344D9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14:paraId="54B51944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78" w:type="dxa"/>
            <w:vMerge/>
            <w:shd w:val="clear" w:color="auto" w:fill="auto"/>
            <w:vAlign w:val="center"/>
          </w:tcPr>
          <w:p w14:paraId="429716C7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14:paraId="3951984D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0" w:type="dxa"/>
            <w:vMerge/>
            <w:shd w:val="clear" w:color="auto" w:fill="auto"/>
            <w:vAlign w:val="center"/>
          </w:tcPr>
          <w:p w14:paraId="0A4C8ACE" w14:textId="77777777" w:rsidR="004E2CD1" w:rsidRPr="00334799" w:rsidRDefault="004E2CD1" w:rsidP="00AD168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22071E" w:rsidRPr="00334799" w14:paraId="118FF309" w14:textId="77777777" w:rsidTr="00AD1686">
        <w:trPr>
          <w:trHeight w:val="580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02C38E03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color w:val="000000" w:themeColor="text1"/>
                <w:sz w:val="14"/>
                <w:szCs w:val="14"/>
              </w:rPr>
              <w:t>Расходы на обслуживание государственного долга Российской Федерации, 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A8A3" w14:textId="0B97CBD4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621 262,2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3AC0" w14:textId="34CFB6C0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532 231,3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B7CF" w14:textId="41DCF53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896 955,5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54CA" w14:textId="1189417D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896 955,5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CC5C" w14:textId="39752C3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532 598,7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AC61" w14:textId="034B6D0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59,4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5DF9A" w14:textId="13F5B2B5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59,4</w:t>
            </w:r>
          </w:p>
        </w:tc>
      </w:tr>
      <w:tr w:rsidR="0022071E" w:rsidRPr="00334799" w14:paraId="1FF55168" w14:textId="77777777" w:rsidTr="00AD1686">
        <w:trPr>
          <w:trHeight w:val="352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5A6B5CCF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федерального бюджета, %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6869" w14:textId="41124805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5,5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5D9B" w14:textId="40103592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4,5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FEDD" w14:textId="6A405B1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5249" w14:textId="11F7F8A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3,8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6083" w14:textId="4E45556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3,6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3898" w14:textId="147AFE3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CFC3" w14:textId="73E77A8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22071E" w:rsidRPr="00334799" w14:paraId="08EAB825" w14:textId="77777777" w:rsidTr="00AD1686">
        <w:trPr>
          <w:trHeight w:val="813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2140D19C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внутреннего долга Российской Федерации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0472" w14:textId="55AC42B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432 523,1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5AC9" w14:textId="388A78F0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  <w:lang w:val="en-US"/>
              </w:rPr>
              <w:t>450 706</w:t>
            </w:r>
            <w:r w:rsidRPr="00334799">
              <w:rPr>
                <w:color w:val="000000" w:themeColor="text1"/>
                <w:sz w:val="16"/>
                <w:szCs w:val="16"/>
              </w:rPr>
              <w:t>,</w:t>
            </w:r>
            <w:r w:rsidRPr="00334799">
              <w:rPr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B4E7" w14:textId="6392D28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748 456,8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BA43" w14:textId="26FC2AE5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728 456,8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8CF6" w14:textId="175E0B6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418 666,5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6D11" w14:textId="372E1710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55,9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0BC1" w14:textId="3312CE6C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57,5</w:t>
            </w:r>
          </w:p>
        </w:tc>
      </w:tr>
      <w:tr w:rsidR="0022071E" w:rsidRPr="00334799" w14:paraId="57E89E74" w14:textId="77777777" w:rsidTr="00AD1686">
        <w:trPr>
          <w:trHeight w:val="177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2FA70C6E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9926" w14:textId="7192302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69,6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21B0" w14:textId="2CC9EABC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84,7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69CD" w14:textId="5EE93DC3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83,4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C9E4" w14:textId="727631AE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81,2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29A9" w14:textId="7608A99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78,6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1FB8" w14:textId="6BF9426E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C230" w14:textId="5C27C30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22071E" w:rsidRPr="00334799" w14:paraId="3892F015" w14:textId="77777777" w:rsidTr="00AD1686">
        <w:trPr>
          <w:trHeight w:val="588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12139B04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внешнего долга Российской Федерации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97E3" w14:textId="46DC5F8C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188 739,1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921E" w14:textId="322FFE6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  <w:lang w:val="en-US"/>
              </w:rPr>
              <w:t>81 524</w:t>
            </w:r>
            <w:r w:rsidRPr="00334799">
              <w:rPr>
                <w:color w:val="000000" w:themeColor="text1"/>
                <w:sz w:val="16"/>
                <w:szCs w:val="16"/>
              </w:rPr>
              <w:t>,</w:t>
            </w:r>
            <w:r w:rsidRPr="00334799">
              <w:rPr>
                <w:color w:val="000000" w:themeColor="text1"/>
                <w:sz w:val="16"/>
                <w:szCs w:val="16"/>
                <w:lang w:val="en-US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5AA6" w14:textId="04A8EC2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148 498,7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4C4D" w14:textId="0044F68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168 498,7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F015" w14:textId="05CEFDB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113 932,2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FB64" w14:textId="28F8D8D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76,7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1A25" w14:textId="10BF86EB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67,6</w:t>
            </w:r>
          </w:p>
        </w:tc>
      </w:tr>
      <w:tr w:rsidR="0022071E" w:rsidRPr="00334799" w14:paraId="18ED9432" w14:textId="77777777" w:rsidTr="00AD1686">
        <w:trPr>
          <w:trHeight w:val="662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78112C05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A637" w14:textId="1D521D82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30,4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631F" w14:textId="07236852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15,3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7F9E" w14:textId="00EB80C2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16,6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A4B1" w14:textId="404612DF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18,8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0167" w14:textId="767F941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21,4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A3DD" w14:textId="166311C0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07C9" w14:textId="08BC61E0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22071E" w:rsidRPr="00334799" w14:paraId="0D623C69" w14:textId="77777777" w:rsidTr="00AD1686">
        <w:trPr>
          <w:trHeight w:val="117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6D5B0479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proofErr w:type="spellStart"/>
            <w:r w:rsidRPr="00334799">
              <w:rPr>
                <w:rFonts w:eastAsia="Times New Roman"/>
                <w:color w:val="000000" w:themeColor="text1"/>
                <w:sz w:val="14"/>
                <w:szCs w:val="14"/>
              </w:rPr>
              <w:t>Справочно</w:t>
            </w:r>
            <w:proofErr w:type="spellEnd"/>
            <w:r w:rsidRPr="00334799">
              <w:rPr>
                <w:rFonts w:eastAsia="Times New Roman"/>
                <w:color w:val="000000" w:themeColor="text1"/>
                <w:sz w:val="14"/>
                <w:szCs w:val="14"/>
              </w:rPr>
              <w:t>: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8CA4" w14:textId="2582B1EC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64FE" w14:textId="22ECCF25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2FF4" w14:textId="5BD6A73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68A7" w14:textId="52E87697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8D4E" w14:textId="7F199BB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E3D8" w14:textId="2D1A90EC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AEB6" w14:textId="196F0A6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22071E" w:rsidRPr="00334799" w14:paraId="5BAA4A80" w14:textId="77777777" w:rsidTr="00AD1686">
        <w:trPr>
          <w:trHeight w:val="64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14:paraId="0CB435C8" w14:textId="77777777" w:rsidR="0022071E" w:rsidRPr="00334799" w:rsidRDefault="0022071E" w:rsidP="0022071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334799">
              <w:rPr>
                <w:rFonts w:eastAsia="Times New Roman"/>
                <w:color w:val="000000" w:themeColor="text1"/>
                <w:sz w:val="14"/>
                <w:szCs w:val="14"/>
              </w:rPr>
              <w:t>расходы федерального бюджета, всего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DE85" w14:textId="1CB93F69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11 370 206,5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7C3E" w14:textId="7F0AEDE1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11 948 250,0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2DF6" w14:textId="0C25D33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19 665 989,9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3599" w14:textId="7512C2F8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23 734 143,0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F28B" w14:textId="0C8DFC20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14 988 037,0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8EAC" w14:textId="0947D36A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76,2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1D99" w14:textId="6EC4ADE4" w:rsidR="0022071E" w:rsidRPr="00334799" w:rsidRDefault="0022071E" w:rsidP="0022071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334799">
              <w:rPr>
                <w:color w:val="000000" w:themeColor="text1"/>
                <w:sz w:val="16"/>
                <w:szCs w:val="16"/>
              </w:rPr>
              <w:t>63,2</w:t>
            </w:r>
          </w:p>
        </w:tc>
      </w:tr>
    </w:tbl>
    <w:p w14:paraId="12320B69" w14:textId="24EC7058" w:rsidR="004E2CD1" w:rsidRPr="00334799" w:rsidRDefault="004E2CD1" w:rsidP="00EE6473">
      <w:pPr>
        <w:spacing w:line="240" w:lineRule="auto"/>
        <w:ind w:left="0" w:right="283" w:firstLine="539"/>
        <w:jc w:val="right"/>
        <w:rPr>
          <w:color w:val="000000" w:themeColor="text1"/>
          <w:sz w:val="18"/>
          <w:szCs w:val="16"/>
        </w:rPr>
      </w:pPr>
    </w:p>
    <w:sectPr w:rsidR="004E2CD1" w:rsidRPr="00334799" w:rsidSect="000E5F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22611" w14:textId="77777777" w:rsidR="00F40B4E" w:rsidRDefault="00F40B4E" w:rsidP="00B8499A">
      <w:pPr>
        <w:spacing w:line="240" w:lineRule="auto"/>
      </w:pPr>
      <w:r>
        <w:separator/>
      </w:r>
    </w:p>
  </w:endnote>
  <w:endnote w:type="continuationSeparator" w:id="0">
    <w:p w14:paraId="5046EDB4" w14:textId="77777777" w:rsidR="00F40B4E" w:rsidRDefault="00F40B4E" w:rsidP="00B84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A8980" w14:textId="77777777" w:rsidR="00AA17D6" w:rsidRDefault="00AA17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E48D8" w14:textId="77777777" w:rsidR="00AA17D6" w:rsidRDefault="00AA17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B7471" w14:textId="77777777" w:rsidR="00AA17D6" w:rsidRDefault="00AA17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83C12" w14:textId="77777777" w:rsidR="00F40B4E" w:rsidRDefault="00F40B4E" w:rsidP="00B8499A">
      <w:pPr>
        <w:spacing w:line="240" w:lineRule="auto"/>
      </w:pPr>
      <w:r>
        <w:separator/>
      </w:r>
    </w:p>
  </w:footnote>
  <w:footnote w:type="continuationSeparator" w:id="0">
    <w:p w14:paraId="42EE4ED4" w14:textId="77777777" w:rsidR="00F40B4E" w:rsidRDefault="00F40B4E" w:rsidP="00B84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9D4AA" w14:textId="77777777" w:rsidR="00AA17D6" w:rsidRDefault="00AA17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68644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FAB32D4" w14:textId="68E7C691" w:rsidR="00AA17D6" w:rsidRPr="00B30D92" w:rsidRDefault="00AA17D6" w:rsidP="001C27C1">
        <w:pPr>
          <w:pStyle w:val="a4"/>
          <w:ind w:left="0" w:firstLine="0"/>
          <w:jc w:val="center"/>
          <w:rPr>
            <w:sz w:val="24"/>
            <w:szCs w:val="24"/>
          </w:rPr>
        </w:pPr>
        <w:r w:rsidRPr="00B30D92">
          <w:rPr>
            <w:sz w:val="24"/>
            <w:szCs w:val="24"/>
          </w:rPr>
          <w:fldChar w:fldCharType="begin"/>
        </w:r>
        <w:r w:rsidRPr="00B30D92">
          <w:rPr>
            <w:sz w:val="24"/>
            <w:szCs w:val="24"/>
          </w:rPr>
          <w:instrText>PAGE   \* MERGEFORMAT</w:instrText>
        </w:r>
        <w:r w:rsidRPr="00B30D92">
          <w:rPr>
            <w:sz w:val="24"/>
            <w:szCs w:val="24"/>
          </w:rPr>
          <w:fldChar w:fldCharType="separate"/>
        </w:r>
        <w:r w:rsidR="00046AE2">
          <w:rPr>
            <w:noProof/>
            <w:sz w:val="24"/>
            <w:szCs w:val="24"/>
          </w:rPr>
          <w:t>10</w:t>
        </w:r>
        <w:r w:rsidRPr="00B30D92">
          <w:rPr>
            <w:sz w:val="24"/>
            <w:szCs w:val="24"/>
          </w:rPr>
          <w:fldChar w:fldCharType="end"/>
        </w:r>
      </w:p>
    </w:sdtContent>
  </w:sdt>
  <w:p w14:paraId="05C9B1C8" w14:textId="77777777" w:rsidR="00AA17D6" w:rsidRDefault="00AA17D6" w:rsidP="00B30D92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C45ED" w14:textId="77777777" w:rsidR="00AA17D6" w:rsidRDefault="00AA17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00A7B"/>
    <w:rsid w:val="00006E8C"/>
    <w:rsid w:val="00024389"/>
    <w:rsid w:val="000365B0"/>
    <w:rsid w:val="00046AE2"/>
    <w:rsid w:val="00051434"/>
    <w:rsid w:val="00053860"/>
    <w:rsid w:val="00053B18"/>
    <w:rsid w:val="0005586E"/>
    <w:rsid w:val="000667DD"/>
    <w:rsid w:val="00073145"/>
    <w:rsid w:val="00074805"/>
    <w:rsid w:val="00077FB7"/>
    <w:rsid w:val="0008019F"/>
    <w:rsid w:val="00080330"/>
    <w:rsid w:val="00086F50"/>
    <w:rsid w:val="00087031"/>
    <w:rsid w:val="0009725A"/>
    <w:rsid w:val="000A0A96"/>
    <w:rsid w:val="000A0F5B"/>
    <w:rsid w:val="000A2C5F"/>
    <w:rsid w:val="000A5FE0"/>
    <w:rsid w:val="000A69EA"/>
    <w:rsid w:val="000A6AF9"/>
    <w:rsid w:val="000B3640"/>
    <w:rsid w:val="000B5576"/>
    <w:rsid w:val="000B605E"/>
    <w:rsid w:val="000B61C1"/>
    <w:rsid w:val="000C4393"/>
    <w:rsid w:val="000C5A6B"/>
    <w:rsid w:val="000C7450"/>
    <w:rsid w:val="000D0BB2"/>
    <w:rsid w:val="000D79C3"/>
    <w:rsid w:val="000E2009"/>
    <w:rsid w:val="000E25B5"/>
    <w:rsid w:val="000E5F9B"/>
    <w:rsid w:val="000F0370"/>
    <w:rsid w:val="000F1F58"/>
    <w:rsid w:val="000F6589"/>
    <w:rsid w:val="00100050"/>
    <w:rsid w:val="00103D79"/>
    <w:rsid w:val="00105F78"/>
    <w:rsid w:val="00106459"/>
    <w:rsid w:val="00112C2B"/>
    <w:rsid w:val="00112C4D"/>
    <w:rsid w:val="00115F6A"/>
    <w:rsid w:val="00122092"/>
    <w:rsid w:val="00123CD3"/>
    <w:rsid w:val="00126CF2"/>
    <w:rsid w:val="00135406"/>
    <w:rsid w:val="00136353"/>
    <w:rsid w:val="00143670"/>
    <w:rsid w:val="00151CFB"/>
    <w:rsid w:val="001545FD"/>
    <w:rsid w:val="0015546C"/>
    <w:rsid w:val="00156DE9"/>
    <w:rsid w:val="00161512"/>
    <w:rsid w:val="00161526"/>
    <w:rsid w:val="001707C1"/>
    <w:rsid w:val="00170ACE"/>
    <w:rsid w:val="00174F69"/>
    <w:rsid w:val="00175669"/>
    <w:rsid w:val="00177D5B"/>
    <w:rsid w:val="00181DD5"/>
    <w:rsid w:val="00190C74"/>
    <w:rsid w:val="0019145D"/>
    <w:rsid w:val="001976DA"/>
    <w:rsid w:val="001A3279"/>
    <w:rsid w:val="001A4ACD"/>
    <w:rsid w:val="001A4E3F"/>
    <w:rsid w:val="001A7A06"/>
    <w:rsid w:val="001B0868"/>
    <w:rsid w:val="001B4E91"/>
    <w:rsid w:val="001C27C1"/>
    <w:rsid w:val="001C5183"/>
    <w:rsid w:val="001C6950"/>
    <w:rsid w:val="001C7632"/>
    <w:rsid w:val="001D0BFC"/>
    <w:rsid w:val="001D3263"/>
    <w:rsid w:val="001D54A1"/>
    <w:rsid w:val="001D5C10"/>
    <w:rsid w:val="001E01F3"/>
    <w:rsid w:val="001E2D9D"/>
    <w:rsid w:val="001E3A80"/>
    <w:rsid w:val="001E5683"/>
    <w:rsid w:val="001F4623"/>
    <w:rsid w:val="00200AD8"/>
    <w:rsid w:val="0021443B"/>
    <w:rsid w:val="0021463C"/>
    <w:rsid w:val="002146E2"/>
    <w:rsid w:val="00217CE7"/>
    <w:rsid w:val="002202D7"/>
    <w:rsid w:val="0022071E"/>
    <w:rsid w:val="00220D7F"/>
    <w:rsid w:val="0022722C"/>
    <w:rsid w:val="00231017"/>
    <w:rsid w:val="002351C7"/>
    <w:rsid w:val="0024067D"/>
    <w:rsid w:val="00240765"/>
    <w:rsid w:val="00243A41"/>
    <w:rsid w:val="00245AB1"/>
    <w:rsid w:val="00246959"/>
    <w:rsid w:val="00254D4B"/>
    <w:rsid w:val="00257D86"/>
    <w:rsid w:val="00272CFB"/>
    <w:rsid w:val="002733CC"/>
    <w:rsid w:val="00291773"/>
    <w:rsid w:val="0029447E"/>
    <w:rsid w:val="002A0E78"/>
    <w:rsid w:val="002A3909"/>
    <w:rsid w:val="002A7C76"/>
    <w:rsid w:val="002B5608"/>
    <w:rsid w:val="002B6252"/>
    <w:rsid w:val="002B7597"/>
    <w:rsid w:val="002B7CFF"/>
    <w:rsid w:val="002C0D71"/>
    <w:rsid w:val="002C1075"/>
    <w:rsid w:val="002C1B3F"/>
    <w:rsid w:val="002C610E"/>
    <w:rsid w:val="002C757C"/>
    <w:rsid w:val="002D6930"/>
    <w:rsid w:val="002F2973"/>
    <w:rsid w:val="002F57BF"/>
    <w:rsid w:val="0030149F"/>
    <w:rsid w:val="00302584"/>
    <w:rsid w:val="0030468B"/>
    <w:rsid w:val="00314CD8"/>
    <w:rsid w:val="00314D16"/>
    <w:rsid w:val="00316113"/>
    <w:rsid w:val="003220BF"/>
    <w:rsid w:val="003244D6"/>
    <w:rsid w:val="00325C31"/>
    <w:rsid w:val="00326742"/>
    <w:rsid w:val="00333FD1"/>
    <w:rsid w:val="00334799"/>
    <w:rsid w:val="00340F13"/>
    <w:rsid w:val="00342069"/>
    <w:rsid w:val="00355B7A"/>
    <w:rsid w:val="00355FDA"/>
    <w:rsid w:val="00356766"/>
    <w:rsid w:val="00362087"/>
    <w:rsid w:val="00362861"/>
    <w:rsid w:val="00363682"/>
    <w:rsid w:val="003644F2"/>
    <w:rsid w:val="00365A95"/>
    <w:rsid w:val="00373749"/>
    <w:rsid w:val="00377665"/>
    <w:rsid w:val="00382BD8"/>
    <w:rsid w:val="00383E45"/>
    <w:rsid w:val="00386A38"/>
    <w:rsid w:val="00394424"/>
    <w:rsid w:val="003A3A6F"/>
    <w:rsid w:val="003A5113"/>
    <w:rsid w:val="003A71D7"/>
    <w:rsid w:val="003B07C9"/>
    <w:rsid w:val="003B1F84"/>
    <w:rsid w:val="003B3D9B"/>
    <w:rsid w:val="003C0B07"/>
    <w:rsid w:val="003C474F"/>
    <w:rsid w:val="003D3F8C"/>
    <w:rsid w:val="003E0593"/>
    <w:rsid w:val="003F185A"/>
    <w:rsid w:val="003F6BED"/>
    <w:rsid w:val="004006EC"/>
    <w:rsid w:val="00401494"/>
    <w:rsid w:val="00401758"/>
    <w:rsid w:val="00401EB7"/>
    <w:rsid w:val="00402AB9"/>
    <w:rsid w:val="00403AD0"/>
    <w:rsid w:val="004121EE"/>
    <w:rsid w:val="0041261D"/>
    <w:rsid w:val="00415C35"/>
    <w:rsid w:val="004212C3"/>
    <w:rsid w:val="0043161B"/>
    <w:rsid w:val="004355AF"/>
    <w:rsid w:val="00437E98"/>
    <w:rsid w:val="0044209D"/>
    <w:rsid w:val="0045176E"/>
    <w:rsid w:val="004577B0"/>
    <w:rsid w:val="004605DC"/>
    <w:rsid w:val="00460D06"/>
    <w:rsid w:val="0046156A"/>
    <w:rsid w:val="0046254F"/>
    <w:rsid w:val="00463CFC"/>
    <w:rsid w:val="0046405C"/>
    <w:rsid w:val="0046649C"/>
    <w:rsid w:val="00477BD9"/>
    <w:rsid w:val="0048428C"/>
    <w:rsid w:val="004946D5"/>
    <w:rsid w:val="00497F40"/>
    <w:rsid w:val="004A5233"/>
    <w:rsid w:val="004B301B"/>
    <w:rsid w:val="004B3449"/>
    <w:rsid w:val="004C3CA8"/>
    <w:rsid w:val="004C6208"/>
    <w:rsid w:val="004D39A2"/>
    <w:rsid w:val="004E20A1"/>
    <w:rsid w:val="004E2517"/>
    <w:rsid w:val="004E2914"/>
    <w:rsid w:val="004E2CD1"/>
    <w:rsid w:val="004E3B37"/>
    <w:rsid w:val="004E70B1"/>
    <w:rsid w:val="004F0F89"/>
    <w:rsid w:val="005000A1"/>
    <w:rsid w:val="00501FC3"/>
    <w:rsid w:val="005127B8"/>
    <w:rsid w:val="005143DE"/>
    <w:rsid w:val="00515025"/>
    <w:rsid w:val="00520837"/>
    <w:rsid w:val="0052257D"/>
    <w:rsid w:val="005228B5"/>
    <w:rsid w:val="00524570"/>
    <w:rsid w:val="00536FE5"/>
    <w:rsid w:val="00547CF0"/>
    <w:rsid w:val="00565B24"/>
    <w:rsid w:val="00570C29"/>
    <w:rsid w:val="00573877"/>
    <w:rsid w:val="0057508B"/>
    <w:rsid w:val="00590188"/>
    <w:rsid w:val="00592F6A"/>
    <w:rsid w:val="0059417C"/>
    <w:rsid w:val="00594A20"/>
    <w:rsid w:val="005954ED"/>
    <w:rsid w:val="00596736"/>
    <w:rsid w:val="005A3140"/>
    <w:rsid w:val="005A471A"/>
    <w:rsid w:val="005A6239"/>
    <w:rsid w:val="005D7DE5"/>
    <w:rsid w:val="005E526D"/>
    <w:rsid w:val="00602944"/>
    <w:rsid w:val="006044EA"/>
    <w:rsid w:val="006049E2"/>
    <w:rsid w:val="006065C7"/>
    <w:rsid w:val="006150DB"/>
    <w:rsid w:val="006164C0"/>
    <w:rsid w:val="00625032"/>
    <w:rsid w:val="00627BD3"/>
    <w:rsid w:val="00627F0E"/>
    <w:rsid w:val="00635D62"/>
    <w:rsid w:val="006546B9"/>
    <w:rsid w:val="00661C0F"/>
    <w:rsid w:val="00663EE5"/>
    <w:rsid w:val="006705B7"/>
    <w:rsid w:val="00670DE8"/>
    <w:rsid w:val="00670EF2"/>
    <w:rsid w:val="006722EB"/>
    <w:rsid w:val="00675B2C"/>
    <w:rsid w:val="00684C91"/>
    <w:rsid w:val="00687F36"/>
    <w:rsid w:val="006935AC"/>
    <w:rsid w:val="00694824"/>
    <w:rsid w:val="006A047B"/>
    <w:rsid w:val="006A08A9"/>
    <w:rsid w:val="006A193B"/>
    <w:rsid w:val="006A595A"/>
    <w:rsid w:val="006B2E99"/>
    <w:rsid w:val="006B675C"/>
    <w:rsid w:val="006B6979"/>
    <w:rsid w:val="006C08BE"/>
    <w:rsid w:val="006C30BA"/>
    <w:rsid w:val="006C38EE"/>
    <w:rsid w:val="006D0BD6"/>
    <w:rsid w:val="006D0D04"/>
    <w:rsid w:val="006D3EDD"/>
    <w:rsid w:val="006D65E1"/>
    <w:rsid w:val="006E27C0"/>
    <w:rsid w:val="006E32F2"/>
    <w:rsid w:val="006F14FB"/>
    <w:rsid w:val="00702EAD"/>
    <w:rsid w:val="0071113A"/>
    <w:rsid w:val="00711933"/>
    <w:rsid w:val="00714666"/>
    <w:rsid w:val="00715F42"/>
    <w:rsid w:val="00723AEA"/>
    <w:rsid w:val="007252F2"/>
    <w:rsid w:val="00726B0E"/>
    <w:rsid w:val="0073076F"/>
    <w:rsid w:val="007340BA"/>
    <w:rsid w:val="0074073B"/>
    <w:rsid w:val="0074331F"/>
    <w:rsid w:val="0074764F"/>
    <w:rsid w:val="00747658"/>
    <w:rsid w:val="007502E5"/>
    <w:rsid w:val="00753993"/>
    <w:rsid w:val="00755603"/>
    <w:rsid w:val="00755ADF"/>
    <w:rsid w:val="00760604"/>
    <w:rsid w:val="00771045"/>
    <w:rsid w:val="007835B5"/>
    <w:rsid w:val="00785577"/>
    <w:rsid w:val="007927D1"/>
    <w:rsid w:val="00794265"/>
    <w:rsid w:val="007944A5"/>
    <w:rsid w:val="007A1803"/>
    <w:rsid w:val="007A41DA"/>
    <w:rsid w:val="007A7EFF"/>
    <w:rsid w:val="007B0EF3"/>
    <w:rsid w:val="007B6958"/>
    <w:rsid w:val="007C4623"/>
    <w:rsid w:val="007C5069"/>
    <w:rsid w:val="007D35A5"/>
    <w:rsid w:val="007E5AF8"/>
    <w:rsid w:val="007F56A8"/>
    <w:rsid w:val="008032EB"/>
    <w:rsid w:val="0080395F"/>
    <w:rsid w:val="00805B21"/>
    <w:rsid w:val="00812530"/>
    <w:rsid w:val="00822A81"/>
    <w:rsid w:val="00826A95"/>
    <w:rsid w:val="0083267B"/>
    <w:rsid w:val="00833E17"/>
    <w:rsid w:val="00835DCD"/>
    <w:rsid w:val="008369ED"/>
    <w:rsid w:val="008375F5"/>
    <w:rsid w:val="00841FD4"/>
    <w:rsid w:val="00845692"/>
    <w:rsid w:val="0085648B"/>
    <w:rsid w:val="00857B85"/>
    <w:rsid w:val="008617A5"/>
    <w:rsid w:val="0088583D"/>
    <w:rsid w:val="00890979"/>
    <w:rsid w:val="008A6230"/>
    <w:rsid w:val="008C2B3D"/>
    <w:rsid w:val="008C2EB5"/>
    <w:rsid w:val="008C5C45"/>
    <w:rsid w:val="008D126E"/>
    <w:rsid w:val="008D34A7"/>
    <w:rsid w:val="008D40C3"/>
    <w:rsid w:val="008D7F8E"/>
    <w:rsid w:val="008E1BC0"/>
    <w:rsid w:val="008E74E4"/>
    <w:rsid w:val="008E781A"/>
    <w:rsid w:val="008F322A"/>
    <w:rsid w:val="008F7974"/>
    <w:rsid w:val="00902548"/>
    <w:rsid w:val="00904A0B"/>
    <w:rsid w:val="00905F9B"/>
    <w:rsid w:val="00924DB6"/>
    <w:rsid w:val="0093151F"/>
    <w:rsid w:val="00931B43"/>
    <w:rsid w:val="00932F19"/>
    <w:rsid w:val="00940541"/>
    <w:rsid w:val="00950198"/>
    <w:rsid w:val="00957103"/>
    <w:rsid w:val="009609C8"/>
    <w:rsid w:val="009609EF"/>
    <w:rsid w:val="00984F8D"/>
    <w:rsid w:val="0099027E"/>
    <w:rsid w:val="009A0136"/>
    <w:rsid w:val="009A0B49"/>
    <w:rsid w:val="009A3A79"/>
    <w:rsid w:val="009A4BCE"/>
    <w:rsid w:val="009B08EC"/>
    <w:rsid w:val="009B12E4"/>
    <w:rsid w:val="009B65C0"/>
    <w:rsid w:val="009B71D6"/>
    <w:rsid w:val="009C4224"/>
    <w:rsid w:val="009C4BD6"/>
    <w:rsid w:val="009C5AE4"/>
    <w:rsid w:val="009C6ADC"/>
    <w:rsid w:val="009C6F4F"/>
    <w:rsid w:val="009D2AB2"/>
    <w:rsid w:val="009E09B2"/>
    <w:rsid w:val="009E0B3F"/>
    <w:rsid w:val="009E21C6"/>
    <w:rsid w:val="009E4BCA"/>
    <w:rsid w:val="009E7A5A"/>
    <w:rsid w:val="009F3C2F"/>
    <w:rsid w:val="009F6E9E"/>
    <w:rsid w:val="009F7DF8"/>
    <w:rsid w:val="00A003FA"/>
    <w:rsid w:val="00A01B47"/>
    <w:rsid w:val="00A04366"/>
    <w:rsid w:val="00A0506E"/>
    <w:rsid w:val="00A0704E"/>
    <w:rsid w:val="00A07086"/>
    <w:rsid w:val="00A316A9"/>
    <w:rsid w:val="00A349F0"/>
    <w:rsid w:val="00A362C1"/>
    <w:rsid w:val="00A40F8F"/>
    <w:rsid w:val="00A40F95"/>
    <w:rsid w:val="00A44879"/>
    <w:rsid w:val="00A66012"/>
    <w:rsid w:val="00A679DA"/>
    <w:rsid w:val="00A725BC"/>
    <w:rsid w:val="00A74892"/>
    <w:rsid w:val="00A76770"/>
    <w:rsid w:val="00A775A3"/>
    <w:rsid w:val="00A8004A"/>
    <w:rsid w:val="00A85A40"/>
    <w:rsid w:val="00A85C96"/>
    <w:rsid w:val="00A924AD"/>
    <w:rsid w:val="00AA144A"/>
    <w:rsid w:val="00AA17D6"/>
    <w:rsid w:val="00AA2AF1"/>
    <w:rsid w:val="00AA5473"/>
    <w:rsid w:val="00AB28F0"/>
    <w:rsid w:val="00AB497B"/>
    <w:rsid w:val="00AB603A"/>
    <w:rsid w:val="00AB62C7"/>
    <w:rsid w:val="00AD1686"/>
    <w:rsid w:val="00AD1B26"/>
    <w:rsid w:val="00AD482E"/>
    <w:rsid w:val="00AD5F39"/>
    <w:rsid w:val="00AE6019"/>
    <w:rsid w:val="00AE67CB"/>
    <w:rsid w:val="00B00E68"/>
    <w:rsid w:val="00B1533C"/>
    <w:rsid w:val="00B20457"/>
    <w:rsid w:val="00B26B42"/>
    <w:rsid w:val="00B27246"/>
    <w:rsid w:val="00B30D92"/>
    <w:rsid w:val="00B33DCF"/>
    <w:rsid w:val="00B34999"/>
    <w:rsid w:val="00B36692"/>
    <w:rsid w:val="00B43D69"/>
    <w:rsid w:val="00B45E1F"/>
    <w:rsid w:val="00B5428B"/>
    <w:rsid w:val="00B573A9"/>
    <w:rsid w:val="00B60B07"/>
    <w:rsid w:val="00B61946"/>
    <w:rsid w:val="00B61F50"/>
    <w:rsid w:val="00B63657"/>
    <w:rsid w:val="00B71F58"/>
    <w:rsid w:val="00B76088"/>
    <w:rsid w:val="00B76A3E"/>
    <w:rsid w:val="00B82857"/>
    <w:rsid w:val="00B83930"/>
    <w:rsid w:val="00B8499A"/>
    <w:rsid w:val="00B84D9D"/>
    <w:rsid w:val="00B87CCB"/>
    <w:rsid w:val="00B90B67"/>
    <w:rsid w:val="00B919E9"/>
    <w:rsid w:val="00B92459"/>
    <w:rsid w:val="00B93CBF"/>
    <w:rsid w:val="00BA7BD7"/>
    <w:rsid w:val="00BB017D"/>
    <w:rsid w:val="00BB1A22"/>
    <w:rsid w:val="00BB2A23"/>
    <w:rsid w:val="00BB33DB"/>
    <w:rsid w:val="00BB4860"/>
    <w:rsid w:val="00BC02D5"/>
    <w:rsid w:val="00BC2916"/>
    <w:rsid w:val="00BC3742"/>
    <w:rsid w:val="00BC45B6"/>
    <w:rsid w:val="00BC4737"/>
    <w:rsid w:val="00BD0039"/>
    <w:rsid w:val="00BD33B3"/>
    <w:rsid w:val="00BE068A"/>
    <w:rsid w:val="00BE0B90"/>
    <w:rsid w:val="00BE0E92"/>
    <w:rsid w:val="00BE60B5"/>
    <w:rsid w:val="00BF0E5B"/>
    <w:rsid w:val="00BF3EF9"/>
    <w:rsid w:val="00BF6E93"/>
    <w:rsid w:val="00C03F2F"/>
    <w:rsid w:val="00C10D0F"/>
    <w:rsid w:val="00C30CAA"/>
    <w:rsid w:val="00C32EE1"/>
    <w:rsid w:val="00C4518B"/>
    <w:rsid w:val="00C46C6F"/>
    <w:rsid w:val="00C478D7"/>
    <w:rsid w:val="00C506C6"/>
    <w:rsid w:val="00C510B8"/>
    <w:rsid w:val="00C5545C"/>
    <w:rsid w:val="00C62C90"/>
    <w:rsid w:val="00C662C1"/>
    <w:rsid w:val="00C662D4"/>
    <w:rsid w:val="00C66CBA"/>
    <w:rsid w:val="00C70748"/>
    <w:rsid w:val="00C731D4"/>
    <w:rsid w:val="00C82E46"/>
    <w:rsid w:val="00C849A3"/>
    <w:rsid w:val="00C85A6B"/>
    <w:rsid w:val="00C86292"/>
    <w:rsid w:val="00C8769B"/>
    <w:rsid w:val="00C92805"/>
    <w:rsid w:val="00C95FDC"/>
    <w:rsid w:val="00C97B98"/>
    <w:rsid w:val="00CA156E"/>
    <w:rsid w:val="00CA5A43"/>
    <w:rsid w:val="00CB250E"/>
    <w:rsid w:val="00CB31D2"/>
    <w:rsid w:val="00CB3FFC"/>
    <w:rsid w:val="00CB47F8"/>
    <w:rsid w:val="00CC2442"/>
    <w:rsid w:val="00CD2D43"/>
    <w:rsid w:val="00CD43D0"/>
    <w:rsid w:val="00CD4A7D"/>
    <w:rsid w:val="00CD5290"/>
    <w:rsid w:val="00CD5308"/>
    <w:rsid w:val="00CE0A7B"/>
    <w:rsid w:val="00CE1648"/>
    <w:rsid w:val="00CE16E9"/>
    <w:rsid w:val="00CE42F6"/>
    <w:rsid w:val="00CF275B"/>
    <w:rsid w:val="00CF50AA"/>
    <w:rsid w:val="00CF60B3"/>
    <w:rsid w:val="00CF67B5"/>
    <w:rsid w:val="00D0049A"/>
    <w:rsid w:val="00D00EFC"/>
    <w:rsid w:val="00D125C1"/>
    <w:rsid w:val="00D1373F"/>
    <w:rsid w:val="00D22DCF"/>
    <w:rsid w:val="00D24ED2"/>
    <w:rsid w:val="00D31073"/>
    <w:rsid w:val="00D3245E"/>
    <w:rsid w:val="00D33DDC"/>
    <w:rsid w:val="00D37D67"/>
    <w:rsid w:val="00D4233C"/>
    <w:rsid w:val="00D44298"/>
    <w:rsid w:val="00D44885"/>
    <w:rsid w:val="00D515E3"/>
    <w:rsid w:val="00D54D1A"/>
    <w:rsid w:val="00D61BC5"/>
    <w:rsid w:val="00D63C2E"/>
    <w:rsid w:val="00D76727"/>
    <w:rsid w:val="00D812FD"/>
    <w:rsid w:val="00D87E19"/>
    <w:rsid w:val="00D91678"/>
    <w:rsid w:val="00D943A1"/>
    <w:rsid w:val="00D94F8E"/>
    <w:rsid w:val="00DA0074"/>
    <w:rsid w:val="00DA0270"/>
    <w:rsid w:val="00DA287A"/>
    <w:rsid w:val="00DA4947"/>
    <w:rsid w:val="00DB36B7"/>
    <w:rsid w:val="00DC3941"/>
    <w:rsid w:val="00DC7685"/>
    <w:rsid w:val="00DD2CD4"/>
    <w:rsid w:val="00DD46D1"/>
    <w:rsid w:val="00DD68A2"/>
    <w:rsid w:val="00DD6AE4"/>
    <w:rsid w:val="00DD6E4B"/>
    <w:rsid w:val="00DE10F8"/>
    <w:rsid w:val="00DE4E39"/>
    <w:rsid w:val="00DE589D"/>
    <w:rsid w:val="00DF21E4"/>
    <w:rsid w:val="00DF3AAB"/>
    <w:rsid w:val="00DF3D17"/>
    <w:rsid w:val="00DF5C6E"/>
    <w:rsid w:val="00DF77E6"/>
    <w:rsid w:val="00E0689A"/>
    <w:rsid w:val="00E129AF"/>
    <w:rsid w:val="00E15E49"/>
    <w:rsid w:val="00E1660E"/>
    <w:rsid w:val="00E255C4"/>
    <w:rsid w:val="00E2606C"/>
    <w:rsid w:val="00E26CE6"/>
    <w:rsid w:val="00E37D95"/>
    <w:rsid w:val="00E45694"/>
    <w:rsid w:val="00E47D08"/>
    <w:rsid w:val="00E56CE9"/>
    <w:rsid w:val="00E574DF"/>
    <w:rsid w:val="00E62C12"/>
    <w:rsid w:val="00E6353D"/>
    <w:rsid w:val="00E63A38"/>
    <w:rsid w:val="00E64951"/>
    <w:rsid w:val="00E66621"/>
    <w:rsid w:val="00E66CBF"/>
    <w:rsid w:val="00E75DF8"/>
    <w:rsid w:val="00E87538"/>
    <w:rsid w:val="00E87C1C"/>
    <w:rsid w:val="00E9117E"/>
    <w:rsid w:val="00E9172F"/>
    <w:rsid w:val="00EA06AF"/>
    <w:rsid w:val="00EA2B00"/>
    <w:rsid w:val="00EA325E"/>
    <w:rsid w:val="00EB43A1"/>
    <w:rsid w:val="00EC0A73"/>
    <w:rsid w:val="00EC16AC"/>
    <w:rsid w:val="00EC4C8B"/>
    <w:rsid w:val="00EC63DD"/>
    <w:rsid w:val="00ED2C9B"/>
    <w:rsid w:val="00ED3608"/>
    <w:rsid w:val="00EE0504"/>
    <w:rsid w:val="00EE078B"/>
    <w:rsid w:val="00EE6473"/>
    <w:rsid w:val="00EE6E72"/>
    <w:rsid w:val="00EE7D54"/>
    <w:rsid w:val="00F04280"/>
    <w:rsid w:val="00F11F6A"/>
    <w:rsid w:val="00F1303E"/>
    <w:rsid w:val="00F14A3F"/>
    <w:rsid w:val="00F1569E"/>
    <w:rsid w:val="00F227D6"/>
    <w:rsid w:val="00F236B6"/>
    <w:rsid w:val="00F40B4E"/>
    <w:rsid w:val="00F47346"/>
    <w:rsid w:val="00F50735"/>
    <w:rsid w:val="00F51452"/>
    <w:rsid w:val="00F61A35"/>
    <w:rsid w:val="00F629E1"/>
    <w:rsid w:val="00F65979"/>
    <w:rsid w:val="00F65A68"/>
    <w:rsid w:val="00F71698"/>
    <w:rsid w:val="00F758A0"/>
    <w:rsid w:val="00F77CC1"/>
    <w:rsid w:val="00F858DE"/>
    <w:rsid w:val="00F865AD"/>
    <w:rsid w:val="00FA1C6B"/>
    <w:rsid w:val="00FA48E6"/>
    <w:rsid w:val="00FA627E"/>
    <w:rsid w:val="00FB07A0"/>
    <w:rsid w:val="00FD356E"/>
    <w:rsid w:val="00FD45DD"/>
    <w:rsid w:val="00FD7116"/>
    <w:rsid w:val="00FE1129"/>
    <w:rsid w:val="00FE19DA"/>
    <w:rsid w:val="00FE26BB"/>
    <w:rsid w:val="00FF1B38"/>
    <w:rsid w:val="00FF3CF5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5B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22071E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2071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22071E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2071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251040662558166E-2"/>
          <c:y val="0.12472149921766953"/>
          <c:w val="0.67333513847220272"/>
          <c:h val="0.734548152388886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'12.2 нерезиденты'!$B$2</c:f>
              <c:strCache>
                <c:ptCount val="1"/>
                <c:pt idx="0">
                  <c:v>Номинальный объем ОФЗ, принадлежащих нерезидентам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'12.2 нерезиденты'!$A$3:$A$11</c:f>
              <c:strCache>
                <c:ptCount val="4"/>
                <c:pt idx="0">
                  <c:v>01.10.2018</c:v>
                </c:pt>
                <c:pt idx="1">
                  <c:v>01.10.2019</c:v>
                </c:pt>
                <c:pt idx="2">
                  <c:v>01.01.2020</c:v>
                </c:pt>
                <c:pt idx="3">
                  <c:v>01.10.2020</c:v>
                </c:pt>
              </c:strCache>
            </c:strRef>
          </c:cat>
          <c:val>
            <c:numRef>
              <c:f>'12.2 нерезиденты'!$B$3:$B$11</c:f>
              <c:numCache>
                <c:formatCode>#,##0</c:formatCode>
                <c:ptCount val="4"/>
                <c:pt idx="0">
                  <c:v>1853</c:v>
                </c:pt>
                <c:pt idx="1">
                  <c:v>2617</c:v>
                </c:pt>
                <c:pt idx="2">
                  <c:v>2870</c:v>
                </c:pt>
                <c:pt idx="3">
                  <c:v>3019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56D-4A22-B002-831969E6D9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0560768"/>
        <c:axId val="175676736"/>
      </c:barChart>
      <c:lineChart>
        <c:grouping val="standard"/>
        <c:varyColors val="0"/>
        <c:ser>
          <c:idx val="1"/>
          <c:order val="1"/>
          <c:tx>
            <c:strRef>
              <c:f>'12.2 нерезиденты'!$C$2</c:f>
              <c:strCache>
                <c:ptCount val="1"/>
                <c:pt idx="0">
                  <c:v>Доля нерезидентов на рынке ОФЗ</c:v>
                </c:pt>
              </c:strCache>
            </c:strRef>
          </c:tx>
          <c:spPr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'12.2 нерезиденты'!$A$3:$A$10</c:f>
              <c:strCache>
                <c:ptCount val="3"/>
                <c:pt idx="0">
                  <c:v>01.10.2018</c:v>
                </c:pt>
                <c:pt idx="1">
                  <c:v>01.10.2019</c:v>
                </c:pt>
                <c:pt idx="2">
                  <c:v>01.01.2020</c:v>
                </c:pt>
              </c:strCache>
            </c:strRef>
          </c:cat>
          <c:val>
            <c:numRef>
              <c:f>'12.2 нерезиденты'!$C$3:$C$11</c:f>
              <c:numCache>
                <c:formatCode>#,##0.0</c:formatCode>
                <c:ptCount val="4"/>
                <c:pt idx="0">
                  <c:v>25.8</c:v>
                </c:pt>
                <c:pt idx="1">
                  <c:v>29.8</c:v>
                </c:pt>
                <c:pt idx="2" formatCode="0.0">
                  <c:v>32.229084783829308</c:v>
                </c:pt>
                <c:pt idx="3">
                  <c:v>26.8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56D-4A22-B002-831969E6D9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6602112"/>
        <c:axId val="178046080"/>
      </c:lineChart>
      <c:catAx>
        <c:axId val="2305607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млрд. рублей</a:t>
                </a:r>
              </a:p>
            </c:rich>
          </c:tx>
          <c:layout>
            <c:manualLayout>
              <c:xMode val="edge"/>
              <c:yMode val="edge"/>
              <c:x val="1.7658880506048281E-4"/>
              <c:y val="2.2274047951634035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75676736"/>
        <c:crosses val="autoZero"/>
        <c:auto val="1"/>
        <c:lblAlgn val="ctr"/>
        <c:lblOffset val="100"/>
        <c:noMultiLvlLbl val="0"/>
      </c:catAx>
      <c:valAx>
        <c:axId val="175676736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230560768"/>
        <c:crosses val="autoZero"/>
        <c:crossBetween val="between"/>
      </c:valAx>
      <c:valAx>
        <c:axId val="178046080"/>
        <c:scaling>
          <c:orientation val="minMax"/>
        </c:scaling>
        <c:delete val="0"/>
        <c:axPos val="r"/>
        <c:numFmt formatCode="#,##0.0" sourceLinked="1"/>
        <c:majorTickMark val="out"/>
        <c:minorTickMark val="none"/>
        <c:tickLblPos val="nextTo"/>
        <c:crossAx val="256602112"/>
        <c:crosses val="max"/>
        <c:crossBetween val="between"/>
      </c:valAx>
      <c:catAx>
        <c:axId val="256602112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%</a:t>
                </a:r>
              </a:p>
            </c:rich>
          </c:tx>
          <c:layout>
            <c:manualLayout>
              <c:xMode val="edge"/>
              <c:yMode val="edge"/>
              <c:x val="0.7561122169815947"/>
              <c:y val="5.1967044902084961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7804608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0310062124958204"/>
          <c:y val="0.18238540937293865"/>
          <c:w val="0.19506541820986123"/>
          <c:h val="0.7719209627098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92D35-63F3-459B-8268-B0D18FC0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3011</Words>
  <Characters>17168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Калинкина Т.П.</cp:lastModifiedBy>
  <cp:revision>5</cp:revision>
  <cp:lastPrinted>2020-01-31T12:49:00Z</cp:lastPrinted>
  <dcterms:created xsi:type="dcterms:W3CDTF">2020-10-27T08:29:00Z</dcterms:created>
  <dcterms:modified xsi:type="dcterms:W3CDTF">2020-10-27T10:29:00Z</dcterms:modified>
</cp:coreProperties>
</file>