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253"/>
      </w:tblGrid>
      <w:tr w:rsidR="00251418" w:rsidRPr="00251418" w:rsidTr="00695FBE">
        <w:tc>
          <w:tcPr>
            <w:tcW w:w="5920" w:type="dxa"/>
          </w:tcPr>
          <w:p w:rsidR="00D57638" w:rsidRPr="00251418" w:rsidRDefault="00D57638" w:rsidP="00063894">
            <w:pPr>
              <w:spacing w:line="372" w:lineRule="auto"/>
              <w:ind w:left="0" w:right="0" w:firstLine="0"/>
              <w:jc w:val="right"/>
              <w:rPr>
                <w:sz w:val="24"/>
                <w:szCs w:val="24"/>
              </w:rPr>
            </w:pPr>
          </w:p>
        </w:tc>
        <w:tc>
          <w:tcPr>
            <w:tcW w:w="4253" w:type="dxa"/>
          </w:tcPr>
          <w:p w:rsidR="00D57638" w:rsidRPr="00251418" w:rsidRDefault="004009BF" w:rsidP="00BE5258">
            <w:pPr>
              <w:spacing w:line="240" w:lineRule="auto"/>
              <w:ind w:left="743" w:right="-568" w:firstLine="0"/>
              <w:jc w:val="center"/>
              <w:rPr>
                <w:sz w:val="24"/>
                <w:szCs w:val="24"/>
              </w:rPr>
            </w:pPr>
            <w:r w:rsidRPr="00251418">
              <w:rPr>
                <w:sz w:val="24"/>
                <w:szCs w:val="24"/>
              </w:rPr>
              <w:t xml:space="preserve">Приложение № </w:t>
            </w:r>
            <w:r w:rsidR="006543CD">
              <w:rPr>
                <w:sz w:val="24"/>
                <w:szCs w:val="24"/>
              </w:rPr>
              <w:t>3</w:t>
            </w:r>
          </w:p>
          <w:p w:rsidR="00D57638" w:rsidRPr="00251418" w:rsidRDefault="003C3DAA" w:rsidP="00BE5258">
            <w:pPr>
              <w:spacing w:line="240" w:lineRule="auto"/>
              <w:ind w:left="743" w:right="-568" w:firstLine="0"/>
              <w:jc w:val="center"/>
              <w:rPr>
                <w:sz w:val="24"/>
                <w:szCs w:val="24"/>
              </w:rPr>
            </w:pPr>
            <w:r w:rsidRPr="00251418">
              <w:rPr>
                <w:sz w:val="24"/>
                <w:szCs w:val="24"/>
              </w:rPr>
              <w:t>к аналитической записке</w:t>
            </w:r>
          </w:p>
        </w:tc>
      </w:tr>
    </w:tbl>
    <w:p w:rsidR="004009BF" w:rsidRPr="00A60A0C" w:rsidRDefault="004009BF" w:rsidP="00551BF4">
      <w:pPr>
        <w:spacing w:line="240" w:lineRule="auto"/>
        <w:ind w:left="0" w:right="0" w:firstLine="0"/>
        <w:jc w:val="right"/>
        <w:rPr>
          <w:rFonts w:eastAsia="Times New Roman"/>
          <w:sz w:val="20"/>
          <w:szCs w:val="20"/>
        </w:rPr>
      </w:pPr>
    </w:p>
    <w:p w:rsidR="00E527CB" w:rsidRPr="00251418" w:rsidRDefault="00E527CB" w:rsidP="00D15568">
      <w:pPr>
        <w:spacing w:line="240" w:lineRule="auto"/>
        <w:ind w:left="0" w:right="0"/>
        <w:jc w:val="center"/>
        <w:rPr>
          <w:rFonts w:eastAsia="Times New Roman"/>
          <w:bCs/>
          <w:sz w:val="24"/>
          <w:szCs w:val="24"/>
        </w:rPr>
      </w:pPr>
      <w:r w:rsidRPr="00251418">
        <w:rPr>
          <w:rFonts w:eastAsia="Times New Roman"/>
          <w:bCs/>
          <w:sz w:val="24"/>
          <w:szCs w:val="24"/>
        </w:rPr>
        <w:t xml:space="preserve">Информация о перераспределении бюджетных ассигнований на 2020 год </w:t>
      </w:r>
    </w:p>
    <w:p w:rsidR="00E527CB" w:rsidRPr="00251418" w:rsidRDefault="00E527CB" w:rsidP="00D15568">
      <w:pPr>
        <w:spacing w:line="240" w:lineRule="auto"/>
        <w:ind w:left="0" w:right="0"/>
        <w:jc w:val="center"/>
        <w:rPr>
          <w:rFonts w:eastAsia="Times New Roman"/>
          <w:sz w:val="24"/>
          <w:szCs w:val="24"/>
        </w:rPr>
      </w:pPr>
      <w:r w:rsidRPr="00251418">
        <w:rPr>
          <w:rFonts w:eastAsia="Times New Roman"/>
          <w:sz w:val="24"/>
          <w:szCs w:val="24"/>
        </w:rPr>
        <w:t xml:space="preserve">на финансовое обеспечение мероприятий, связанных с предотвращением влияния ухудшения экономической ситуации на развитие отраслей экономики, </w:t>
      </w:r>
    </w:p>
    <w:p w:rsidR="00E527CB" w:rsidRPr="00251418" w:rsidRDefault="00E527CB" w:rsidP="00D15568">
      <w:pPr>
        <w:spacing w:line="240" w:lineRule="auto"/>
        <w:ind w:left="0" w:right="0"/>
        <w:jc w:val="center"/>
        <w:rPr>
          <w:rFonts w:eastAsia="Times New Roman"/>
          <w:sz w:val="24"/>
          <w:szCs w:val="24"/>
        </w:rPr>
      </w:pPr>
      <w:r w:rsidRPr="00251418">
        <w:rPr>
          <w:rFonts w:eastAsia="Times New Roman"/>
          <w:sz w:val="24"/>
          <w:szCs w:val="24"/>
        </w:rPr>
        <w:t>с профилактикой и устранением последствий</w:t>
      </w:r>
      <w:r w:rsidRPr="00251418">
        <w:rPr>
          <w:rFonts w:eastAsia="Times New Roman"/>
          <w:b/>
          <w:sz w:val="24"/>
          <w:szCs w:val="24"/>
        </w:rPr>
        <w:t xml:space="preserve"> </w:t>
      </w:r>
      <w:r w:rsidRPr="00251418">
        <w:rPr>
          <w:rFonts w:eastAsia="Times New Roman"/>
          <w:sz w:val="24"/>
          <w:szCs w:val="24"/>
        </w:rPr>
        <w:t xml:space="preserve">распространения </w:t>
      </w:r>
      <w:proofErr w:type="spellStart"/>
      <w:r w:rsidRPr="00251418">
        <w:rPr>
          <w:rFonts w:eastAsia="Times New Roman"/>
          <w:sz w:val="24"/>
          <w:szCs w:val="24"/>
        </w:rPr>
        <w:t>коронавирусной</w:t>
      </w:r>
      <w:proofErr w:type="spellEnd"/>
      <w:r w:rsidRPr="00251418">
        <w:rPr>
          <w:rFonts w:eastAsia="Times New Roman"/>
          <w:sz w:val="24"/>
          <w:szCs w:val="24"/>
        </w:rPr>
        <w:t xml:space="preserve"> инфекции, а также на иные цели, определенные Правительством Российской Федерации, </w:t>
      </w:r>
    </w:p>
    <w:p w:rsidR="001F16B7" w:rsidRPr="00251418" w:rsidRDefault="00E527CB" w:rsidP="00D15568">
      <w:pPr>
        <w:spacing w:line="240" w:lineRule="auto"/>
        <w:ind w:left="0" w:right="0"/>
        <w:jc w:val="center"/>
        <w:rPr>
          <w:rFonts w:eastAsia="Times New Roman"/>
          <w:b/>
          <w:sz w:val="24"/>
          <w:szCs w:val="24"/>
        </w:rPr>
      </w:pPr>
      <w:r w:rsidRPr="00251418">
        <w:rPr>
          <w:rFonts w:eastAsia="Times New Roman"/>
          <w:sz w:val="24"/>
          <w:szCs w:val="24"/>
        </w:rPr>
        <w:t xml:space="preserve">за </w:t>
      </w:r>
      <w:r w:rsidRPr="00251418">
        <w:rPr>
          <w:rFonts w:eastAsia="Times New Roman"/>
          <w:sz w:val="24"/>
          <w:szCs w:val="24"/>
          <w:lang w:val="en-US"/>
        </w:rPr>
        <w:t>I</w:t>
      </w:r>
      <w:r w:rsidRPr="00251418">
        <w:rPr>
          <w:rFonts w:eastAsia="Times New Roman"/>
          <w:sz w:val="24"/>
          <w:szCs w:val="24"/>
        </w:rPr>
        <w:t xml:space="preserve"> полугодие 2020 года</w:t>
      </w:r>
    </w:p>
    <w:p w:rsidR="00D15568" w:rsidRPr="00A60A0C" w:rsidRDefault="00D15568" w:rsidP="00F91895">
      <w:pPr>
        <w:spacing w:line="240" w:lineRule="auto"/>
        <w:ind w:left="0" w:right="0"/>
        <w:rPr>
          <w:rFonts w:eastAsia="Times New Roman"/>
          <w:sz w:val="16"/>
          <w:szCs w:val="16"/>
        </w:rPr>
      </w:pPr>
    </w:p>
    <w:tbl>
      <w:tblPr>
        <w:tblStyle w:val="af0"/>
        <w:tblW w:w="10173" w:type="dxa"/>
        <w:tblLook w:val="04A0" w:firstRow="1" w:lastRow="0" w:firstColumn="1" w:lastColumn="0" w:noHBand="0" w:noVBand="1"/>
      </w:tblPr>
      <w:tblGrid>
        <w:gridCol w:w="1954"/>
        <w:gridCol w:w="8219"/>
      </w:tblGrid>
      <w:tr w:rsidR="002534AD" w:rsidRPr="008A7FDA" w:rsidTr="00B57B77">
        <w:trPr>
          <w:tblHeader/>
        </w:trPr>
        <w:tc>
          <w:tcPr>
            <w:tcW w:w="1954" w:type="dxa"/>
            <w:vAlign w:val="center"/>
          </w:tcPr>
          <w:p w:rsidR="001876A7" w:rsidRPr="00251418" w:rsidRDefault="00411891" w:rsidP="00E527CB">
            <w:pPr>
              <w:spacing w:line="240" w:lineRule="auto"/>
              <w:ind w:left="0" w:right="0" w:firstLine="0"/>
              <w:jc w:val="center"/>
              <w:rPr>
                <w:rFonts w:eastAsia="Times New Roman"/>
                <w:b/>
                <w:sz w:val="20"/>
                <w:szCs w:val="20"/>
              </w:rPr>
            </w:pPr>
            <w:r w:rsidRPr="00251418">
              <w:rPr>
                <w:rFonts w:eastAsia="Times New Roman"/>
                <w:b/>
                <w:sz w:val="20"/>
                <w:szCs w:val="20"/>
              </w:rPr>
              <w:t>Наименование</w:t>
            </w:r>
          </w:p>
        </w:tc>
        <w:tc>
          <w:tcPr>
            <w:tcW w:w="8219" w:type="dxa"/>
            <w:vAlign w:val="center"/>
          </w:tcPr>
          <w:p w:rsidR="002534AD" w:rsidRPr="00251418" w:rsidRDefault="00E527CB" w:rsidP="00E527CB">
            <w:pPr>
              <w:spacing w:line="240" w:lineRule="auto"/>
              <w:ind w:left="0" w:right="0" w:firstLine="0"/>
              <w:jc w:val="center"/>
              <w:rPr>
                <w:rFonts w:eastAsia="Times New Roman"/>
                <w:b/>
                <w:sz w:val="20"/>
                <w:szCs w:val="20"/>
              </w:rPr>
            </w:pPr>
            <w:r w:rsidRPr="00251418">
              <w:rPr>
                <w:rFonts w:eastAsia="Times New Roman"/>
                <w:b/>
                <w:sz w:val="20"/>
                <w:szCs w:val="20"/>
              </w:rPr>
              <w:t xml:space="preserve">Информация о перераспределении бюджетных ассигнований на 2020 год </w:t>
            </w:r>
          </w:p>
        </w:tc>
      </w:tr>
      <w:tr w:rsidR="00EA0256" w:rsidRPr="00E527CB" w:rsidTr="00B57B77">
        <w:trPr>
          <w:trHeight w:val="2067"/>
        </w:trPr>
        <w:tc>
          <w:tcPr>
            <w:tcW w:w="1954" w:type="dxa"/>
          </w:tcPr>
          <w:p w:rsidR="00EA0256" w:rsidRPr="009F7BEA" w:rsidRDefault="00E527CB" w:rsidP="00411891">
            <w:pPr>
              <w:spacing w:line="240" w:lineRule="auto"/>
              <w:ind w:left="0" w:right="0" w:firstLine="0"/>
              <w:jc w:val="left"/>
              <w:rPr>
                <w:rFonts w:eastAsia="Times New Roman"/>
                <w:b/>
                <w:sz w:val="20"/>
                <w:szCs w:val="20"/>
              </w:rPr>
            </w:pPr>
            <w:r w:rsidRPr="00096D14">
              <w:rPr>
                <w:rFonts w:eastAsia="Times New Roman"/>
                <w:sz w:val="20"/>
                <w:szCs w:val="20"/>
              </w:rPr>
              <w:t xml:space="preserve">Изменения, вносимые в случае </w:t>
            </w:r>
            <w:proofErr w:type="gramStart"/>
            <w:r w:rsidRPr="00096D14">
              <w:rPr>
                <w:rFonts w:eastAsia="Times New Roman"/>
                <w:sz w:val="20"/>
                <w:szCs w:val="20"/>
              </w:rPr>
              <w:t>увеличения бюджетных ассигнований резервного фонда Правительства Российской Федерации</w:t>
            </w:r>
            <w:proofErr w:type="gramEnd"/>
          </w:p>
        </w:tc>
        <w:tc>
          <w:tcPr>
            <w:tcW w:w="8219" w:type="dxa"/>
          </w:tcPr>
          <w:p w:rsidR="00E03510" w:rsidRPr="00251418" w:rsidRDefault="005D379A" w:rsidP="00E03510">
            <w:pPr>
              <w:spacing w:line="240" w:lineRule="auto"/>
              <w:ind w:left="0" w:right="-2" w:firstLine="459"/>
              <w:outlineLvl w:val="2"/>
              <w:rPr>
                <w:rFonts w:eastAsia="Times New Roman"/>
                <w:sz w:val="20"/>
                <w:szCs w:val="20"/>
              </w:rPr>
            </w:pPr>
            <w:proofErr w:type="gramStart"/>
            <w:r w:rsidRPr="00251418">
              <w:rPr>
                <w:rFonts w:eastAsia="Times New Roman"/>
                <w:sz w:val="20"/>
                <w:szCs w:val="20"/>
              </w:rPr>
              <w:t>Общее п</w:t>
            </w:r>
            <w:r w:rsidR="00E527CB" w:rsidRPr="00251418">
              <w:rPr>
                <w:rFonts w:eastAsia="Times New Roman"/>
                <w:sz w:val="20"/>
                <w:szCs w:val="20"/>
              </w:rPr>
              <w:t>ерераспределение бюджетных ассигнований</w:t>
            </w:r>
            <w:r w:rsidR="00E03510" w:rsidRPr="00251418">
              <w:rPr>
                <w:rFonts w:eastAsia="Times New Roman"/>
                <w:sz w:val="20"/>
                <w:szCs w:val="20"/>
              </w:rPr>
              <w:t xml:space="preserve"> по предложениям главных распорядителей</w:t>
            </w:r>
            <w:r w:rsidR="00E527CB" w:rsidRPr="00251418">
              <w:rPr>
                <w:rFonts w:eastAsia="Times New Roman"/>
                <w:sz w:val="20"/>
                <w:szCs w:val="20"/>
              </w:rPr>
              <w:t>, предусматривающее увеличение резервного фонда Правительства Российской Федерации, состав</w:t>
            </w:r>
            <w:r w:rsidR="00FD78CA" w:rsidRPr="00251418">
              <w:rPr>
                <w:rFonts w:eastAsia="Times New Roman"/>
                <w:sz w:val="20"/>
                <w:szCs w:val="20"/>
              </w:rPr>
              <w:t>ило</w:t>
            </w:r>
            <w:r w:rsidR="00E527CB" w:rsidRPr="00251418">
              <w:rPr>
                <w:rFonts w:eastAsia="Times New Roman"/>
                <w:b/>
                <w:sz w:val="20"/>
                <w:szCs w:val="20"/>
              </w:rPr>
              <w:t xml:space="preserve"> </w:t>
            </w:r>
            <w:r w:rsidR="002266C6" w:rsidRPr="00251418">
              <w:rPr>
                <w:rFonts w:eastAsia="Times New Roman"/>
                <w:b/>
                <w:bCs/>
                <w:sz w:val="20"/>
                <w:szCs w:val="20"/>
              </w:rPr>
              <w:t>679 747,5</w:t>
            </w:r>
            <w:r w:rsidR="002266C6" w:rsidRPr="00251418">
              <w:rPr>
                <w:rFonts w:eastAsia="Times New Roman"/>
                <w:bCs/>
                <w:sz w:val="20"/>
                <w:szCs w:val="20"/>
              </w:rPr>
              <w:t> </w:t>
            </w:r>
            <w:r w:rsidR="00E03510" w:rsidRPr="00251418">
              <w:rPr>
                <w:rFonts w:eastAsia="Times New Roman"/>
                <w:b/>
                <w:sz w:val="20"/>
                <w:szCs w:val="20"/>
              </w:rPr>
              <w:t xml:space="preserve">млн. рублей, </w:t>
            </w:r>
            <w:r w:rsidR="00E03510" w:rsidRPr="00251418">
              <w:rPr>
                <w:rFonts w:eastAsia="Times New Roman"/>
                <w:sz w:val="20"/>
                <w:szCs w:val="20"/>
              </w:rPr>
              <w:t>из них</w:t>
            </w:r>
            <w:r w:rsidR="00E03510" w:rsidRPr="00251418">
              <w:rPr>
                <w:rFonts w:eastAsia="Times New Roman"/>
                <w:b/>
                <w:sz w:val="20"/>
                <w:szCs w:val="20"/>
              </w:rPr>
              <w:t xml:space="preserve"> </w:t>
            </w:r>
            <w:r w:rsidR="00E03510" w:rsidRPr="00251418">
              <w:rPr>
                <w:rFonts w:eastAsia="Times New Roman" w:hint="eastAsia"/>
                <w:sz w:val="20"/>
                <w:szCs w:val="20"/>
              </w:rPr>
              <w:t>перераспределение</w:t>
            </w:r>
            <w:r w:rsidR="00E03510" w:rsidRPr="00251418">
              <w:rPr>
                <w:rFonts w:eastAsia="Times New Roman"/>
                <w:sz w:val="20"/>
                <w:szCs w:val="20"/>
              </w:rPr>
              <w:t xml:space="preserve"> </w:t>
            </w:r>
            <w:r w:rsidR="00E03510" w:rsidRPr="00251418">
              <w:rPr>
                <w:rFonts w:eastAsia="Times New Roman" w:hint="eastAsia"/>
                <w:sz w:val="20"/>
                <w:szCs w:val="20"/>
              </w:rPr>
              <w:t>в</w:t>
            </w:r>
            <w:r w:rsidR="00E03510" w:rsidRPr="00251418">
              <w:rPr>
                <w:rFonts w:eastAsia="Times New Roman"/>
                <w:sz w:val="20"/>
                <w:szCs w:val="20"/>
              </w:rPr>
              <w:t xml:space="preserve"> </w:t>
            </w:r>
            <w:r w:rsidR="00E03510" w:rsidRPr="00251418">
              <w:rPr>
                <w:rFonts w:eastAsia="Times New Roman" w:hint="eastAsia"/>
                <w:sz w:val="20"/>
                <w:szCs w:val="20"/>
              </w:rPr>
              <w:t>резервный</w:t>
            </w:r>
            <w:r w:rsidR="00E03510" w:rsidRPr="00251418">
              <w:rPr>
                <w:rFonts w:eastAsia="Times New Roman"/>
                <w:sz w:val="20"/>
                <w:szCs w:val="20"/>
              </w:rPr>
              <w:t xml:space="preserve"> </w:t>
            </w:r>
            <w:r w:rsidR="00E03510" w:rsidRPr="00251418">
              <w:rPr>
                <w:rFonts w:eastAsia="Times New Roman" w:hint="eastAsia"/>
                <w:sz w:val="20"/>
                <w:szCs w:val="20"/>
              </w:rPr>
              <w:t>фонд</w:t>
            </w:r>
            <w:r w:rsidR="00E03510" w:rsidRPr="00251418">
              <w:rPr>
                <w:rFonts w:eastAsia="Times New Roman"/>
                <w:sz w:val="20"/>
                <w:szCs w:val="20"/>
              </w:rPr>
              <w:t xml:space="preserve"> </w:t>
            </w:r>
            <w:r w:rsidR="00E03510" w:rsidRPr="00251418">
              <w:rPr>
                <w:rFonts w:eastAsia="Times New Roman" w:hint="eastAsia"/>
                <w:sz w:val="20"/>
                <w:szCs w:val="20"/>
              </w:rPr>
              <w:t>Правительства</w:t>
            </w:r>
            <w:r w:rsidR="00E03510" w:rsidRPr="00251418">
              <w:rPr>
                <w:rFonts w:eastAsia="Times New Roman"/>
                <w:sz w:val="20"/>
                <w:szCs w:val="20"/>
              </w:rPr>
              <w:t xml:space="preserve"> </w:t>
            </w:r>
            <w:r w:rsidR="00E03510" w:rsidRPr="00251418">
              <w:rPr>
                <w:rFonts w:eastAsia="Times New Roman" w:hint="eastAsia"/>
                <w:sz w:val="20"/>
                <w:szCs w:val="20"/>
              </w:rPr>
              <w:t>Российской</w:t>
            </w:r>
            <w:r w:rsidR="00E03510" w:rsidRPr="00251418">
              <w:rPr>
                <w:rFonts w:eastAsia="Times New Roman"/>
                <w:sz w:val="20"/>
                <w:szCs w:val="20"/>
              </w:rPr>
              <w:t xml:space="preserve"> </w:t>
            </w:r>
            <w:r w:rsidR="00E03510" w:rsidRPr="00251418">
              <w:rPr>
                <w:rFonts w:eastAsia="Times New Roman" w:hint="eastAsia"/>
                <w:sz w:val="20"/>
                <w:szCs w:val="20"/>
              </w:rPr>
              <w:t>Федерации</w:t>
            </w:r>
            <w:r w:rsidR="00E03510" w:rsidRPr="00251418">
              <w:rPr>
                <w:rFonts w:eastAsia="Times New Roman"/>
                <w:sz w:val="20"/>
                <w:szCs w:val="20"/>
              </w:rPr>
              <w:t xml:space="preserve"> </w:t>
            </w:r>
            <w:r w:rsidR="00E03510" w:rsidRPr="00251418">
              <w:rPr>
                <w:rFonts w:eastAsia="Times New Roman" w:hint="eastAsia"/>
                <w:sz w:val="20"/>
                <w:szCs w:val="20"/>
              </w:rPr>
              <w:t>во</w:t>
            </w:r>
            <w:r w:rsidR="00E03510" w:rsidRPr="00251418">
              <w:rPr>
                <w:rFonts w:eastAsia="Times New Roman"/>
                <w:sz w:val="20"/>
                <w:szCs w:val="20"/>
              </w:rPr>
              <w:t xml:space="preserve"> </w:t>
            </w:r>
            <w:r w:rsidR="00E03510" w:rsidRPr="00251418">
              <w:rPr>
                <w:rFonts w:eastAsia="Times New Roman" w:hint="eastAsia"/>
                <w:sz w:val="20"/>
                <w:szCs w:val="20"/>
              </w:rPr>
              <w:t>исполнение</w:t>
            </w:r>
            <w:r w:rsidR="00E03510" w:rsidRPr="00251418">
              <w:rPr>
                <w:rFonts w:eastAsia="Times New Roman"/>
                <w:sz w:val="20"/>
                <w:szCs w:val="20"/>
              </w:rPr>
              <w:t xml:space="preserve"> </w:t>
            </w:r>
            <w:r w:rsidR="00E03510" w:rsidRPr="00251418">
              <w:rPr>
                <w:rFonts w:eastAsia="Times New Roman" w:hint="eastAsia"/>
                <w:sz w:val="20"/>
                <w:szCs w:val="20"/>
              </w:rPr>
              <w:t>поручения</w:t>
            </w:r>
            <w:r w:rsidR="00E03510" w:rsidRPr="00251418">
              <w:rPr>
                <w:rFonts w:eastAsia="Times New Roman"/>
                <w:sz w:val="20"/>
                <w:szCs w:val="20"/>
              </w:rPr>
              <w:t xml:space="preserve"> </w:t>
            </w:r>
            <w:r w:rsidR="00E03510" w:rsidRPr="00251418">
              <w:rPr>
                <w:rFonts w:eastAsia="Times New Roman" w:hint="eastAsia"/>
                <w:sz w:val="20"/>
                <w:szCs w:val="20"/>
              </w:rPr>
              <w:t>Председателя</w:t>
            </w:r>
            <w:r w:rsidR="00A611D1" w:rsidRPr="00251418">
              <w:rPr>
                <w:rFonts w:eastAsia="Times New Roman"/>
                <w:sz w:val="20"/>
                <w:szCs w:val="20"/>
              </w:rPr>
              <w:t xml:space="preserve"> </w:t>
            </w:r>
            <w:r w:rsidR="00E03510" w:rsidRPr="00251418">
              <w:rPr>
                <w:rFonts w:eastAsia="Times New Roman" w:hint="eastAsia"/>
                <w:sz w:val="20"/>
                <w:szCs w:val="20"/>
              </w:rPr>
              <w:t>Правительства</w:t>
            </w:r>
            <w:r w:rsidR="00E03510" w:rsidRPr="00251418">
              <w:rPr>
                <w:rFonts w:eastAsia="Times New Roman"/>
                <w:sz w:val="20"/>
                <w:szCs w:val="20"/>
              </w:rPr>
              <w:t xml:space="preserve"> </w:t>
            </w:r>
            <w:r w:rsidR="00E03510" w:rsidRPr="00251418">
              <w:rPr>
                <w:rFonts w:eastAsia="Times New Roman" w:hint="eastAsia"/>
                <w:sz w:val="20"/>
                <w:szCs w:val="20"/>
              </w:rPr>
              <w:t>Российской</w:t>
            </w:r>
            <w:r w:rsidR="00E03510" w:rsidRPr="00251418">
              <w:rPr>
                <w:rFonts w:eastAsia="Times New Roman"/>
                <w:sz w:val="20"/>
                <w:szCs w:val="20"/>
              </w:rPr>
              <w:t xml:space="preserve"> </w:t>
            </w:r>
            <w:r w:rsidR="00E03510" w:rsidRPr="00251418">
              <w:rPr>
                <w:rFonts w:eastAsia="Times New Roman" w:hint="eastAsia"/>
                <w:sz w:val="20"/>
                <w:szCs w:val="20"/>
              </w:rPr>
              <w:t>Федерации</w:t>
            </w:r>
            <w:r w:rsidR="00E03510" w:rsidRPr="00251418">
              <w:rPr>
                <w:rFonts w:eastAsia="Times New Roman"/>
                <w:sz w:val="20"/>
                <w:szCs w:val="20"/>
              </w:rPr>
              <w:t xml:space="preserve"> </w:t>
            </w:r>
            <w:proofErr w:type="spellStart"/>
            <w:r w:rsidR="00E03510" w:rsidRPr="00251418">
              <w:rPr>
                <w:rFonts w:eastAsia="Times New Roman" w:hint="eastAsia"/>
                <w:sz w:val="20"/>
                <w:szCs w:val="20"/>
              </w:rPr>
              <w:t>М</w:t>
            </w:r>
            <w:r w:rsidR="00E03510" w:rsidRPr="00251418">
              <w:rPr>
                <w:rFonts w:eastAsia="Times New Roman"/>
                <w:sz w:val="20"/>
                <w:szCs w:val="20"/>
              </w:rPr>
              <w:t>.</w:t>
            </w:r>
            <w:r w:rsidR="00E03510" w:rsidRPr="00251418">
              <w:rPr>
                <w:rFonts w:eastAsia="Times New Roman" w:hint="eastAsia"/>
                <w:sz w:val="20"/>
                <w:szCs w:val="20"/>
              </w:rPr>
              <w:t>В</w:t>
            </w:r>
            <w:r w:rsidR="00E03510" w:rsidRPr="00251418">
              <w:rPr>
                <w:rFonts w:eastAsia="Times New Roman"/>
                <w:sz w:val="20"/>
                <w:szCs w:val="20"/>
              </w:rPr>
              <w:t>.</w:t>
            </w:r>
            <w:r w:rsidR="00A611D1" w:rsidRPr="00251418">
              <w:rPr>
                <w:rFonts w:eastAsia="Times New Roman" w:hint="eastAsia"/>
                <w:sz w:val="20"/>
                <w:szCs w:val="20"/>
              </w:rPr>
              <w:t>Миш</w:t>
            </w:r>
            <w:r w:rsidR="00E03510" w:rsidRPr="00251418">
              <w:rPr>
                <w:rFonts w:eastAsia="Times New Roman" w:hint="eastAsia"/>
                <w:sz w:val="20"/>
                <w:szCs w:val="20"/>
              </w:rPr>
              <w:t>устина</w:t>
            </w:r>
            <w:proofErr w:type="spellEnd"/>
            <w:r w:rsidR="00E03510" w:rsidRPr="00251418">
              <w:rPr>
                <w:rFonts w:eastAsia="Times New Roman"/>
                <w:sz w:val="20"/>
                <w:szCs w:val="20"/>
              </w:rPr>
              <w:t xml:space="preserve"> </w:t>
            </w:r>
            <w:r w:rsidR="00E03510" w:rsidRPr="00251418">
              <w:rPr>
                <w:rFonts w:eastAsia="Times New Roman" w:hint="eastAsia"/>
                <w:sz w:val="20"/>
                <w:szCs w:val="20"/>
              </w:rPr>
              <w:t>от</w:t>
            </w:r>
            <w:r w:rsidR="00E03510" w:rsidRPr="00251418">
              <w:rPr>
                <w:rFonts w:eastAsia="Times New Roman"/>
                <w:sz w:val="20"/>
                <w:szCs w:val="20"/>
              </w:rPr>
              <w:t xml:space="preserve"> 30 </w:t>
            </w:r>
            <w:r w:rsidR="00E03510" w:rsidRPr="00251418">
              <w:rPr>
                <w:rFonts w:eastAsia="Times New Roman" w:hint="eastAsia"/>
                <w:sz w:val="20"/>
                <w:szCs w:val="20"/>
              </w:rPr>
              <w:t>апреля</w:t>
            </w:r>
            <w:r w:rsidR="00E03510" w:rsidRPr="00251418">
              <w:rPr>
                <w:rFonts w:eastAsia="Times New Roman"/>
                <w:sz w:val="20"/>
                <w:szCs w:val="20"/>
              </w:rPr>
              <w:t xml:space="preserve"> 2020 </w:t>
            </w:r>
            <w:r w:rsidR="00E03510" w:rsidRPr="00251418">
              <w:rPr>
                <w:rFonts w:eastAsia="Times New Roman" w:hint="eastAsia"/>
                <w:sz w:val="20"/>
                <w:szCs w:val="20"/>
              </w:rPr>
              <w:t>года</w:t>
            </w:r>
            <w:r w:rsidR="00A611D1" w:rsidRPr="00251418">
              <w:rPr>
                <w:rFonts w:eastAsia="Times New Roman"/>
                <w:sz w:val="20"/>
                <w:szCs w:val="20"/>
              </w:rPr>
              <w:t xml:space="preserve"> </w:t>
            </w:r>
            <w:r w:rsidR="00E03510" w:rsidRPr="00251418">
              <w:rPr>
                <w:rFonts w:eastAsia="Times New Roman" w:hint="eastAsia"/>
                <w:sz w:val="20"/>
                <w:szCs w:val="20"/>
              </w:rPr>
              <w:t>№</w:t>
            </w:r>
            <w:r w:rsidR="00B43CF0" w:rsidRPr="00251418">
              <w:rPr>
                <w:rFonts w:eastAsia="Times New Roman"/>
                <w:sz w:val="20"/>
                <w:szCs w:val="20"/>
              </w:rPr>
              <w:t> </w:t>
            </w:r>
            <w:r w:rsidR="00E03510" w:rsidRPr="00251418">
              <w:rPr>
                <w:rFonts w:eastAsia="Times New Roman" w:hint="eastAsia"/>
                <w:sz w:val="20"/>
                <w:szCs w:val="20"/>
              </w:rPr>
              <w:t>ММ</w:t>
            </w:r>
            <w:r w:rsidR="00E03510" w:rsidRPr="00251418">
              <w:rPr>
                <w:rFonts w:eastAsia="Times New Roman"/>
                <w:sz w:val="20"/>
                <w:szCs w:val="20"/>
              </w:rPr>
              <w:t>-</w:t>
            </w:r>
            <w:r w:rsidR="00A611D1" w:rsidRPr="00251418">
              <w:rPr>
                <w:rFonts w:eastAsia="Times New Roman" w:hint="eastAsia"/>
                <w:sz w:val="20"/>
                <w:szCs w:val="20"/>
              </w:rPr>
              <w:t>П</w:t>
            </w:r>
            <w:r w:rsidR="00A611D1" w:rsidRPr="00251418">
              <w:rPr>
                <w:rFonts w:eastAsia="Times New Roman"/>
                <w:sz w:val="20"/>
                <w:szCs w:val="20"/>
              </w:rPr>
              <w:t>1</w:t>
            </w:r>
            <w:r w:rsidR="00251418" w:rsidRPr="00251418">
              <w:rPr>
                <w:rFonts w:eastAsia="Times New Roman"/>
                <w:sz w:val="20"/>
                <w:szCs w:val="20"/>
              </w:rPr>
              <w:t>3-4261</w:t>
            </w:r>
            <w:r w:rsidR="00E03510" w:rsidRPr="00251418">
              <w:rPr>
                <w:rFonts w:eastAsia="Times New Roman" w:hint="eastAsia"/>
                <w:sz w:val="20"/>
                <w:szCs w:val="20"/>
              </w:rPr>
              <w:t>кв</w:t>
            </w:r>
            <w:r w:rsidR="00E03510" w:rsidRPr="00251418">
              <w:rPr>
                <w:rFonts w:eastAsia="Times New Roman"/>
                <w:sz w:val="20"/>
                <w:szCs w:val="20"/>
              </w:rPr>
              <w:t xml:space="preserve"> </w:t>
            </w:r>
            <w:r w:rsidR="00E03510" w:rsidRPr="00251418">
              <w:rPr>
                <w:rFonts w:eastAsia="Times New Roman" w:hint="eastAsia"/>
                <w:sz w:val="20"/>
                <w:szCs w:val="20"/>
              </w:rPr>
              <w:t>в</w:t>
            </w:r>
            <w:r w:rsidR="00E03510" w:rsidRPr="00251418">
              <w:rPr>
                <w:rFonts w:eastAsia="Times New Roman"/>
                <w:sz w:val="20"/>
                <w:szCs w:val="20"/>
              </w:rPr>
              <w:t xml:space="preserve"> </w:t>
            </w:r>
            <w:r w:rsidR="00E03510" w:rsidRPr="00251418">
              <w:rPr>
                <w:rFonts w:eastAsia="Times New Roman" w:hint="eastAsia"/>
                <w:sz w:val="20"/>
                <w:szCs w:val="20"/>
              </w:rPr>
              <w:t>целях</w:t>
            </w:r>
            <w:r w:rsidR="00E03510" w:rsidRPr="00251418">
              <w:rPr>
                <w:rFonts w:eastAsia="Times New Roman"/>
                <w:sz w:val="20"/>
                <w:szCs w:val="20"/>
              </w:rPr>
              <w:t xml:space="preserve"> </w:t>
            </w:r>
            <w:r w:rsidR="00E03510" w:rsidRPr="00251418">
              <w:rPr>
                <w:rFonts w:eastAsia="Times New Roman" w:hint="eastAsia"/>
                <w:sz w:val="20"/>
                <w:szCs w:val="20"/>
              </w:rPr>
              <w:t>финансового</w:t>
            </w:r>
            <w:r w:rsidR="00A611D1" w:rsidRPr="00251418">
              <w:rPr>
                <w:rFonts w:eastAsia="Times New Roman"/>
                <w:sz w:val="20"/>
                <w:szCs w:val="20"/>
              </w:rPr>
              <w:t xml:space="preserve"> </w:t>
            </w:r>
            <w:r w:rsidR="00E03510" w:rsidRPr="00251418">
              <w:rPr>
                <w:rFonts w:eastAsia="Times New Roman" w:hint="eastAsia"/>
                <w:sz w:val="20"/>
                <w:szCs w:val="20"/>
              </w:rPr>
              <w:t>обеспечения</w:t>
            </w:r>
            <w:r w:rsidR="00E03510" w:rsidRPr="00251418">
              <w:rPr>
                <w:rFonts w:eastAsia="Times New Roman"/>
                <w:sz w:val="20"/>
                <w:szCs w:val="20"/>
              </w:rPr>
              <w:t xml:space="preserve"> </w:t>
            </w:r>
            <w:r w:rsidR="00E03510" w:rsidRPr="00251418">
              <w:rPr>
                <w:rFonts w:eastAsia="Times New Roman" w:hint="eastAsia"/>
                <w:b/>
                <w:sz w:val="20"/>
                <w:szCs w:val="20"/>
              </w:rPr>
              <w:t>Плана</w:t>
            </w:r>
            <w:r w:rsidR="00E03510" w:rsidRPr="00251418">
              <w:rPr>
                <w:rFonts w:eastAsia="Times New Roman"/>
                <w:b/>
                <w:sz w:val="20"/>
                <w:szCs w:val="20"/>
              </w:rPr>
              <w:t xml:space="preserve"> </w:t>
            </w:r>
            <w:r w:rsidR="00E03510" w:rsidRPr="00251418">
              <w:rPr>
                <w:rFonts w:eastAsia="Times New Roman" w:hint="eastAsia"/>
                <w:b/>
                <w:sz w:val="20"/>
                <w:szCs w:val="20"/>
              </w:rPr>
              <w:t>основных</w:t>
            </w:r>
            <w:r w:rsidR="00E03510" w:rsidRPr="00251418">
              <w:rPr>
                <w:rFonts w:eastAsia="Times New Roman"/>
                <w:b/>
                <w:sz w:val="20"/>
                <w:szCs w:val="20"/>
              </w:rPr>
              <w:t xml:space="preserve"> </w:t>
            </w:r>
            <w:r w:rsidR="00E03510" w:rsidRPr="00251418">
              <w:rPr>
                <w:rFonts w:eastAsia="Times New Roman" w:hint="eastAsia"/>
                <w:b/>
                <w:sz w:val="20"/>
                <w:szCs w:val="20"/>
              </w:rPr>
              <w:t>мероприятий</w:t>
            </w:r>
            <w:r w:rsidR="00E03510" w:rsidRPr="00251418">
              <w:rPr>
                <w:rFonts w:eastAsia="Times New Roman"/>
                <w:b/>
                <w:sz w:val="20"/>
                <w:szCs w:val="20"/>
              </w:rPr>
              <w:t xml:space="preserve"> (</w:t>
            </w:r>
            <w:r w:rsidR="00E03510" w:rsidRPr="00251418">
              <w:rPr>
                <w:rFonts w:eastAsia="Times New Roman" w:hint="eastAsia"/>
                <w:b/>
                <w:sz w:val="20"/>
                <w:szCs w:val="20"/>
              </w:rPr>
              <w:t>действий</w:t>
            </w:r>
            <w:r w:rsidR="00E03510" w:rsidRPr="00251418">
              <w:rPr>
                <w:rFonts w:eastAsia="Times New Roman"/>
                <w:b/>
                <w:sz w:val="20"/>
                <w:szCs w:val="20"/>
              </w:rPr>
              <w:t xml:space="preserve">) </w:t>
            </w:r>
            <w:r w:rsidR="00E03510" w:rsidRPr="00251418">
              <w:rPr>
                <w:rFonts w:eastAsia="Times New Roman" w:hint="eastAsia"/>
                <w:b/>
                <w:sz w:val="20"/>
                <w:szCs w:val="20"/>
              </w:rPr>
              <w:t>по</w:t>
            </w:r>
            <w:r w:rsidR="00E03510" w:rsidRPr="00251418">
              <w:rPr>
                <w:rFonts w:eastAsia="Times New Roman"/>
                <w:b/>
                <w:sz w:val="20"/>
                <w:szCs w:val="20"/>
              </w:rPr>
              <w:t xml:space="preserve"> </w:t>
            </w:r>
            <w:r w:rsidR="00E03510" w:rsidRPr="00251418">
              <w:rPr>
                <w:rFonts w:eastAsia="Times New Roman" w:hint="eastAsia"/>
                <w:b/>
                <w:sz w:val="20"/>
                <w:szCs w:val="20"/>
              </w:rPr>
              <w:t>обеспечению</w:t>
            </w:r>
            <w:r w:rsidR="00A611D1" w:rsidRPr="00251418">
              <w:rPr>
                <w:rFonts w:eastAsia="Times New Roman"/>
                <w:b/>
                <w:sz w:val="20"/>
                <w:szCs w:val="20"/>
              </w:rPr>
              <w:t xml:space="preserve"> </w:t>
            </w:r>
            <w:r w:rsidR="00E03510" w:rsidRPr="00251418">
              <w:rPr>
                <w:rFonts w:eastAsia="Times New Roman" w:hint="eastAsia"/>
                <w:b/>
                <w:sz w:val="20"/>
                <w:szCs w:val="20"/>
              </w:rPr>
              <w:t>устойчивого</w:t>
            </w:r>
            <w:r w:rsidR="00E03510" w:rsidRPr="00251418">
              <w:rPr>
                <w:rFonts w:eastAsia="Times New Roman"/>
                <w:b/>
                <w:sz w:val="20"/>
                <w:szCs w:val="20"/>
              </w:rPr>
              <w:t xml:space="preserve"> </w:t>
            </w:r>
            <w:r w:rsidR="00E03510" w:rsidRPr="00251418">
              <w:rPr>
                <w:rFonts w:eastAsia="Times New Roman" w:hint="eastAsia"/>
                <w:b/>
                <w:sz w:val="20"/>
                <w:szCs w:val="20"/>
              </w:rPr>
              <w:t>развития</w:t>
            </w:r>
            <w:r w:rsidR="00E03510" w:rsidRPr="00251418">
              <w:rPr>
                <w:rFonts w:eastAsia="Times New Roman"/>
                <w:b/>
                <w:sz w:val="20"/>
                <w:szCs w:val="20"/>
              </w:rPr>
              <w:t xml:space="preserve"> </w:t>
            </w:r>
            <w:r w:rsidR="00E03510" w:rsidRPr="00251418">
              <w:rPr>
                <w:rFonts w:eastAsia="Times New Roman" w:hint="eastAsia"/>
                <w:b/>
                <w:sz w:val="20"/>
                <w:szCs w:val="20"/>
              </w:rPr>
              <w:t>экономики</w:t>
            </w:r>
            <w:r w:rsidR="00E03510" w:rsidRPr="00251418">
              <w:rPr>
                <w:rFonts w:eastAsia="Times New Roman"/>
                <w:sz w:val="20"/>
                <w:szCs w:val="20"/>
              </w:rPr>
              <w:t xml:space="preserve"> </w:t>
            </w:r>
            <w:r w:rsidR="00E03510" w:rsidRPr="00251418">
              <w:rPr>
                <w:rFonts w:eastAsia="Times New Roman" w:hint="eastAsia"/>
                <w:sz w:val="20"/>
                <w:szCs w:val="20"/>
              </w:rPr>
              <w:t>в</w:t>
            </w:r>
            <w:r w:rsidR="00E03510" w:rsidRPr="00251418">
              <w:rPr>
                <w:rFonts w:eastAsia="Times New Roman"/>
                <w:sz w:val="20"/>
                <w:szCs w:val="20"/>
              </w:rPr>
              <w:t xml:space="preserve"> </w:t>
            </w:r>
            <w:r w:rsidR="00E03510" w:rsidRPr="00251418">
              <w:rPr>
                <w:rFonts w:eastAsia="Times New Roman" w:hint="eastAsia"/>
                <w:sz w:val="20"/>
                <w:szCs w:val="20"/>
              </w:rPr>
              <w:t>условиях</w:t>
            </w:r>
            <w:proofErr w:type="gramEnd"/>
            <w:r w:rsidR="00E03510" w:rsidRPr="00251418">
              <w:rPr>
                <w:rFonts w:eastAsia="Times New Roman"/>
                <w:sz w:val="20"/>
                <w:szCs w:val="20"/>
              </w:rPr>
              <w:t xml:space="preserve"> </w:t>
            </w:r>
            <w:r w:rsidR="00E03510" w:rsidRPr="00251418">
              <w:rPr>
                <w:rFonts w:eastAsia="Times New Roman" w:hint="eastAsia"/>
                <w:sz w:val="20"/>
                <w:szCs w:val="20"/>
              </w:rPr>
              <w:t>ухудшения</w:t>
            </w:r>
            <w:r w:rsidR="00E03510" w:rsidRPr="00251418">
              <w:rPr>
                <w:rFonts w:eastAsia="Times New Roman"/>
                <w:sz w:val="20"/>
                <w:szCs w:val="20"/>
              </w:rPr>
              <w:t xml:space="preserve"> </w:t>
            </w:r>
            <w:r w:rsidR="00E03510" w:rsidRPr="00251418">
              <w:rPr>
                <w:rFonts w:eastAsia="Times New Roman" w:hint="eastAsia"/>
                <w:sz w:val="20"/>
                <w:szCs w:val="20"/>
              </w:rPr>
              <w:t>ситуации</w:t>
            </w:r>
            <w:r w:rsidR="00E03510" w:rsidRPr="00251418">
              <w:rPr>
                <w:rFonts w:eastAsia="Times New Roman"/>
                <w:sz w:val="20"/>
                <w:szCs w:val="20"/>
              </w:rPr>
              <w:t xml:space="preserve"> </w:t>
            </w:r>
            <w:r w:rsidR="00E03510" w:rsidRPr="00251418">
              <w:rPr>
                <w:rFonts w:eastAsia="Times New Roman" w:hint="eastAsia"/>
                <w:sz w:val="20"/>
                <w:szCs w:val="20"/>
              </w:rPr>
              <w:t>в</w:t>
            </w:r>
            <w:r w:rsidR="00E03510" w:rsidRPr="00251418">
              <w:rPr>
                <w:rFonts w:eastAsia="Times New Roman"/>
                <w:sz w:val="20"/>
                <w:szCs w:val="20"/>
              </w:rPr>
              <w:t xml:space="preserve"> </w:t>
            </w:r>
            <w:r w:rsidR="00E03510" w:rsidRPr="00251418">
              <w:rPr>
                <w:rFonts w:eastAsia="Times New Roman" w:hint="eastAsia"/>
                <w:sz w:val="20"/>
                <w:szCs w:val="20"/>
              </w:rPr>
              <w:t>связи</w:t>
            </w:r>
            <w:r w:rsidR="00E03510" w:rsidRPr="00251418">
              <w:rPr>
                <w:rFonts w:eastAsia="Times New Roman"/>
                <w:sz w:val="20"/>
                <w:szCs w:val="20"/>
              </w:rPr>
              <w:t xml:space="preserve"> </w:t>
            </w:r>
            <w:r w:rsidR="00E03510" w:rsidRPr="00251418">
              <w:rPr>
                <w:rFonts w:eastAsia="Times New Roman" w:hint="eastAsia"/>
                <w:sz w:val="20"/>
                <w:szCs w:val="20"/>
              </w:rPr>
              <w:t>с</w:t>
            </w:r>
            <w:r w:rsidR="00A611D1" w:rsidRPr="00251418">
              <w:rPr>
                <w:rFonts w:eastAsia="Times New Roman"/>
                <w:sz w:val="20"/>
                <w:szCs w:val="20"/>
              </w:rPr>
              <w:t xml:space="preserve"> </w:t>
            </w:r>
            <w:r w:rsidR="00E03510" w:rsidRPr="00251418">
              <w:rPr>
                <w:rFonts w:eastAsia="Times New Roman" w:hint="eastAsia"/>
                <w:sz w:val="20"/>
                <w:szCs w:val="20"/>
              </w:rPr>
              <w:t>распространением</w:t>
            </w:r>
            <w:r w:rsidR="00E03510" w:rsidRPr="00251418">
              <w:rPr>
                <w:rFonts w:eastAsia="Times New Roman"/>
                <w:sz w:val="20"/>
                <w:szCs w:val="20"/>
              </w:rPr>
              <w:t xml:space="preserve"> </w:t>
            </w:r>
            <w:r w:rsidR="00E03510" w:rsidRPr="00251418">
              <w:rPr>
                <w:rFonts w:eastAsia="Times New Roman" w:hint="eastAsia"/>
                <w:sz w:val="20"/>
                <w:szCs w:val="20"/>
              </w:rPr>
              <w:t>новой</w:t>
            </w:r>
            <w:r w:rsidR="00E03510" w:rsidRPr="00251418">
              <w:rPr>
                <w:rFonts w:eastAsia="Times New Roman"/>
                <w:sz w:val="20"/>
                <w:szCs w:val="20"/>
              </w:rPr>
              <w:t xml:space="preserve"> </w:t>
            </w:r>
            <w:proofErr w:type="spellStart"/>
            <w:r w:rsidR="00E03510" w:rsidRPr="00251418">
              <w:rPr>
                <w:rFonts w:eastAsia="Times New Roman" w:hint="eastAsia"/>
                <w:sz w:val="20"/>
                <w:szCs w:val="20"/>
              </w:rPr>
              <w:t>коронавирусной</w:t>
            </w:r>
            <w:proofErr w:type="spellEnd"/>
            <w:r w:rsidR="00E03510" w:rsidRPr="00251418">
              <w:rPr>
                <w:rFonts w:eastAsia="Times New Roman"/>
                <w:sz w:val="20"/>
                <w:szCs w:val="20"/>
              </w:rPr>
              <w:t xml:space="preserve"> </w:t>
            </w:r>
            <w:r w:rsidR="00E03510" w:rsidRPr="00251418">
              <w:rPr>
                <w:rFonts w:eastAsia="Times New Roman" w:hint="eastAsia"/>
                <w:sz w:val="20"/>
                <w:szCs w:val="20"/>
              </w:rPr>
              <w:t>инфекции</w:t>
            </w:r>
            <w:r w:rsidR="00A611D1" w:rsidRPr="00251418">
              <w:rPr>
                <w:rFonts w:eastAsia="Times New Roman"/>
                <w:sz w:val="20"/>
                <w:szCs w:val="20"/>
              </w:rPr>
              <w:t xml:space="preserve"> </w:t>
            </w:r>
            <w:r w:rsidR="00FD78CA" w:rsidRPr="00251418">
              <w:rPr>
                <w:rFonts w:eastAsia="Times New Roman"/>
                <w:sz w:val="20"/>
                <w:szCs w:val="20"/>
              </w:rPr>
              <w:t>-</w:t>
            </w:r>
            <w:r w:rsidR="00A611D1" w:rsidRPr="00251418">
              <w:rPr>
                <w:rFonts w:eastAsia="Times New Roman"/>
                <w:sz w:val="20"/>
                <w:szCs w:val="20"/>
              </w:rPr>
              <w:t xml:space="preserve"> </w:t>
            </w:r>
            <w:r w:rsidR="00FF4D77" w:rsidRPr="00251418">
              <w:rPr>
                <w:rFonts w:eastAsia="Times New Roman"/>
                <w:b/>
                <w:sz w:val="20"/>
                <w:szCs w:val="20"/>
              </w:rPr>
              <w:t>411 581,0 млн. рублей</w:t>
            </w:r>
            <w:r w:rsidR="00FF4D77" w:rsidRPr="00251418">
              <w:rPr>
                <w:rFonts w:eastAsia="Times New Roman"/>
                <w:sz w:val="20"/>
                <w:szCs w:val="20"/>
              </w:rPr>
              <w:t>.</w:t>
            </w:r>
          </w:p>
          <w:p w:rsidR="00EA0256" w:rsidRPr="00251418" w:rsidRDefault="00466271" w:rsidP="000328A6">
            <w:pPr>
              <w:spacing w:line="240" w:lineRule="auto"/>
              <w:ind w:left="0" w:right="-2" w:firstLine="459"/>
              <w:outlineLvl w:val="2"/>
              <w:rPr>
                <w:rFonts w:eastAsia="Times New Roman"/>
                <w:sz w:val="20"/>
                <w:szCs w:val="20"/>
              </w:rPr>
            </w:pPr>
            <w:proofErr w:type="gramStart"/>
            <w:r w:rsidRPr="00251418">
              <w:rPr>
                <w:rFonts w:eastAsia="Times New Roman"/>
                <w:sz w:val="20"/>
                <w:szCs w:val="20"/>
              </w:rPr>
              <w:t>У</w:t>
            </w:r>
            <w:r w:rsidR="00A42922" w:rsidRPr="00251418">
              <w:rPr>
                <w:rFonts w:eastAsia="Times New Roman"/>
                <w:sz w:val="20"/>
                <w:szCs w:val="20"/>
              </w:rPr>
              <w:t xml:space="preserve">величение </w:t>
            </w:r>
            <w:r w:rsidRPr="00251418">
              <w:rPr>
                <w:rFonts w:eastAsia="Times New Roman"/>
                <w:sz w:val="20"/>
                <w:szCs w:val="20"/>
              </w:rPr>
              <w:t xml:space="preserve">резервного фонда Правительства Российской Федерации </w:t>
            </w:r>
            <w:r w:rsidR="00A42922" w:rsidRPr="00251418">
              <w:rPr>
                <w:rFonts w:eastAsia="Times New Roman"/>
                <w:sz w:val="20"/>
                <w:szCs w:val="20"/>
              </w:rPr>
              <w:t>обеспечено в основном за счет сокращения бюджетных ассигнований, предусмотренных на повышение оплаты труда федеральных государственных гражданских служащих, предоставление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 модернизацию пер</w:t>
            </w:r>
            <w:r w:rsidRPr="00251418">
              <w:rPr>
                <w:rFonts w:eastAsia="Times New Roman"/>
                <w:sz w:val="20"/>
                <w:szCs w:val="20"/>
              </w:rPr>
              <w:t xml:space="preserve">вичного звена здравоохранения, </w:t>
            </w:r>
            <w:r w:rsidR="00A42922" w:rsidRPr="00251418">
              <w:rPr>
                <w:rFonts w:eastAsia="Times New Roman"/>
                <w:sz w:val="20"/>
                <w:szCs w:val="20"/>
              </w:rPr>
              <w:t>предоставление дотаций бюджетам субъектов Российской Федерации на поддержку мер по обеспечению сбалансированности бюджетов субъектов Российской Федерации</w:t>
            </w:r>
            <w:proofErr w:type="gramEnd"/>
            <w:r w:rsidR="00A42922" w:rsidRPr="00251418">
              <w:rPr>
                <w:rFonts w:eastAsia="Times New Roman"/>
                <w:sz w:val="20"/>
                <w:szCs w:val="20"/>
              </w:rPr>
              <w:t xml:space="preserve"> (</w:t>
            </w:r>
            <w:proofErr w:type="gramStart"/>
            <w:r w:rsidR="00A42922" w:rsidRPr="00251418">
              <w:rPr>
                <w:rFonts w:eastAsia="Times New Roman"/>
                <w:sz w:val="20"/>
                <w:szCs w:val="20"/>
              </w:rPr>
              <w:t>компенсация регионам до 2/3 от применения инвестиционного налогового вычета), проведение всероссийской переписи населения 2020 года, в связи с временным приостановлением и изменением графиков проведения работ на объектах, отсутствием принятых в 2019 году бюджетных обязательств по ряду национальных проектов, экономией в связи с уточнением численности и результатов конкурсных процедур, отменой и переносом сроков проведения мероприятий, сокращением командировочных расходов.</w:t>
            </w:r>
            <w:proofErr w:type="gramEnd"/>
          </w:p>
          <w:p w:rsidR="005D379A" w:rsidRPr="00251418" w:rsidRDefault="005D379A" w:rsidP="000328A6">
            <w:pPr>
              <w:spacing w:line="240" w:lineRule="auto"/>
              <w:ind w:left="0" w:right="-2" w:firstLine="459"/>
              <w:outlineLvl w:val="2"/>
              <w:rPr>
                <w:rFonts w:eastAsia="Times New Roman"/>
                <w:sz w:val="20"/>
                <w:szCs w:val="20"/>
              </w:rPr>
            </w:pPr>
            <w:r w:rsidRPr="00251418">
              <w:rPr>
                <w:rFonts w:eastAsia="Times New Roman"/>
                <w:sz w:val="20"/>
                <w:szCs w:val="20"/>
              </w:rPr>
              <w:t>Увеличение резервного фонда Правительства Российской Федерации за счет перераспределения бюджетных ассигнований, предусмотренных на объекты капитального строительства, по которым отсутствует утвержденная проектная документация по состоянию на 1 апреля 2020 года, состав</w:t>
            </w:r>
            <w:r w:rsidR="00FD78CA" w:rsidRPr="00251418">
              <w:rPr>
                <w:rFonts w:eastAsia="Times New Roman"/>
                <w:sz w:val="20"/>
                <w:szCs w:val="20"/>
              </w:rPr>
              <w:t>ило</w:t>
            </w:r>
            <w:r w:rsidRPr="00251418">
              <w:rPr>
                <w:rFonts w:eastAsia="Times New Roman"/>
                <w:sz w:val="20"/>
                <w:szCs w:val="20"/>
              </w:rPr>
              <w:t xml:space="preserve"> 2 864,7 млн. рублей. </w:t>
            </w:r>
            <w:r w:rsidR="00752AB0" w:rsidRPr="00251418">
              <w:rPr>
                <w:rFonts w:eastAsia="Times New Roman"/>
                <w:sz w:val="20"/>
                <w:szCs w:val="20"/>
              </w:rPr>
              <w:t xml:space="preserve">Бюджетные ассигнования перераспределены от 6 главных распорядителей (Минприроды России, Минкультуры России, Минсельхоза России, </w:t>
            </w:r>
            <w:proofErr w:type="spellStart"/>
            <w:r w:rsidR="00752AB0" w:rsidRPr="00251418">
              <w:rPr>
                <w:rFonts w:eastAsia="Times New Roman"/>
                <w:sz w:val="20"/>
                <w:szCs w:val="20"/>
              </w:rPr>
              <w:t>Росморречфлота</w:t>
            </w:r>
            <w:proofErr w:type="spellEnd"/>
            <w:r w:rsidR="00752AB0" w:rsidRPr="00251418">
              <w:rPr>
                <w:rFonts w:eastAsia="Times New Roman"/>
                <w:sz w:val="20"/>
                <w:szCs w:val="20"/>
              </w:rPr>
              <w:t>, ФАС России, ФМБА России).</w:t>
            </w:r>
          </w:p>
          <w:p w:rsidR="00A42922" w:rsidRPr="00790DF7" w:rsidRDefault="00A42922" w:rsidP="0002205E">
            <w:pPr>
              <w:spacing w:line="240" w:lineRule="auto"/>
              <w:ind w:left="0" w:right="-2" w:firstLine="459"/>
              <w:outlineLvl w:val="2"/>
              <w:rPr>
                <w:rFonts w:eastAsia="Times New Roman"/>
                <w:sz w:val="20"/>
                <w:szCs w:val="20"/>
              </w:rPr>
            </w:pPr>
            <w:r w:rsidRPr="00251418">
              <w:rPr>
                <w:rFonts w:eastAsia="Times New Roman"/>
                <w:sz w:val="20"/>
                <w:szCs w:val="20"/>
              </w:rPr>
              <w:t xml:space="preserve">Наибольшие объемы перераспределения бюджетных ассигнований </w:t>
            </w:r>
            <w:r w:rsidR="00D37A7C" w:rsidRPr="00251418">
              <w:rPr>
                <w:rFonts w:eastAsia="Times New Roman"/>
                <w:sz w:val="20"/>
                <w:szCs w:val="20"/>
              </w:rPr>
              <w:t xml:space="preserve">от главных распорядителей </w:t>
            </w:r>
            <w:r w:rsidRPr="00251418">
              <w:rPr>
                <w:rFonts w:eastAsia="Times New Roman"/>
                <w:sz w:val="20"/>
                <w:szCs w:val="20"/>
              </w:rPr>
              <w:t xml:space="preserve">в резервный фонд Правительства </w:t>
            </w:r>
            <w:r w:rsidRPr="0002205E">
              <w:rPr>
                <w:rFonts w:eastAsia="Times New Roman"/>
                <w:sz w:val="20"/>
                <w:szCs w:val="20"/>
              </w:rPr>
              <w:t xml:space="preserve">Российской Федерации осуществлены по Минфину России </w:t>
            </w:r>
            <w:r w:rsidR="0002205E" w:rsidRPr="0002205E">
              <w:rPr>
                <w:rFonts w:eastAsia="Times New Roman"/>
                <w:sz w:val="20"/>
                <w:szCs w:val="20"/>
              </w:rPr>
              <w:t>(266 536,6</w:t>
            </w:r>
            <w:r w:rsidRPr="0002205E">
              <w:rPr>
                <w:rFonts w:eastAsia="Times New Roman"/>
                <w:sz w:val="20"/>
                <w:szCs w:val="20"/>
              </w:rPr>
              <w:t> мл</w:t>
            </w:r>
            <w:r w:rsidR="00622879" w:rsidRPr="0002205E">
              <w:rPr>
                <w:rFonts w:eastAsia="Times New Roman"/>
                <w:sz w:val="20"/>
                <w:szCs w:val="20"/>
              </w:rPr>
              <w:t>н</w:t>
            </w:r>
            <w:r w:rsidRPr="0002205E">
              <w:rPr>
                <w:rFonts w:eastAsia="Times New Roman"/>
                <w:sz w:val="20"/>
                <w:szCs w:val="20"/>
              </w:rPr>
              <w:t xml:space="preserve">. рублей), </w:t>
            </w:r>
            <w:proofErr w:type="spellStart"/>
            <w:r w:rsidR="00622879" w:rsidRPr="0002205E">
              <w:rPr>
                <w:rFonts w:eastAsia="Times New Roman"/>
                <w:sz w:val="20"/>
                <w:szCs w:val="20"/>
              </w:rPr>
              <w:t>Минпромторгу</w:t>
            </w:r>
            <w:proofErr w:type="spellEnd"/>
            <w:r w:rsidR="00622879" w:rsidRPr="0002205E">
              <w:rPr>
                <w:rFonts w:eastAsia="Times New Roman"/>
                <w:sz w:val="20"/>
                <w:szCs w:val="20"/>
              </w:rPr>
              <w:t xml:space="preserve"> России (6</w:t>
            </w:r>
            <w:r w:rsidR="0002205E" w:rsidRPr="0002205E">
              <w:rPr>
                <w:rFonts w:eastAsia="Times New Roman"/>
                <w:sz w:val="20"/>
                <w:szCs w:val="20"/>
              </w:rPr>
              <w:t>8 452,5</w:t>
            </w:r>
            <w:r w:rsidRPr="0002205E">
              <w:rPr>
                <w:rFonts w:eastAsia="Times New Roman"/>
                <w:sz w:val="20"/>
                <w:szCs w:val="20"/>
              </w:rPr>
              <w:t> мл</w:t>
            </w:r>
            <w:r w:rsidR="00622879" w:rsidRPr="0002205E">
              <w:rPr>
                <w:rFonts w:eastAsia="Times New Roman"/>
                <w:sz w:val="20"/>
                <w:szCs w:val="20"/>
              </w:rPr>
              <w:t>н</w:t>
            </w:r>
            <w:r w:rsidRPr="0002205E">
              <w:rPr>
                <w:rFonts w:eastAsia="Times New Roman"/>
                <w:sz w:val="20"/>
                <w:szCs w:val="20"/>
              </w:rPr>
              <w:t>. рублей), Управлению делами Прези</w:t>
            </w:r>
            <w:r w:rsidR="00622879" w:rsidRPr="0002205E">
              <w:rPr>
                <w:rFonts w:eastAsia="Times New Roman"/>
                <w:sz w:val="20"/>
                <w:szCs w:val="20"/>
              </w:rPr>
              <w:t xml:space="preserve">дента Российской Федерации </w:t>
            </w:r>
            <w:r w:rsidR="0002205E" w:rsidRPr="0002205E">
              <w:rPr>
                <w:rFonts w:eastAsia="Times New Roman"/>
                <w:sz w:val="20"/>
                <w:szCs w:val="20"/>
              </w:rPr>
              <w:t>(28 787,4</w:t>
            </w:r>
            <w:r w:rsidRPr="0002205E">
              <w:rPr>
                <w:rFonts w:eastAsia="Times New Roman"/>
                <w:sz w:val="20"/>
                <w:szCs w:val="20"/>
              </w:rPr>
              <w:t> </w:t>
            </w:r>
            <w:r w:rsidR="00D37A7C" w:rsidRPr="0002205E">
              <w:rPr>
                <w:rFonts w:eastAsia="Times New Roman"/>
                <w:sz w:val="20"/>
                <w:szCs w:val="20"/>
              </w:rPr>
              <w:t>мл</w:t>
            </w:r>
            <w:r w:rsidR="00622879" w:rsidRPr="0002205E">
              <w:rPr>
                <w:rFonts w:eastAsia="Times New Roman"/>
                <w:sz w:val="20"/>
                <w:szCs w:val="20"/>
              </w:rPr>
              <w:t>н</w:t>
            </w:r>
            <w:r w:rsidRPr="0002205E">
              <w:rPr>
                <w:rFonts w:eastAsia="Times New Roman"/>
                <w:sz w:val="20"/>
                <w:szCs w:val="20"/>
              </w:rPr>
              <w:t xml:space="preserve">. рублей), </w:t>
            </w:r>
            <w:proofErr w:type="spellStart"/>
            <w:r w:rsidR="00293C3A" w:rsidRPr="0002205E">
              <w:rPr>
                <w:rFonts w:eastAsia="Times New Roman"/>
                <w:sz w:val="20"/>
                <w:szCs w:val="20"/>
              </w:rPr>
              <w:t>Минобрнауки</w:t>
            </w:r>
            <w:proofErr w:type="spellEnd"/>
            <w:r w:rsidR="00293C3A" w:rsidRPr="0002205E">
              <w:rPr>
                <w:rFonts w:eastAsia="Times New Roman"/>
                <w:sz w:val="20"/>
                <w:szCs w:val="20"/>
              </w:rPr>
              <w:t xml:space="preserve"> России (23 666,8</w:t>
            </w:r>
            <w:r w:rsidRPr="0002205E">
              <w:rPr>
                <w:rFonts w:eastAsia="Times New Roman"/>
                <w:sz w:val="20"/>
                <w:szCs w:val="20"/>
              </w:rPr>
              <w:t> мл</w:t>
            </w:r>
            <w:r w:rsidR="00293C3A" w:rsidRPr="0002205E">
              <w:rPr>
                <w:rFonts w:eastAsia="Times New Roman"/>
                <w:sz w:val="20"/>
                <w:szCs w:val="20"/>
              </w:rPr>
              <w:t>н</w:t>
            </w:r>
            <w:r w:rsidRPr="0002205E">
              <w:rPr>
                <w:rFonts w:eastAsia="Times New Roman"/>
                <w:sz w:val="20"/>
                <w:szCs w:val="20"/>
              </w:rPr>
              <w:t>. рублей</w:t>
            </w:r>
            <w:r w:rsidR="00293C3A" w:rsidRPr="0002205E">
              <w:rPr>
                <w:rFonts w:eastAsia="Times New Roman"/>
                <w:sz w:val="20"/>
                <w:szCs w:val="20"/>
              </w:rPr>
              <w:t>), Минздраву России (1</w:t>
            </w:r>
            <w:r w:rsidR="0002205E" w:rsidRPr="0002205E">
              <w:rPr>
                <w:rFonts w:eastAsia="Times New Roman"/>
                <w:sz w:val="20"/>
                <w:szCs w:val="20"/>
              </w:rPr>
              <w:t>8 798,5</w:t>
            </w:r>
            <w:r w:rsidR="00293C3A" w:rsidRPr="0002205E">
              <w:rPr>
                <w:rFonts w:eastAsia="Times New Roman"/>
                <w:sz w:val="20"/>
                <w:szCs w:val="20"/>
              </w:rPr>
              <w:t> </w:t>
            </w:r>
            <w:r w:rsidRPr="0002205E">
              <w:rPr>
                <w:rFonts w:eastAsia="Times New Roman"/>
                <w:sz w:val="20"/>
                <w:szCs w:val="20"/>
              </w:rPr>
              <w:t>мл</w:t>
            </w:r>
            <w:r w:rsidR="00293C3A" w:rsidRPr="0002205E">
              <w:rPr>
                <w:rFonts w:eastAsia="Times New Roman"/>
                <w:sz w:val="20"/>
                <w:szCs w:val="20"/>
              </w:rPr>
              <w:t>н</w:t>
            </w:r>
            <w:r w:rsidRPr="0002205E">
              <w:rPr>
                <w:rFonts w:eastAsia="Times New Roman"/>
                <w:sz w:val="20"/>
                <w:szCs w:val="20"/>
              </w:rPr>
              <w:t>. рублей).</w:t>
            </w:r>
          </w:p>
        </w:tc>
      </w:tr>
      <w:tr w:rsidR="000328A6" w:rsidRPr="008A7FDA" w:rsidTr="00B57B77">
        <w:trPr>
          <w:trHeight w:val="2067"/>
        </w:trPr>
        <w:tc>
          <w:tcPr>
            <w:tcW w:w="1954" w:type="dxa"/>
          </w:tcPr>
          <w:p w:rsidR="000328A6" w:rsidRDefault="006203FE" w:rsidP="00411891">
            <w:pPr>
              <w:spacing w:line="240" w:lineRule="auto"/>
              <w:ind w:left="0" w:right="0" w:firstLine="0"/>
              <w:jc w:val="left"/>
              <w:rPr>
                <w:rFonts w:eastAsia="Times New Roman"/>
                <w:b/>
                <w:sz w:val="20"/>
                <w:szCs w:val="20"/>
              </w:rPr>
            </w:pPr>
            <w:r w:rsidRPr="00CC48C8">
              <w:rPr>
                <w:rFonts w:eastAsia="Times New Roman"/>
                <w:sz w:val="20"/>
                <w:szCs w:val="20"/>
              </w:rPr>
              <w:t>Перераспределение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w:t>
            </w:r>
          </w:p>
        </w:tc>
        <w:tc>
          <w:tcPr>
            <w:tcW w:w="8219" w:type="dxa"/>
          </w:tcPr>
          <w:p w:rsidR="006203FE" w:rsidRPr="00CC48C8" w:rsidRDefault="0086571E" w:rsidP="000328A6">
            <w:pPr>
              <w:spacing w:line="240" w:lineRule="auto"/>
              <w:ind w:left="0" w:right="-2" w:firstLine="459"/>
              <w:outlineLvl w:val="2"/>
              <w:rPr>
                <w:rFonts w:eastAsia="Times New Roman"/>
                <w:b/>
                <w:bCs/>
                <w:sz w:val="20"/>
                <w:szCs w:val="20"/>
              </w:rPr>
            </w:pPr>
            <w:r w:rsidRPr="00CC48C8">
              <w:rPr>
                <w:rFonts w:eastAsia="Times New Roman"/>
                <w:sz w:val="20"/>
                <w:szCs w:val="20"/>
              </w:rPr>
              <w:t xml:space="preserve">Перераспределение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w:t>
            </w:r>
            <w:r w:rsidRPr="00CC48C8">
              <w:rPr>
                <w:rFonts w:eastAsia="Times New Roman"/>
                <w:bCs/>
                <w:sz w:val="20"/>
                <w:szCs w:val="20"/>
              </w:rPr>
              <w:t>составило</w:t>
            </w:r>
            <w:r w:rsidRPr="00CC48C8">
              <w:rPr>
                <w:rFonts w:eastAsia="Times New Roman"/>
                <w:b/>
                <w:bCs/>
                <w:sz w:val="20"/>
                <w:szCs w:val="20"/>
              </w:rPr>
              <w:t xml:space="preserve"> </w:t>
            </w:r>
            <w:r w:rsidR="006203FE" w:rsidRPr="00CC48C8">
              <w:rPr>
                <w:rFonts w:eastAsia="Times New Roman"/>
                <w:b/>
                <w:sz w:val="20"/>
                <w:szCs w:val="20"/>
              </w:rPr>
              <w:t>6 240,0 </w:t>
            </w:r>
            <w:r w:rsidRPr="00CC48C8">
              <w:rPr>
                <w:rFonts w:eastAsia="Times New Roman"/>
                <w:b/>
                <w:bCs/>
                <w:sz w:val="20"/>
                <w:szCs w:val="20"/>
              </w:rPr>
              <w:t>мл</w:t>
            </w:r>
            <w:r w:rsidR="006203FE" w:rsidRPr="00CC48C8">
              <w:rPr>
                <w:rFonts w:eastAsia="Times New Roman"/>
                <w:b/>
                <w:bCs/>
                <w:sz w:val="20"/>
                <w:szCs w:val="20"/>
              </w:rPr>
              <w:t>н</w:t>
            </w:r>
            <w:r w:rsidRPr="00CC48C8">
              <w:rPr>
                <w:rFonts w:eastAsia="Times New Roman"/>
                <w:b/>
                <w:bCs/>
                <w:sz w:val="20"/>
                <w:szCs w:val="20"/>
              </w:rPr>
              <w:t xml:space="preserve">. рублей. </w:t>
            </w:r>
          </w:p>
          <w:p w:rsidR="003A4A3C" w:rsidRPr="00790DF7" w:rsidRDefault="005B5318" w:rsidP="00EC4AEF">
            <w:pPr>
              <w:spacing w:line="240" w:lineRule="auto"/>
              <w:ind w:left="0" w:right="-2" w:firstLine="459"/>
              <w:outlineLvl w:val="2"/>
              <w:rPr>
                <w:rFonts w:eastAsia="Times New Roman"/>
                <w:sz w:val="20"/>
                <w:szCs w:val="20"/>
              </w:rPr>
            </w:pPr>
            <w:r w:rsidRPr="00CC48C8">
              <w:rPr>
                <w:rFonts w:eastAsia="Times New Roman"/>
                <w:sz w:val="20"/>
                <w:szCs w:val="20"/>
              </w:rPr>
              <w:t>По Минсельхозу России</w:t>
            </w:r>
            <w:r w:rsidRPr="00CC48C8">
              <w:rPr>
                <w:rFonts w:eastAsia="Times New Roman"/>
                <w:bCs/>
                <w:sz w:val="20"/>
                <w:szCs w:val="20"/>
              </w:rPr>
              <w:t xml:space="preserve"> в целях сохранения финансовой устойчивости сельскохозяйственных товаропроизводителей и увеличения объемов производства продукции сельского хозяйства </w:t>
            </w:r>
            <w:r w:rsidR="00E106CF" w:rsidRPr="00CC48C8">
              <w:rPr>
                <w:rFonts w:eastAsia="Times New Roman"/>
                <w:sz w:val="20"/>
                <w:szCs w:val="20"/>
              </w:rPr>
              <w:t>перераспределено 3 </w:t>
            </w:r>
            <w:r w:rsidRPr="00CC48C8">
              <w:rPr>
                <w:rFonts w:eastAsia="Times New Roman"/>
                <w:sz w:val="20"/>
                <w:szCs w:val="20"/>
              </w:rPr>
              <w:t>0</w:t>
            </w:r>
            <w:r w:rsidR="00E106CF" w:rsidRPr="00CC48C8">
              <w:rPr>
                <w:rFonts w:eastAsia="Times New Roman"/>
                <w:sz w:val="20"/>
                <w:szCs w:val="20"/>
              </w:rPr>
              <w:t>00,0</w:t>
            </w:r>
            <w:r w:rsidRPr="00CC48C8">
              <w:rPr>
                <w:rFonts w:eastAsia="Times New Roman"/>
                <w:sz w:val="20"/>
                <w:szCs w:val="20"/>
              </w:rPr>
              <w:t> мл</w:t>
            </w:r>
            <w:r w:rsidR="00E106CF" w:rsidRPr="00CC48C8">
              <w:rPr>
                <w:rFonts w:eastAsia="Times New Roman"/>
                <w:sz w:val="20"/>
                <w:szCs w:val="20"/>
              </w:rPr>
              <w:t>н</w:t>
            </w:r>
            <w:r w:rsidRPr="00CC48C8">
              <w:rPr>
                <w:rFonts w:eastAsia="Times New Roman"/>
                <w:sz w:val="20"/>
                <w:szCs w:val="20"/>
              </w:rPr>
              <w:t xml:space="preserve">. рублей; по </w:t>
            </w:r>
            <w:proofErr w:type="spellStart"/>
            <w:r w:rsidRPr="00CC48C8">
              <w:rPr>
                <w:rFonts w:eastAsia="Times New Roman"/>
                <w:sz w:val="20"/>
                <w:szCs w:val="20"/>
              </w:rPr>
              <w:t>Росжелдору</w:t>
            </w:r>
            <w:proofErr w:type="spellEnd"/>
            <w:r w:rsidRPr="00CC48C8">
              <w:rPr>
                <w:rFonts w:eastAsia="Times New Roman"/>
                <w:sz w:val="20"/>
                <w:szCs w:val="20"/>
              </w:rPr>
              <w:t xml:space="preserve"> </w:t>
            </w:r>
            <w:r w:rsidRPr="00CC48C8">
              <w:rPr>
                <w:rFonts w:eastAsia="Times New Roman"/>
                <w:bCs/>
                <w:sz w:val="20"/>
                <w:szCs w:val="20"/>
              </w:rPr>
              <w:t>на компенсацию выпадающих доходов пригородных пассажирских железнодорожных компаний (лизинговые платежи по договорам, заключенным железнодорожными компаниями с российскими лизинговыми компаниями)</w:t>
            </w:r>
            <w:r w:rsidRPr="00CC48C8">
              <w:rPr>
                <w:rFonts w:eastAsia="Times New Roman"/>
                <w:b/>
                <w:bCs/>
                <w:sz w:val="20"/>
                <w:szCs w:val="20"/>
              </w:rPr>
              <w:t xml:space="preserve"> </w:t>
            </w:r>
            <w:r w:rsidR="00E106CF" w:rsidRPr="00FE6962">
              <w:rPr>
                <w:rFonts w:eastAsia="Times New Roman"/>
                <w:bCs/>
                <w:sz w:val="20"/>
                <w:szCs w:val="20"/>
              </w:rPr>
              <w:t>–</w:t>
            </w:r>
            <w:r w:rsidRPr="00CC48C8">
              <w:rPr>
                <w:rFonts w:eastAsia="Times New Roman"/>
                <w:b/>
                <w:bCs/>
                <w:sz w:val="20"/>
                <w:szCs w:val="20"/>
              </w:rPr>
              <w:t xml:space="preserve"> </w:t>
            </w:r>
            <w:r w:rsidR="00E106CF" w:rsidRPr="00CC48C8">
              <w:rPr>
                <w:rFonts w:eastAsia="Times New Roman"/>
                <w:bCs/>
                <w:sz w:val="20"/>
                <w:szCs w:val="20"/>
              </w:rPr>
              <w:t>3 </w:t>
            </w:r>
            <w:r w:rsidRPr="00CC48C8">
              <w:rPr>
                <w:rFonts w:eastAsia="Times New Roman"/>
                <w:bCs/>
                <w:sz w:val="20"/>
                <w:szCs w:val="20"/>
              </w:rPr>
              <w:t>2</w:t>
            </w:r>
            <w:r w:rsidR="00E106CF" w:rsidRPr="00CC48C8">
              <w:rPr>
                <w:rFonts w:eastAsia="Times New Roman"/>
                <w:bCs/>
                <w:sz w:val="20"/>
                <w:szCs w:val="20"/>
              </w:rPr>
              <w:t>40,0</w:t>
            </w:r>
            <w:r w:rsidRPr="00CC48C8">
              <w:rPr>
                <w:rFonts w:eastAsia="Times New Roman"/>
                <w:bCs/>
                <w:sz w:val="20"/>
                <w:szCs w:val="20"/>
              </w:rPr>
              <w:t> мл</w:t>
            </w:r>
            <w:r w:rsidR="00E106CF" w:rsidRPr="00CC48C8">
              <w:rPr>
                <w:rFonts w:eastAsia="Times New Roman"/>
                <w:bCs/>
                <w:sz w:val="20"/>
                <w:szCs w:val="20"/>
              </w:rPr>
              <w:t>н</w:t>
            </w:r>
            <w:r w:rsidRPr="00CC48C8">
              <w:rPr>
                <w:rFonts w:eastAsia="Times New Roman"/>
                <w:bCs/>
                <w:sz w:val="20"/>
                <w:szCs w:val="20"/>
              </w:rPr>
              <w:t>. рублей.</w:t>
            </w:r>
          </w:p>
        </w:tc>
      </w:tr>
      <w:tr w:rsidR="000328A6" w:rsidRPr="008A7FDA" w:rsidTr="00B57B77">
        <w:trPr>
          <w:trHeight w:val="1823"/>
        </w:trPr>
        <w:tc>
          <w:tcPr>
            <w:tcW w:w="1954" w:type="dxa"/>
          </w:tcPr>
          <w:p w:rsidR="000328A6" w:rsidRDefault="00E106CF" w:rsidP="00411891">
            <w:pPr>
              <w:spacing w:line="240" w:lineRule="auto"/>
              <w:ind w:left="0" w:right="0" w:firstLine="0"/>
              <w:jc w:val="left"/>
              <w:rPr>
                <w:rFonts w:eastAsia="Times New Roman"/>
                <w:b/>
                <w:sz w:val="20"/>
                <w:szCs w:val="20"/>
              </w:rPr>
            </w:pPr>
            <w:r w:rsidRPr="00F4341B">
              <w:rPr>
                <w:rFonts w:eastAsia="Times New Roman"/>
                <w:bCs/>
                <w:sz w:val="20"/>
                <w:szCs w:val="20"/>
              </w:rPr>
              <w:lastRenderedPageBreak/>
              <w:t xml:space="preserve">Перераспределение бюджетных ассигнований в связи с профилактикой и устранением последствий распространения </w:t>
            </w:r>
            <w:proofErr w:type="spellStart"/>
            <w:r w:rsidRPr="00F4341B">
              <w:rPr>
                <w:rFonts w:eastAsia="Times New Roman"/>
                <w:bCs/>
                <w:sz w:val="20"/>
                <w:szCs w:val="20"/>
              </w:rPr>
              <w:t>коронавирусной</w:t>
            </w:r>
            <w:proofErr w:type="spellEnd"/>
            <w:r w:rsidRPr="00F4341B">
              <w:rPr>
                <w:rFonts w:eastAsia="Times New Roman"/>
                <w:bCs/>
                <w:sz w:val="20"/>
                <w:szCs w:val="20"/>
              </w:rPr>
              <w:t xml:space="preserve"> инфекции</w:t>
            </w:r>
          </w:p>
        </w:tc>
        <w:tc>
          <w:tcPr>
            <w:tcW w:w="8219" w:type="dxa"/>
          </w:tcPr>
          <w:p w:rsidR="00E106CF" w:rsidRPr="00F4341B" w:rsidRDefault="00E106CF" w:rsidP="00E106CF">
            <w:pPr>
              <w:spacing w:line="240" w:lineRule="auto"/>
              <w:ind w:left="0" w:right="-2" w:firstLine="459"/>
              <w:outlineLvl w:val="2"/>
              <w:rPr>
                <w:rFonts w:eastAsia="Times New Roman"/>
                <w:b/>
                <w:bCs/>
                <w:sz w:val="20"/>
                <w:szCs w:val="20"/>
              </w:rPr>
            </w:pPr>
            <w:r w:rsidRPr="00F4341B">
              <w:rPr>
                <w:rFonts w:eastAsia="Times New Roman"/>
                <w:bCs/>
                <w:sz w:val="20"/>
                <w:szCs w:val="20"/>
              </w:rPr>
              <w:t xml:space="preserve">Перераспределение бюджетных ассигнований в связи с профилактикой и устранением последствий распространения </w:t>
            </w:r>
            <w:proofErr w:type="spellStart"/>
            <w:r w:rsidRPr="00F4341B">
              <w:rPr>
                <w:rFonts w:eastAsia="Times New Roman"/>
                <w:bCs/>
                <w:sz w:val="20"/>
                <w:szCs w:val="20"/>
              </w:rPr>
              <w:t>коронавирусной</w:t>
            </w:r>
            <w:proofErr w:type="spellEnd"/>
            <w:r w:rsidRPr="00F4341B">
              <w:rPr>
                <w:rFonts w:eastAsia="Times New Roman"/>
                <w:bCs/>
                <w:sz w:val="20"/>
                <w:szCs w:val="20"/>
              </w:rPr>
              <w:t xml:space="preserve"> инфекции составило</w:t>
            </w:r>
            <w:r w:rsidRPr="00F4341B">
              <w:rPr>
                <w:rFonts w:eastAsia="Times New Roman"/>
                <w:b/>
                <w:bCs/>
                <w:sz w:val="20"/>
                <w:szCs w:val="20"/>
              </w:rPr>
              <w:t xml:space="preserve"> 76</w:t>
            </w:r>
            <w:r w:rsidR="00BE2DAB">
              <w:rPr>
                <w:rFonts w:eastAsia="Times New Roman"/>
                <w:b/>
                <w:bCs/>
                <w:sz w:val="20"/>
                <w:szCs w:val="20"/>
              </w:rPr>
              <w:t>7,4</w:t>
            </w:r>
            <w:r w:rsidRPr="00F4341B">
              <w:rPr>
                <w:rFonts w:eastAsia="Times New Roman"/>
                <w:b/>
                <w:bCs/>
                <w:sz w:val="20"/>
                <w:szCs w:val="20"/>
              </w:rPr>
              <w:t xml:space="preserve"> млн. рублей. </w:t>
            </w:r>
          </w:p>
          <w:p w:rsidR="008373BB" w:rsidRPr="00BC7E7A" w:rsidRDefault="008674D4" w:rsidP="008674D4">
            <w:pPr>
              <w:spacing w:line="240" w:lineRule="auto"/>
              <w:ind w:left="0" w:right="-2" w:firstLine="459"/>
              <w:outlineLvl w:val="2"/>
              <w:rPr>
                <w:rFonts w:eastAsia="Times New Roman"/>
                <w:sz w:val="20"/>
                <w:szCs w:val="20"/>
              </w:rPr>
            </w:pPr>
            <w:r w:rsidRPr="00F4341B">
              <w:rPr>
                <w:rFonts w:eastAsia="Times New Roman"/>
                <w:bCs/>
                <w:sz w:val="20"/>
                <w:szCs w:val="20"/>
              </w:rPr>
              <w:t xml:space="preserve">В основном перераспределение бюджетных ассигнований внутри главных распорядителей на мероприятия по профилактике и устранению последствий распространения </w:t>
            </w:r>
            <w:proofErr w:type="spellStart"/>
            <w:r w:rsidRPr="00F4341B">
              <w:rPr>
                <w:rFonts w:eastAsia="Times New Roman"/>
                <w:bCs/>
                <w:sz w:val="20"/>
                <w:szCs w:val="20"/>
              </w:rPr>
              <w:t>коронавирусной</w:t>
            </w:r>
            <w:proofErr w:type="spellEnd"/>
            <w:r w:rsidRPr="00F4341B">
              <w:rPr>
                <w:rFonts w:eastAsia="Times New Roman"/>
                <w:bCs/>
                <w:sz w:val="20"/>
                <w:szCs w:val="20"/>
              </w:rPr>
              <w:t xml:space="preserve"> инфекции осуществлено за счет </w:t>
            </w:r>
            <w:r w:rsidRPr="00F4341B">
              <w:rPr>
                <w:rFonts w:eastAsia="Times New Roman"/>
                <w:sz w:val="20"/>
                <w:szCs w:val="20"/>
              </w:rPr>
              <w:t>экономии по результатам конкурсных процедур, внесени</w:t>
            </w:r>
            <w:r w:rsidR="008373BB" w:rsidRPr="00F4341B">
              <w:rPr>
                <w:rFonts w:eastAsia="Times New Roman"/>
                <w:sz w:val="20"/>
                <w:szCs w:val="20"/>
              </w:rPr>
              <w:t>я</w:t>
            </w:r>
            <w:r w:rsidRPr="00F4341B">
              <w:rPr>
                <w:rFonts w:eastAsia="Times New Roman"/>
                <w:sz w:val="20"/>
                <w:szCs w:val="20"/>
              </w:rPr>
              <w:t xml:space="preserve"> </w:t>
            </w:r>
            <w:bookmarkStart w:id="0" w:name="_GoBack"/>
            <w:bookmarkEnd w:id="0"/>
            <w:r w:rsidRPr="00F4341B">
              <w:rPr>
                <w:rFonts w:eastAsia="Times New Roman"/>
                <w:sz w:val="20"/>
                <w:szCs w:val="20"/>
              </w:rPr>
              <w:t>изменений в план-график закупок, уточнения потребности в с</w:t>
            </w:r>
            <w:r w:rsidRPr="00BC7E7A">
              <w:rPr>
                <w:rFonts w:eastAsia="Times New Roman"/>
                <w:sz w:val="20"/>
                <w:szCs w:val="20"/>
              </w:rPr>
              <w:t xml:space="preserve">убсидиях, отмены командировок, отмены и переноса сроков мероприятий. </w:t>
            </w:r>
          </w:p>
          <w:p w:rsidR="008674D4" w:rsidRPr="00E90737" w:rsidRDefault="008674D4" w:rsidP="008674D4">
            <w:pPr>
              <w:spacing w:line="240" w:lineRule="auto"/>
              <w:ind w:left="0" w:right="-2" w:firstLine="459"/>
              <w:outlineLvl w:val="2"/>
              <w:rPr>
                <w:rFonts w:eastAsia="Times New Roman"/>
                <w:sz w:val="20"/>
                <w:szCs w:val="20"/>
              </w:rPr>
            </w:pPr>
            <w:proofErr w:type="gramStart"/>
            <w:r w:rsidRPr="00BC7E7A">
              <w:rPr>
                <w:rFonts w:eastAsia="Times New Roman"/>
                <w:sz w:val="20"/>
                <w:szCs w:val="20"/>
              </w:rPr>
              <w:t xml:space="preserve">Наибольшие объемы перераспределения бюджетных ассигнований осуществлены по </w:t>
            </w:r>
            <w:proofErr w:type="spellStart"/>
            <w:r w:rsidR="00BC7E7A" w:rsidRPr="00BC7E7A">
              <w:rPr>
                <w:rFonts w:eastAsia="Times New Roman"/>
                <w:sz w:val="20"/>
                <w:szCs w:val="20"/>
              </w:rPr>
              <w:t>Минпромторгу</w:t>
            </w:r>
            <w:proofErr w:type="spellEnd"/>
            <w:r w:rsidR="00BC7E7A" w:rsidRPr="00BC7E7A">
              <w:rPr>
                <w:rFonts w:eastAsia="Times New Roman"/>
                <w:sz w:val="20"/>
                <w:szCs w:val="20"/>
              </w:rPr>
              <w:t xml:space="preserve"> России (192,7 млн. рублей), </w:t>
            </w:r>
            <w:r w:rsidRPr="00BC7E7A">
              <w:rPr>
                <w:rFonts w:eastAsia="Times New Roman"/>
                <w:sz w:val="20"/>
                <w:szCs w:val="20"/>
              </w:rPr>
              <w:t xml:space="preserve">ФНС России (190,3 млн. рублей), Минфину России (74,3 млн. рублей), Минздраву России (50,4 млн. рублей), </w:t>
            </w:r>
            <w:proofErr w:type="spellStart"/>
            <w:r w:rsidR="00F8231A" w:rsidRPr="00BC7E7A">
              <w:rPr>
                <w:rFonts w:eastAsia="Times New Roman"/>
                <w:sz w:val="20"/>
                <w:szCs w:val="20"/>
              </w:rPr>
              <w:t>Росреестру</w:t>
            </w:r>
            <w:proofErr w:type="spellEnd"/>
            <w:r w:rsidRPr="00BC7E7A">
              <w:rPr>
                <w:rFonts w:eastAsia="Times New Roman"/>
                <w:sz w:val="20"/>
                <w:szCs w:val="20"/>
              </w:rPr>
              <w:t xml:space="preserve"> (50,2</w:t>
            </w:r>
            <w:r w:rsidR="00F8231A" w:rsidRPr="00BC7E7A">
              <w:rPr>
                <w:rFonts w:eastAsia="Times New Roman"/>
                <w:sz w:val="20"/>
                <w:szCs w:val="20"/>
              </w:rPr>
              <w:t> </w:t>
            </w:r>
            <w:r w:rsidRPr="00BC7E7A">
              <w:rPr>
                <w:rFonts w:eastAsia="Times New Roman"/>
                <w:sz w:val="20"/>
                <w:szCs w:val="20"/>
              </w:rPr>
              <w:t xml:space="preserve">млн. рублей), </w:t>
            </w:r>
            <w:r w:rsidRPr="00E90737">
              <w:rPr>
                <w:rFonts w:eastAsia="Times New Roman"/>
                <w:sz w:val="20"/>
                <w:szCs w:val="20"/>
              </w:rPr>
              <w:t>Минтруду России (49,2 млн. рублей).</w:t>
            </w:r>
            <w:proofErr w:type="gramEnd"/>
          </w:p>
          <w:p w:rsidR="000328A6" w:rsidRPr="00EC1685" w:rsidRDefault="004241A3" w:rsidP="00F8231A">
            <w:pPr>
              <w:spacing w:line="240" w:lineRule="auto"/>
              <w:ind w:left="0" w:right="-2" w:firstLine="459"/>
              <w:outlineLvl w:val="2"/>
              <w:rPr>
                <w:rFonts w:eastAsia="Times New Roman"/>
                <w:color w:val="FF0000"/>
                <w:sz w:val="20"/>
                <w:szCs w:val="20"/>
              </w:rPr>
            </w:pPr>
            <w:proofErr w:type="gramStart"/>
            <w:r w:rsidRPr="00E90737">
              <w:rPr>
                <w:rFonts w:eastAsia="Times New Roman"/>
                <w:sz w:val="20"/>
                <w:szCs w:val="20"/>
              </w:rPr>
              <w:t>Уменьшение бюджетных ассигнований по 6 главным распорядителям (</w:t>
            </w:r>
            <w:proofErr w:type="spellStart"/>
            <w:r w:rsidRPr="00E90737">
              <w:rPr>
                <w:rFonts w:eastAsia="Times New Roman"/>
                <w:sz w:val="20"/>
                <w:szCs w:val="20"/>
              </w:rPr>
              <w:t>Минпромторг</w:t>
            </w:r>
            <w:proofErr w:type="spellEnd"/>
            <w:r w:rsidRPr="00E90737">
              <w:rPr>
                <w:rFonts w:eastAsia="Times New Roman"/>
                <w:sz w:val="20"/>
                <w:szCs w:val="20"/>
              </w:rPr>
              <w:t xml:space="preserve"> России, </w:t>
            </w:r>
            <w:proofErr w:type="spellStart"/>
            <w:r w:rsidRPr="00E90737">
              <w:rPr>
                <w:rFonts w:eastAsia="Times New Roman"/>
                <w:sz w:val="20"/>
                <w:szCs w:val="20"/>
              </w:rPr>
              <w:t>Минкомсвязь</w:t>
            </w:r>
            <w:proofErr w:type="spellEnd"/>
            <w:r w:rsidRPr="00E90737">
              <w:rPr>
                <w:rFonts w:eastAsia="Times New Roman"/>
                <w:sz w:val="20"/>
                <w:szCs w:val="20"/>
              </w:rPr>
              <w:t xml:space="preserve"> России, Казначейство России, </w:t>
            </w:r>
            <w:proofErr w:type="spellStart"/>
            <w:r w:rsidRPr="00E90737">
              <w:rPr>
                <w:rFonts w:eastAsia="Times New Roman"/>
                <w:sz w:val="20"/>
                <w:szCs w:val="20"/>
              </w:rPr>
              <w:t>Росаккредитация</w:t>
            </w:r>
            <w:proofErr w:type="spellEnd"/>
            <w:r w:rsidRPr="00E90737">
              <w:rPr>
                <w:rFonts w:eastAsia="Times New Roman"/>
                <w:sz w:val="20"/>
                <w:szCs w:val="20"/>
              </w:rPr>
              <w:t xml:space="preserve">, </w:t>
            </w:r>
            <w:proofErr w:type="spellStart"/>
            <w:r w:rsidR="00F8231A" w:rsidRPr="00E90737">
              <w:rPr>
                <w:rFonts w:eastAsia="Times New Roman"/>
                <w:sz w:val="20"/>
                <w:szCs w:val="20"/>
              </w:rPr>
              <w:t>Росстандарт</w:t>
            </w:r>
            <w:proofErr w:type="spellEnd"/>
            <w:r w:rsidR="00F8231A" w:rsidRPr="00E90737">
              <w:rPr>
                <w:rFonts w:eastAsia="Times New Roman"/>
                <w:sz w:val="20"/>
                <w:szCs w:val="20"/>
              </w:rPr>
              <w:t>,</w:t>
            </w:r>
            <w:r w:rsidRPr="00E90737">
              <w:rPr>
                <w:rFonts w:eastAsia="Times New Roman"/>
                <w:sz w:val="20"/>
                <w:szCs w:val="20"/>
              </w:rPr>
              <w:t xml:space="preserve"> Ростуризм) в общей сумме 14,4 млн. рублей и их перераспределение </w:t>
            </w:r>
            <w:proofErr w:type="spellStart"/>
            <w:r w:rsidRPr="00E90737">
              <w:rPr>
                <w:rFonts w:eastAsia="Times New Roman"/>
                <w:sz w:val="20"/>
                <w:szCs w:val="20"/>
              </w:rPr>
              <w:t>Минэкономразвитию</w:t>
            </w:r>
            <w:proofErr w:type="spellEnd"/>
            <w:r w:rsidRPr="00E90737">
              <w:rPr>
                <w:rFonts w:eastAsia="Times New Roman"/>
                <w:sz w:val="20"/>
                <w:szCs w:val="20"/>
              </w:rPr>
              <w:t xml:space="preserve"> России связано с финансовым обеспечением мероприятий, связанных с профилактической и очаговой дезинфекцией помещений и вентиляционных систем здания правительственного комплекса, а также поставкой средств дезинфекции, предназначенных для работников федеральных органов исполнительной власти и организаций, размещаемых</w:t>
            </w:r>
            <w:proofErr w:type="gramEnd"/>
            <w:r w:rsidRPr="00E90737">
              <w:rPr>
                <w:rFonts w:eastAsia="Times New Roman"/>
                <w:sz w:val="20"/>
                <w:szCs w:val="20"/>
              </w:rPr>
              <w:t xml:space="preserve"> в здании правительственного комплекса</w:t>
            </w:r>
            <w:r w:rsidR="00EC4AEF" w:rsidRPr="00E90737">
              <w:rPr>
                <w:rFonts w:eastAsia="Times New Roman"/>
                <w:sz w:val="20"/>
                <w:szCs w:val="20"/>
              </w:rPr>
              <w:t>.</w:t>
            </w:r>
          </w:p>
        </w:tc>
      </w:tr>
      <w:tr w:rsidR="00666E27" w:rsidRPr="008A7FDA" w:rsidTr="00951238">
        <w:trPr>
          <w:trHeight w:val="378"/>
        </w:trPr>
        <w:tc>
          <w:tcPr>
            <w:tcW w:w="1954" w:type="dxa"/>
          </w:tcPr>
          <w:p w:rsidR="00666E27" w:rsidRDefault="00E52966" w:rsidP="00411891">
            <w:pPr>
              <w:spacing w:line="240" w:lineRule="auto"/>
              <w:ind w:left="0" w:right="0" w:firstLine="0"/>
              <w:jc w:val="left"/>
              <w:rPr>
                <w:rFonts w:eastAsia="Times New Roman"/>
                <w:b/>
                <w:sz w:val="20"/>
                <w:szCs w:val="20"/>
              </w:rPr>
            </w:pPr>
            <w:r w:rsidRPr="0059759C">
              <w:rPr>
                <w:rFonts w:eastAsia="Times New Roman"/>
                <w:bCs/>
                <w:sz w:val="20"/>
                <w:szCs w:val="20"/>
              </w:rPr>
              <w:t>Перераспределение бюджетных ассигнований на иные цели, определенные Правительством Российской Федерации</w:t>
            </w:r>
          </w:p>
        </w:tc>
        <w:tc>
          <w:tcPr>
            <w:tcW w:w="8219" w:type="dxa"/>
          </w:tcPr>
          <w:p w:rsidR="00E52966" w:rsidRPr="0059759C" w:rsidRDefault="00E52966" w:rsidP="00E52966">
            <w:pPr>
              <w:spacing w:line="240" w:lineRule="auto"/>
              <w:ind w:left="0" w:right="-2" w:firstLine="459"/>
              <w:outlineLvl w:val="2"/>
              <w:rPr>
                <w:rFonts w:eastAsia="Times New Roman"/>
                <w:bCs/>
                <w:sz w:val="20"/>
                <w:szCs w:val="20"/>
              </w:rPr>
            </w:pPr>
            <w:r w:rsidRPr="0059759C">
              <w:rPr>
                <w:rFonts w:eastAsia="Times New Roman"/>
                <w:bCs/>
                <w:sz w:val="20"/>
                <w:szCs w:val="20"/>
              </w:rPr>
              <w:t xml:space="preserve">Перераспределение бюджетных ассигнований на иные цели, за исключением перераспределения, требующего изменения в ФАИП и перераспределения в целях увеличения резервного фонда Правительства Российской Федерации, составило </w:t>
            </w:r>
            <w:r w:rsidRPr="0059759C">
              <w:rPr>
                <w:rFonts w:eastAsia="Times New Roman"/>
                <w:b/>
                <w:bCs/>
                <w:sz w:val="20"/>
                <w:szCs w:val="20"/>
              </w:rPr>
              <w:t>3</w:t>
            </w:r>
            <w:r w:rsidR="002C1C45" w:rsidRPr="0059759C">
              <w:rPr>
                <w:rFonts w:eastAsia="Times New Roman"/>
                <w:b/>
                <w:bCs/>
                <w:sz w:val="20"/>
                <w:szCs w:val="20"/>
              </w:rPr>
              <w:t> 172,</w:t>
            </w:r>
            <w:r w:rsidR="003317A6" w:rsidRPr="0059759C">
              <w:rPr>
                <w:rFonts w:eastAsia="Times New Roman"/>
                <w:b/>
                <w:bCs/>
                <w:sz w:val="20"/>
                <w:szCs w:val="20"/>
              </w:rPr>
              <w:t>2</w:t>
            </w:r>
            <w:r w:rsidRPr="0059759C">
              <w:rPr>
                <w:rFonts w:eastAsia="Times New Roman"/>
                <w:b/>
                <w:bCs/>
                <w:sz w:val="20"/>
                <w:szCs w:val="20"/>
              </w:rPr>
              <w:t> млн. рублей</w:t>
            </w:r>
            <w:r w:rsidRPr="0059759C">
              <w:rPr>
                <w:rFonts w:eastAsia="Times New Roman"/>
                <w:bCs/>
                <w:sz w:val="20"/>
                <w:szCs w:val="20"/>
              </w:rPr>
              <w:t xml:space="preserve">. </w:t>
            </w:r>
          </w:p>
          <w:p w:rsidR="009D7619" w:rsidRPr="0059759C" w:rsidRDefault="009D7619" w:rsidP="009D7619">
            <w:pPr>
              <w:spacing w:line="240" w:lineRule="auto"/>
              <w:ind w:left="0" w:right="-2" w:firstLine="459"/>
              <w:outlineLvl w:val="2"/>
              <w:rPr>
                <w:rFonts w:eastAsia="Times New Roman"/>
                <w:bCs/>
                <w:sz w:val="20"/>
                <w:szCs w:val="20"/>
              </w:rPr>
            </w:pPr>
            <w:r w:rsidRPr="0059759C">
              <w:rPr>
                <w:rFonts w:eastAsia="Times New Roman"/>
                <w:sz w:val="20"/>
                <w:szCs w:val="20"/>
              </w:rPr>
              <w:t xml:space="preserve">Основной объем </w:t>
            </w:r>
            <w:r w:rsidRPr="0059759C">
              <w:rPr>
                <w:rFonts w:eastAsia="Times New Roman"/>
                <w:bCs/>
                <w:sz w:val="20"/>
                <w:szCs w:val="20"/>
              </w:rPr>
              <w:t>перераспределения бюджетных ассигнований на 2020 год на иные цели</w:t>
            </w:r>
            <w:r w:rsidR="00582BEC" w:rsidRPr="0059759C">
              <w:rPr>
                <w:rFonts w:eastAsia="Times New Roman"/>
                <w:bCs/>
                <w:sz w:val="20"/>
                <w:szCs w:val="20"/>
              </w:rPr>
              <w:t xml:space="preserve"> </w:t>
            </w:r>
            <w:r w:rsidRPr="0059759C">
              <w:rPr>
                <w:rFonts w:eastAsia="Times New Roman"/>
                <w:bCs/>
                <w:sz w:val="20"/>
                <w:szCs w:val="20"/>
              </w:rPr>
              <w:t>осуществлен внутри главных распорядителей</w:t>
            </w:r>
            <w:r w:rsidR="00582BEC" w:rsidRPr="0059759C">
              <w:rPr>
                <w:rFonts w:eastAsia="Times New Roman"/>
                <w:bCs/>
                <w:sz w:val="20"/>
                <w:szCs w:val="20"/>
              </w:rPr>
              <w:t xml:space="preserve"> (2 624,</w:t>
            </w:r>
            <w:r w:rsidR="00280062" w:rsidRPr="0059759C">
              <w:rPr>
                <w:rFonts w:eastAsia="Times New Roman"/>
                <w:bCs/>
                <w:sz w:val="20"/>
                <w:szCs w:val="20"/>
              </w:rPr>
              <w:t>7</w:t>
            </w:r>
            <w:r w:rsidR="00582BEC" w:rsidRPr="0059759C">
              <w:rPr>
                <w:rFonts w:eastAsia="Times New Roman"/>
                <w:bCs/>
                <w:sz w:val="20"/>
                <w:szCs w:val="20"/>
              </w:rPr>
              <w:t> млн. рублей)</w:t>
            </w:r>
            <w:r w:rsidRPr="0059759C">
              <w:rPr>
                <w:rFonts w:eastAsia="Times New Roman"/>
                <w:bCs/>
                <w:sz w:val="20"/>
                <w:szCs w:val="20"/>
              </w:rPr>
              <w:t xml:space="preserve">. </w:t>
            </w:r>
          </w:p>
          <w:p w:rsidR="0024241C" w:rsidRPr="0059759C" w:rsidRDefault="0024241C" w:rsidP="0024241C">
            <w:pPr>
              <w:spacing w:line="240" w:lineRule="auto"/>
              <w:ind w:left="0" w:right="-2" w:firstLine="459"/>
              <w:outlineLvl w:val="2"/>
              <w:rPr>
                <w:rFonts w:eastAsia="Times New Roman"/>
                <w:sz w:val="20"/>
                <w:szCs w:val="20"/>
              </w:rPr>
            </w:pPr>
            <w:r w:rsidRPr="0059759C">
              <w:rPr>
                <w:rFonts w:eastAsia="Times New Roman"/>
                <w:sz w:val="20"/>
                <w:szCs w:val="20"/>
              </w:rPr>
              <w:t xml:space="preserve">Наибольшие объемы перераспределения бюджетных ассигнований </w:t>
            </w:r>
            <w:r w:rsidRPr="0059759C">
              <w:rPr>
                <w:rFonts w:eastAsia="Times New Roman"/>
                <w:bCs/>
                <w:sz w:val="20"/>
                <w:szCs w:val="20"/>
              </w:rPr>
              <w:t xml:space="preserve">на иные цели внутри главных распорядителей осуществлены по </w:t>
            </w:r>
            <w:proofErr w:type="spellStart"/>
            <w:r w:rsidRPr="0059759C">
              <w:rPr>
                <w:rFonts w:eastAsia="Times New Roman"/>
                <w:bCs/>
                <w:sz w:val="20"/>
                <w:szCs w:val="20"/>
              </w:rPr>
              <w:t>Росжелдору</w:t>
            </w:r>
            <w:proofErr w:type="spellEnd"/>
            <w:r w:rsidRPr="0059759C">
              <w:rPr>
                <w:rFonts w:eastAsia="Times New Roman"/>
                <w:bCs/>
                <w:sz w:val="20"/>
                <w:szCs w:val="20"/>
              </w:rPr>
              <w:t xml:space="preserve"> (1 454,1 млн. рублей), Минкультуры России (472,6 млн. рублей), МЧС России (425,0 млн. рублей).</w:t>
            </w:r>
          </w:p>
          <w:p w:rsidR="00FE0D26" w:rsidRPr="0059759C" w:rsidRDefault="0024241C" w:rsidP="00FE0D26">
            <w:pPr>
              <w:spacing w:line="240" w:lineRule="auto"/>
              <w:ind w:left="0" w:right="-2" w:firstLine="459"/>
              <w:outlineLvl w:val="2"/>
              <w:rPr>
                <w:rFonts w:eastAsia="Times New Roman"/>
                <w:sz w:val="20"/>
                <w:szCs w:val="20"/>
              </w:rPr>
            </w:pPr>
            <w:r w:rsidRPr="0059759C">
              <w:rPr>
                <w:rFonts w:eastAsia="Times New Roman"/>
                <w:sz w:val="20"/>
                <w:szCs w:val="20"/>
              </w:rPr>
              <w:t xml:space="preserve">По </w:t>
            </w:r>
            <w:proofErr w:type="spellStart"/>
            <w:r w:rsidRPr="0059759C">
              <w:rPr>
                <w:rFonts w:eastAsia="Times New Roman"/>
                <w:sz w:val="20"/>
                <w:szCs w:val="20"/>
              </w:rPr>
              <w:t>Росжелдору</w:t>
            </w:r>
            <w:proofErr w:type="spellEnd"/>
            <w:r w:rsidRPr="0059759C">
              <w:rPr>
                <w:rFonts w:eastAsia="Times New Roman"/>
                <w:sz w:val="20"/>
                <w:szCs w:val="20"/>
              </w:rPr>
              <w:t xml:space="preserve"> перераспределено 1 454,1 млн. рублей </w:t>
            </w:r>
            <w:r w:rsidRPr="0059759C">
              <w:rPr>
                <w:rFonts w:eastAsia="Times New Roman"/>
                <w:bCs/>
                <w:sz w:val="20"/>
                <w:szCs w:val="20"/>
              </w:rPr>
              <w:t xml:space="preserve">на иные субсидии организациям железнодорожного транспорта; </w:t>
            </w:r>
            <w:r w:rsidRPr="0059759C">
              <w:rPr>
                <w:rFonts w:eastAsia="Times New Roman"/>
                <w:sz w:val="20"/>
                <w:szCs w:val="20"/>
              </w:rPr>
              <w:t xml:space="preserve">по Минкультуры России в связи с внесением изменения в организационно - финансовый план проведения работ по реставрации объектов культурного наследия на 2020 год перераспределено 259,6 млн. рублей в целях завершения создания экспозиционного пространства и ввода в эксплуатацию здания Политехнического музея после реконструкции в 2020 году, 100,0 млн. рублей на предоставление субсидии религиозной </w:t>
            </w:r>
            <w:proofErr w:type="spellStart"/>
            <w:proofErr w:type="gramStart"/>
            <w:r w:rsidRPr="0059759C">
              <w:rPr>
                <w:rFonts w:eastAsia="Times New Roman"/>
                <w:sz w:val="20"/>
                <w:szCs w:val="20"/>
              </w:rPr>
              <w:t>op</w:t>
            </w:r>
            <w:proofErr w:type="gramEnd"/>
            <w:r w:rsidRPr="0059759C">
              <w:rPr>
                <w:rFonts w:eastAsia="Times New Roman"/>
                <w:sz w:val="20"/>
                <w:szCs w:val="20"/>
              </w:rPr>
              <w:t>ганизации</w:t>
            </w:r>
            <w:proofErr w:type="spellEnd"/>
            <w:r w:rsidRPr="0059759C">
              <w:rPr>
                <w:rFonts w:eastAsia="Times New Roman"/>
                <w:sz w:val="20"/>
                <w:szCs w:val="20"/>
              </w:rPr>
              <w:t xml:space="preserve"> Русская Православная старообрядческая Церковь для проведения работ по сохранению </w:t>
            </w:r>
            <w:proofErr w:type="spellStart"/>
            <w:r w:rsidRPr="0059759C">
              <w:rPr>
                <w:rFonts w:eastAsia="Times New Roman"/>
                <w:sz w:val="20"/>
                <w:szCs w:val="20"/>
              </w:rPr>
              <w:t>обьектов</w:t>
            </w:r>
            <w:proofErr w:type="spellEnd"/>
            <w:r w:rsidRPr="0059759C">
              <w:rPr>
                <w:rFonts w:eastAsia="Times New Roman"/>
                <w:sz w:val="20"/>
                <w:szCs w:val="20"/>
              </w:rPr>
              <w:t xml:space="preserve"> культурного наследия, в связи с внесением изменений в план проведения мероприятий на 2020 год с учетом сложившейся эпидемиологической ситуации в Российской Федерации – 40,0 млн. рублей на предоставление субсидии на развитие гуманитарного сотрудничества между Российской Федерацией и Республикой Польша на поддержку российско-польского диалога; </w:t>
            </w:r>
            <w:r w:rsidR="0055389E" w:rsidRPr="0059759C">
              <w:rPr>
                <w:rFonts w:eastAsia="Times New Roman"/>
                <w:sz w:val="20"/>
                <w:szCs w:val="20"/>
              </w:rPr>
              <w:t>по МЧС России перераспределен</w:t>
            </w:r>
            <w:r w:rsidR="00275516" w:rsidRPr="0059759C">
              <w:rPr>
                <w:rFonts w:eastAsia="Times New Roman"/>
                <w:sz w:val="20"/>
                <w:szCs w:val="20"/>
              </w:rPr>
              <w:t>о</w:t>
            </w:r>
            <w:r w:rsidR="0055389E" w:rsidRPr="0059759C">
              <w:rPr>
                <w:rFonts w:eastAsia="Times New Roman"/>
                <w:sz w:val="20"/>
                <w:szCs w:val="20"/>
              </w:rPr>
              <w:t xml:space="preserve"> 425,0 млн. рублей в связи с тем, что вместо ранее запланированных федеральных казенных учреждений заказчиком в государственном контракте о закупке определены авиационные подразделения МЧС России, являющиеся федеральными государственными бюджетными учреждениями; по ФМБА России – 14,0 млн. рублей в связи с уменьшением командировочных расходов и увеличением расходов на закупку товаров,  работ и услуг для обеспечения нужд центрального аппарата ФМБА России; </w:t>
            </w:r>
            <w:r w:rsidR="00FE0D26" w:rsidRPr="0059759C">
              <w:rPr>
                <w:rFonts w:eastAsia="Times New Roman"/>
                <w:sz w:val="20"/>
                <w:szCs w:val="20"/>
              </w:rPr>
              <w:t>по Минэкономразвития России – 86,6 млн. рублей в связи с изменение</w:t>
            </w:r>
            <w:r w:rsidR="00FE6962">
              <w:rPr>
                <w:rFonts w:eastAsia="Times New Roman"/>
                <w:sz w:val="20"/>
                <w:szCs w:val="20"/>
              </w:rPr>
              <w:t>м</w:t>
            </w:r>
            <w:r w:rsidR="00FE0D26" w:rsidRPr="0059759C">
              <w:rPr>
                <w:rFonts w:eastAsia="Times New Roman"/>
                <w:sz w:val="20"/>
                <w:szCs w:val="20"/>
              </w:rPr>
              <w:t xml:space="preserve"> формы предоставления субсидий на гранты в форме субсидий в целях обеспечения исполнения ранее принятых Правительством Р</w:t>
            </w:r>
            <w:r w:rsidR="002C1C45" w:rsidRPr="0059759C">
              <w:rPr>
                <w:rFonts w:eastAsia="Times New Roman"/>
                <w:sz w:val="20"/>
                <w:szCs w:val="20"/>
              </w:rPr>
              <w:t>оссийской Федерации</w:t>
            </w:r>
            <w:r w:rsidR="00FE0D26" w:rsidRPr="0059759C">
              <w:rPr>
                <w:rFonts w:eastAsia="Times New Roman"/>
                <w:sz w:val="20"/>
                <w:szCs w:val="20"/>
              </w:rPr>
              <w:t xml:space="preserve"> решений по вопросу транспортного обеспечения российского присутствия на архипелаге Шпицберген и обеспечения уплаты ФГУП «ГТ» </w:t>
            </w:r>
            <w:proofErr w:type="spellStart"/>
            <w:r w:rsidR="00FE0D26" w:rsidRPr="0059759C">
              <w:rPr>
                <w:rFonts w:eastAsia="Times New Roman"/>
                <w:sz w:val="20"/>
                <w:szCs w:val="20"/>
              </w:rPr>
              <w:t>Арктикуголь</w:t>
            </w:r>
            <w:proofErr w:type="spellEnd"/>
            <w:r w:rsidR="00FE0D26" w:rsidRPr="0059759C">
              <w:rPr>
                <w:rFonts w:eastAsia="Times New Roman"/>
                <w:sz w:val="20"/>
                <w:szCs w:val="20"/>
              </w:rPr>
              <w:t xml:space="preserve"> лизинговых платежей за вертолет МИ-8.</w:t>
            </w:r>
          </w:p>
          <w:p w:rsidR="00FE0D26" w:rsidRPr="0059759C" w:rsidRDefault="00FE0D26" w:rsidP="00FE0D26">
            <w:pPr>
              <w:spacing w:line="240" w:lineRule="auto"/>
              <w:ind w:left="0" w:right="-2" w:firstLine="459"/>
              <w:outlineLvl w:val="2"/>
              <w:rPr>
                <w:rFonts w:eastAsia="Times New Roman"/>
                <w:sz w:val="20"/>
                <w:szCs w:val="20"/>
              </w:rPr>
            </w:pPr>
            <w:r w:rsidRPr="0059759C">
              <w:rPr>
                <w:rFonts w:eastAsia="Times New Roman"/>
                <w:sz w:val="20"/>
                <w:szCs w:val="20"/>
              </w:rPr>
              <w:t xml:space="preserve">Бюджетные ассигнования в </w:t>
            </w:r>
            <w:r w:rsidR="00275516" w:rsidRPr="0059759C">
              <w:rPr>
                <w:rFonts w:eastAsia="Times New Roman"/>
                <w:sz w:val="20"/>
                <w:szCs w:val="20"/>
              </w:rPr>
              <w:t>сумме</w:t>
            </w:r>
            <w:r w:rsidRPr="0059759C">
              <w:rPr>
                <w:rFonts w:eastAsia="Times New Roman"/>
                <w:sz w:val="20"/>
                <w:szCs w:val="20"/>
              </w:rPr>
              <w:t xml:space="preserve"> 547,5 млн. рублей перераспределены между главными распорядителями.</w:t>
            </w:r>
          </w:p>
          <w:p w:rsidR="0055389E" w:rsidRPr="00DA36FC" w:rsidRDefault="00BB2D53" w:rsidP="00951238">
            <w:pPr>
              <w:spacing w:line="240" w:lineRule="auto"/>
              <w:ind w:left="0" w:right="0" w:firstLine="459"/>
              <w:rPr>
                <w:rFonts w:eastAsia="Times New Roman"/>
                <w:color w:val="FF0000"/>
                <w:sz w:val="20"/>
                <w:szCs w:val="20"/>
              </w:rPr>
            </w:pPr>
            <w:r w:rsidRPr="0059759C">
              <w:rPr>
                <w:rFonts w:eastAsia="Times New Roman"/>
                <w:sz w:val="20"/>
                <w:szCs w:val="20"/>
              </w:rPr>
              <w:t xml:space="preserve">В связи с передачей бюджетных ассигнований на реализацию проекта по созданию комплекса оборудования, необходимого для проведения гидравлического разрыва пласта, от </w:t>
            </w:r>
            <w:proofErr w:type="spellStart"/>
            <w:r w:rsidRPr="0059759C">
              <w:rPr>
                <w:rFonts w:eastAsia="Times New Roman"/>
                <w:sz w:val="20"/>
                <w:szCs w:val="20"/>
              </w:rPr>
              <w:t>Минпромторга</w:t>
            </w:r>
            <w:proofErr w:type="spellEnd"/>
            <w:r w:rsidRPr="0059759C">
              <w:rPr>
                <w:rFonts w:eastAsia="Times New Roman"/>
                <w:sz w:val="20"/>
                <w:szCs w:val="20"/>
              </w:rPr>
              <w:t xml:space="preserve"> России </w:t>
            </w:r>
            <w:proofErr w:type="spellStart"/>
            <w:r w:rsidRPr="0059759C">
              <w:rPr>
                <w:rFonts w:eastAsia="Times New Roman"/>
                <w:bCs/>
                <w:sz w:val="20"/>
                <w:szCs w:val="20"/>
              </w:rPr>
              <w:t>Госкорпорации</w:t>
            </w:r>
            <w:proofErr w:type="spellEnd"/>
            <w:r w:rsidRPr="0059759C">
              <w:rPr>
                <w:rFonts w:eastAsia="Times New Roman"/>
                <w:bCs/>
                <w:sz w:val="20"/>
                <w:szCs w:val="20"/>
              </w:rPr>
              <w:t xml:space="preserve"> «</w:t>
            </w:r>
            <w:proofErr w:type="spellStart"/>
            <w:r w:rsidRPr="0059759C">
              <w:rPr>
                <w:rFonts w:eastAsia="Times New Roman"/>
                <w:bCs/>
                <w:sz w:val="20"/>
                <w:szCs w:val="20"/>
              </w:rPr>
              <w:t>Роскосмос</w:t>
            </w:r>
            <w:proofErr w:type="spellEnd"/>
            <w:r w:rsidRPr="0059759C">
              <w:rPr>
                <w:rFonts w:eastAsia="Times New Roman"/>
                <w:bCs/>
                <w:sz w:val="20"/>
                <w:szCs w:val="20"/>
              </w:rPr>
              <w:t>» перераспределено 500,0 млн. рублей;</w:t>
            </w:r>
            <w:r w:rsidR="00B70EB9" w:rsidRPr="0059759C">
              <w:rPr>
                <w:rFonts w:eastAsia="Times New Roman"/>
                <w:sz w:val="20"/>
                <w:szCs w:val="20"/>
              </w:rPr>
              <w:t xml:space="preserve"> с передачей штатной численности от Росстата </w:t>
            </w:r>
            <w:proofErr w:type="spellStart"/>
            <w:r w:rsidR="00B70EB9" w:rsidRPr="0059759C">
              <w:rPr>
                <w:rFonts w:eastAsia="Times New Roman"/>
                <w:sz w:val="20"/>
                <w:szCs w:val="20"/>
              </w:rPr>
              <w:t>Росаккредитации</w:t>
            </w:r>
            <w:proofErr w:type="spellEnd"/>
            <w:r w:rsidR="00B70EB9" w:rsidRPr="0059759C">
              <w:rPr>
                <w:rFonts w:eastAsia="Times New Roman"/>
                <w:sz w:val="20"/>
                <w:szCs w:val="20"/>
              </w:rPr>
              <w:t xml:space="preserve"> в целях оптимизации их структур и повышения эффективности их деятельности – 33,5 млн. рублей</w:t>
            </w:r>
            <w:r w:rsidRPr="0059759C">
              <w:rPr>
                <w:rFonts w:eastAsia="Times New Roman"/>
                <w:sz w:val="20"/>
                <w:szCs w:val="20"/>
              </w:rPr>
              <w:t xml:space="preserve">; </w:t>
            </w:r>
            <w:r w:rsidR="00D30676" w:rsidRPr="0059759C">
              <w:rPr>
                <w:rFonts w:eastAsia="Times New Roman"/>
                <w:sz w:val="20"/>
                <w:szCs w:val="20"/>
              </w:rPr>
              <w:t xml:space="preserve">уменьшением количества обращений главных распорядителей по выделению бюджетных ассигнований на исполнение судебных актов Российской Федерации от Минфина России Минздраву России </w:t>
            </w:r>
            <w:r w:rsidR="00582BEC" w:rsidRPr="0059759C">
              <w:rPr>
                <w:rFonts w:eastAsia="Times New Roman"/>
                <w:sz w:val="20"/>
                <w:szCs w:val="20"/>
              </w:rPr>
              <w:t xml:space="preserve">перераспределено </w:t>
            </w:r>
            <w:r w:rsidR="00D30676" w:rsidRPr="0059759C">
              <w:rPr>
                <w:rFonts w:eastAsia="Times New Roman"/>
                <w:sz w:val="20"/>
                <w:szCs w:val="20"/>
              </w:rPr>
              <w:t>14,0 млн. рублей на обеспечение единовременного денежного поощрения лучшим врачам и специалистам со средним медицинским и фармацевтическим образованием</w:t>
            </w:r>
            <w:r w:rsidR="00280062" w:rsidRPr="0059759C">
              <w:rPr>
                <w:rFonts w:eastAsia="Times New Roman"/>
                <w:sz w:val="20"/>
                <w:szCs w:val="20"/>
              </w:rPr>
              <w:t>, получившим премию «Призвание».</w:t>
            </w:r>
          </w:p>
        </w:tc>
      </w:tr>
    </w:tbl>
    <w:p w:rsidR="00B50AF3" w:rsidRDefault="00B50AF3" w:rsidP="00280062">
      <w:pPr>
        <w:ind w:left="0" w:right="0" w:firstLine="0"/>
        <w:jc w:val="center"/>
        <w:rPr>
          <w:rFonts w:eastAsia="Times New Roman"/>
          <w:b/>
          <w:sz w:val="16"/>
          <w:szCs w:val="16"/>
          <w:u w:val="single"/>
        </w:rPr>
      </w:pPr>
    </w:p>
    <w:sectPr w:rsidR="00B50AF3" w:rsidSect="00A60A0C">
      <w:headerReference w:type="default" r:id="rId8"/>
      <w:headerReference w:type="first" r:id="rId9"/>
      <w:pgSz w:w="11906" w:h="16838"/>
      <w:pgMar w:top="1134" w:right="851" w:bottom="709"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61F" w:rsidRDefault="0063561F" w:rsidP="000C15AB">
      <w:pPr>
        <w:spacing w:line="240" w:lineRule="auto"/>
      </w:pPr>
      <w:r>
        <w:separator/>
      </w:r>
    </w:p>
  </w:endnote>
  <w:endnote w:type="continuationSeparator" w:id="0">
    <w:p w:rsidR="0063561F" w:rsidRDefault="0063561F" w:rsidP="000C1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61F" w:rsidRDefault="0063561F" w:rsidP="000C15AB">
      <w:pPr>
        <w:spacing w:line="240" w:lineRule="auto"/>
      </w:pPr>
      <w:r>
        <w:separator/>
      </w:r>
    </w:p>
  </w:footnote>
  <w:footnote w:type="continuationSeparator" w:id="0">
    <w:p w:rsidR="0063561F" w:rsidRDefault="0063561F" w:rsidP="000C15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4489931"/>
      <w:docPartObj>
        <w:docPartGallery w:val="Page Numbers (Top of Page)"/>
        <w:docPartUnique/>
      </w:docPartObj>
    </w:sdtPr>
    <w:sdtEndPr/>
    <w:sdtContent>
      <w:p w:rsidR="001D055D" w:rsidRDefault="001D055D" w:rsidP="001D055D">
        <w:pPr>
          <w:pStyle w:val="a6"/>
          <w:ind w:left="0" w:firstLine="0"/>
          <w:jc w:val="center"/>
        </w:pPr>
        <w:r>
          <w:fldChar w:fldCharType="begin"/>
        </w:r>
        <w:r>
          <w:instrText>PAGE   \* MERGEFORMAT</w:instrText>
        </w:r>
        <w:r>
          <w:fldChar w:fldCharType="separate"/>
        </w:r>
        <w:r w:rsidR="00BE2DAB">
          <w:rPr>
            <w:noProof/>
          </w:rPr>
          <w:t>2</w:t>
        </w:r>
        <w:r>
          <w:fldChar w:fldCharType="end"/>
        </w:r>
      </w:p>
    </w:sdtContent>
  </w:sdt>
  <w:p w:rsidR="000B1841" w:rsidRDefault="000B1841" w:rsidP="000C15AB">
    <w:pPr>
      <w:pStyle w:val="a6"/>
      <w:ind w:left="0"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5D" w:rsidRDefault="001D055D" w:rsidP="001D055D">
    <w:pPr>
      <w:pStyle w:val="a6"/>
      <w:ind w:left="0" w:firstLine="0"/>
      <w:jc w:val="center"/>
    </w:pPr>
  </w:p>
  <w:p w:rsidR="000B1841" w:rsidRDefault="000B184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7F7"/>
    <w:rsid w:val="00003BEF"/>
    <w:rsid w:val="000062AC"/>
    <w:rsid w:val="000106B1"/>
    <w:rsid w:val="0001151E"/>
    <w:rsid w:val="00020773"/>
    <w:rsid w:val="0002205E"/>
    <w:rsid w:val="00026A4E"/>
    <w:rsid w:val="0003237C"/>
    <w:rsid w:val="000328A6"/>
    <w:rsid w:val="00033171"/>
    <w:rsid w:val="000331AE"/>
    <w:rsid w:val="00041A39"/>
    <w:rsid w:val="00041AA0"/>
    <w:rsid w:val="00041AB9"/>
    <w:rsid w:val="00044948"/>
    <w:rsid w:val="00045774"/>
    <w:rsid w:val="00046384"/>
    <w:rsid w:val="0005745F"/>
    <w:rsid w:val="00063894"/>
    <w:rsid w:val="000649FA"/>
    <w:rsid w:val="00065F8D"/>
    <w:rsid w:val="00066F62"/>
    <w:rsid w:val="00070C50"/>
    <w:rsid w:val="00082F08"/>
    <w:rsid w:val="00084FA3"/>
    <w:rsid w:val="00086378"/>
    <w:rsid w:val="00090D87"/>
    <w:rsid w:val="000A44F0"/>
    <w:rsid w:val="000A7BF1"/>
    <w:rsid w:val="000B02DC"/>
    <w:rsid w:val="000B1841"/>
    <w:rsid w:val="000B19BA"/>
    <w:rsid w:val="000B1BCA"/>
    <w:rsid w:val="000B6612"/>
    <w:rsid w:val="000C0841"/>
    <w:rsid w:val="000C15AB"/>
    <w:rsid w:val="000C2512"/>
    <w:rsid w:val="000C4F9A"/>
    <w:rsid w:val="000D1549"/>
    <w:rsid w:val="000E0286"/>
    <w:rsid w:val="000E1370"/>
    <w:rsid w:val="000E1678"/>
    <w:rsid w:val="000E444E"/>
    <w:rsid w:val="000E4801"/>
    <w:rsid w:val="000F5E86"/>
    <w:rsid w:val="00104CA8"/>
    <w:rsid w:val="001078F4"/>
    <w:rsid w:val="00114C8A"/>
    <w:rsid w:val="00114F7E"/>
    <w:rsid w:val="00115EA9"/>
    <w:rsid w:val="001175D5"/>
    <w:rsid w:val="00120F6F"/>
    <w:rsid w:val="0012211A"/>
    <w:rsid w:val="001276D3"/>
    <w:rsid w:val="0013395D"/>
    <w:rsid w:val="00140ED0"/>
    <w:rsid w:val="00142B98"/>
    <w:rsid w:val="00147B76"/>
    <w:rsid w:val="00152AE0"/>
    <w:rsid w:val="00155772"/>
    <w:rsid w:val="001608BF"/>
    <w:rsid w:val="00162D14"/>
    <w:rsid w:val="00173689"/>
    <w:rsid w:val="00175877"/>
    <w:rsid w:val="00176568"/>
    <w:rsid w:val="0018491F"/>
    <w:rsid w:val="001876A7"/>
    <w:rsid w:val="00197C5F"/>
    <w:rsid w:val="001A2E20"/>
    <w:rsid w:val="001A6259"/>
    <w:rsid w:val="001A7C0F"/>
    <w:rsid w:val="001B074F"/>
    <w:rsid w:val="001B599F"/>
    <w:rsid w:val="001B6094"/>
    <w:rsid w:val="001B6A1B"/>
    <w:rsid w:val="001C27BF"/>
    <w:rsid w:val="001C689C"/>
    <w:rsid w:val="001D055D"/>
    <w:rsid w:val="001D304F"/>
    <w:rsid w:val="001E7CBB"/>
    <w:rsid w:val="001F1172"/>
    <w:rsid w:val="001F16B7"/>
    <w:rsid w:val="001F1949"/>
    <w:rsid w:val="001F210F"/>
    <w:rsid w:val="001F4897"/>
    <w:rsid w:val="00200065"/>
    <w:rsid w:val="00205BEE"/>
    <w:rsid w:val="00210DD7"/>
    <w:rsid w:val="002266C6"/>
    <w:rsid w:val="00236A73"/>
    <w:rsid w:val="00237B88"/>
    <w:rsid w:val="0024241C"/>
    <w:rsid w:val="00243D2E"/>
    <w:rsid w:val="00251418"/>
    <w:rsid w:val="002522E6"/>
    <w:rsid w:val="002534AD"/>
    <w:rsid w:val="002539BA"/>
    <w:rsid w:val="002643CC"/>
    <w:rsid w:val="00264C02"/>
    <w:rsid w:val="00267E55"/>
    <w:rsid w:val="00275516"/>
    <w:rsid w:val="00280062"/>
    <w:rsid w:val="00284C14"/>
    <w:rsid w:val="00293C3A"/>
    <w:rsid w:val="00293F47"/>
    <w:rsid w:val="0029537D"/>
    <w:rsid w:val="002A1922"/>
    <w:rsid w:val="002A38F4"/>
    <w:rsid w:val="002B1034"/>
    <w:rsid w:val="002B10FF"/>
    <w:rsid w:val="002C0E5D"/>
    <w:rsid w:val="002C1686"/>
    <w:rsid w:val="002C181B"/>
    <w:rsid w:val="002C1C45"/>
    <w:rsid w:val="002D1470"/>
    <w:rsid w:val="002D34B1"/>
    <w:rsid w:val="002D6295"/>
    <w:rsid w:val="002D6709"/>
    <w:rsid w:val="002D6878"/>
    <w:rsid w:val="002D6EC9"/>
    <w:rsid w:val="002E2E0F"/>
    <w:rsid w:val="002E3C68"/>
    <w:rsid w:val="002E47AF"/>
    <w:rsid w:val="002F1D67"/>
    <w:rsid w:val="002F39A8"/>
    <w:rsid w:val="002F4B19"/>
    <w:rsid w:val="002F502A"/>
    <w:rsid w:val="00300982"/>
    <w:rsid w:val="0030104B"/>
    <w:rsid w:val="00303927"/>
    <w:rsid w:val="00303E67"/>
    <w:rsid w:val="00311238"/>
    <w:rsid w:val="00317850"/>
    <w:rsid w:val="00320152"/>
    <w:rsid w:val="00320613"/>
    <w:rsid w:val="00321168"/>
    <w:rsid w:val="0032599F"/>
    <w:rsid w:val="003301BF"/>
    <w:rsid w:val="003317A6"/>
    <w:rsid w:val="00331C19"/>
    <w:rsid w:val="00337E41"/>
    <w:rsid w:val="00341F6F"/>
    <w:rsid w:val="0034487D"/>
    <w:rsid w:val="003475FE"/>
    <w:rsid w:val="00347BAD"/>
    <w:rsid w:val="00351F3A"/>
    <w:rsid w:val="00352B16"/>
    <w:rsid w:val="003559DA"/>
    <w:rsid w:val="00355B87"/>
    <w:rsid w:val="00355C74"/>
    <w:rsid w:val="003735F1"/>
    <w:rsid w:val="00374C14"/>
    <w:rsid w:val="00380C8E"/>
    <w:rsid w:val="0038305B"/>
    <w:rsid w:val="00384B7E"/>
    <w:rsid w:val="00386C58"/>
    <w:rsid w:val="00391151"/>
    <w:rsid w:val="00392B5A"/>
    <w:rsid w:val="00393DF6"/>
    <w:rsid w:val="00396357"/>
    <w:rsid w:val="003974E9"/>
    <w:rsid w:val="003A2313"/>
    <w:rsid w:val="003A3084"/>
    <w:rsid w:val="003A4A3C"/>
    <w:rsid w:val="003A663F"/>
    <w:rsid w:val="003A68FB"/>
    <w:rsid w:val="003A6D94"/>
    <w:rsid w:val="003B17EF"/>
    <w:rsid w:val="003B38A3"/>
    <w:rsid w:val="003B5289"/>
    <w:rsid w:val="003B79E1"/>
    <w:rsid w:val="003C0D4C"/>
    <w:rsid w:val="003C187F"/>
    <w:rsid w:val="003C3DAA"/>
    <w:rsid w:val="003C44EF"/>
    <w:rsid w:val="003C4F07"/>
    <w:rsid w:val="003C5155"/>
    <w:rsid w:val="003D1B73"/>
    <w:rsid w:val="003D3E6B"/>
    <w:rsid w:val="003D4BA8"/>
    <w:rsid w:val="003D58E8"/>
    <w:rsid w:val="003D6DBA"/>
    <w:rsid w:val="003E3C06"/>
    <w:rsid w:val="003E750C"/>
    <w:rsid w:val="003F3871"/>
    <w:rsid w:val="003F43AF"/>
    <w:rsid w:val="003F6CDB"/>
    <w:rsid w:val="004009BF"/>
    <w:rsid w:val="00402C83"/>
    <w:rsid w:val="004047F7"/>
    <w:rsid w:val="00411891"/>
    <w:rsid w:val="0041362B"/>
    <w:rsid w:val="00413966"/>
    <w:rsid w:val="00416711"/>
    <w:rsid w:val="00417434"/>
    <w:rsid w:val="004241A3"/>
    <w:rsid w:val="00436854"/>
    <w:rsid w:val="00436EAE"/>
    <w:rsid w:val="00440815"/>
    <w:rsid w:val="00451284"/>
    <w:rsid w:val="004553DD"/>
    <w:rsid w:val="0046189C"/>
    <w:rsid w:val="00466271"/>
    <w:rsid w:val="00466C63"/>
    <w:rsid w:val="004754CD"/>
    <w:rsid w:val="00480602"/>
    <w:rsid w:val="004858C0"/>
    <w:rsid w:val="0049036B"/>
    <w:rsid w:val="004914EE"/>
    <w:rsid w:val="00491739"/>
    <w:rsid w:val="00494977"/>
    <w:rsid w:val="00495EB3"/>
    <w:rsid w:val="0049753E"/>
    <w:rsid w:val="004A00DC"/>
    <w:rsid w:val="004A282B"/>
    <w:rsid w:val="004A2F96"/>
    <w:rsid w:val="004A4839"/>
    <w:rsid w:val="004A7B88"/>
    <w:rsid w:val="004B1E91"/>
    <w:rsid w:val="004D2DA7"/>
    <w:rsid w:val="004E0BD9"/>
    <w:rsid w:val="004E1A5B"/>
    <w:rsid w:val="004E516D"/>
    <w:rsid w:val="004F3277"/>
    <w:rsid w:val="00502824"/>
    <w:rsid w:val="00503460"/>
    <w:rsid w:val="005042F4"/>
    <w:rsid w:val="00505B0E"/>
    <w:rsid w:val="005064C9"/>
    <w:rsid w:val="00511817"/>
    <w:rsid w:val="005164CE"/>
    <w:rsid w:val="00516D10"/>
    <w:rsid w:val="005239A9"/>
    <w:rsid w:val="0052654B"/>
    <w:rsid w:val="005306E5"/>
    <w:rsid w:val="005307B0"/>
    <w:rsid w:val="00530CB6"/>
    <w:rsid w:val="00530FDF"/>
    <w:rsid w:val="00532C6A"/>
    <w:rsid w:val="005407A3"/>
    <w:rsid w:val="005437E4"/>
    <w:rsid w:val="00545A76"/>
    <w:rsid w:val="005462C2"/>
    <w:rsid w:val="005514AB"/>
    <w:rsid w:val="0055167C"/>
    <w:rsid w:val="00551BF4"/>
    <w:rsid w:val="005522E3"/>
    <w:rsid w:val="00552C95"/>
    <w:rsid w:val="0055389E"/>
    <w:rsid w:val="00554782"/>
    <w:rsid w:val="00557C36"/>
    <w:rsid w:val="00563871"/>
    <w:rsid w:val="005743D8"/>
    <w:rsid w:val="0057595A"/>
    <w:rsid w:val="00577E07"/>
    <w:rsid w:val="00580D4D"/>
    <w:rsid w:val="005826DE"/>
    <w:rsid w:val="00582BEC"/>
    <w:rsid w:val="00583B0B"/>
    <w:rsid w:val="00591FDD"/>
    <w:rsid w:val="005937F1"/>
    <w:rsid w:val="0059759C"/>
    <w:rsid w:val="005A016B"/>
    <w:rsid w:val="005A0934"/>
    <w:rsid w:val="005A0EAC"/>
    <w:rsid w:val="005A1EFD"/>
    <w:rsid w:val="005A3CA8"/>
    <w:rsid w:val="005A5C51"/>
    <w:rsid w:val="005A6817"/>
    <w:rsid w:val="005A72DD"/>
    <w:rsid w:val="005A796A"/>
    <w:rsid w:val="005B3AEB"/>
    <w:rsid w:val="005B5318"/>
    <w:rsid w:val="005C0C9D"/>
    <w:rsid w:val="005C1BC0"/>
    <w:rsid w:val="005C1BDC"/>
    <w:rsid w:val="005C3887"/>
    <w:rsid w:val="005C4CDB"/>
    <w:rsid w:val="005D379A"/>
    <w:rsid w:val="005D475E"/>
    <w:rsid w:val="005E002D"/>
    <w:rsid w:val="005E1A97"/>
    <w:rsid w:val="005E2458"/>
    <w:rsid w:val="005E4D56"/>
    <w:rsid w:val="005F648D"/>
    <w:rsid w:val="005F64D4"/>
    <w:rsid w:val="005F6AED"/>
    <w:rsid w:val="006052E1"/>
    <w:rsid w:val="006130A7"/>
    <w:rsid w:val="00615908"/>
    <w:rsid w:val="0061604F"/>
    <w:rsid w:val="006203FE"/>
    <w:rsid w:val="0062063E"/>
    <w:rsid w:val="00622879"/>
    <w:rsid w:val="00625B1E"/>
    <w:rsid w:val="00630438"/>
    <w:rsid w:val="006355E2"/>
    <w:rsid w:val="0063561F"/>
    <w:rsid w:val="00637591"/>
    <w:rsid w:val="0064397E"/>
    <w:rsid w:val="0064410F"/>
    <w:rsid w:val="006448C4"/>
    <w:rsid w:val="00646F31"/>
    <w:rsid w:val="00651B2D"/>
    <w:rsid w:val="00654382"/>
    <w:rsid w:val="006543CD"/>
    <w:rsid w:val="006557C3"/>
    <w:rsid w:val="00655DCC"/>
    <w:rsid w:val="0066323B"/>
    <w:rsid w:val="006653B0"/>
    <w:rsid w:val="00666E27"/>
    <w:rsid w:val="0066741D"/>
    <w:rsid w:val="0066766C"/>
    <w:rsid w:val="00670A3A"/>
    <w:rsid w:val="006712D6"/>
    <w:rsid w:val="0067146C"/>
    <w:rsid w:val="00683AE7"/>
    <w:rsid w:val="00685813"/>
    <w:rsid w:val="00693092"/>
    <w:rsid w:val="00694C36"/>
    <w:rsid w:val="00695FBE"/>
    <w:rsid w:val="006A1571"/>
    <w:rsid w:val="006A33BB"/>
    <w:rsid w:val="006A5B89"/>
    <w:rsid w:val="006A7E31"/>
    <w:rsid w:val="006B00E3"/>
    <w:rsid w:val="006B34FE"/>
    <w:rsid w:val="006B7039"/>
    <w:rsid w:val="006C25C9"/>
    <w:rsid w:val="006C2E37"/>
    <w:rsid w:val="006C5ED7"/>
    <w:rsid w:val="006D12CA"/>
    <w:rsid w:val="006D4464"/>
    <w:rsid w:val="006D7268"/>
    <w:rsid w:val="006E063E"/>
    <w:rsid w:val="006E1FE3"/>
    <w:rsid w:val="006E4EDC"/>
    <w:rsid w:val="007003E7"/>
    <w:rsid w:val="00701655"/>
    <w:rsid w:val="00703549"/>
    <w:rsid w:val="007046EF"/>
    <w:rsid w:val="007061DA"/>
    <w:rsid w:val="00706C50"/>
    <w:rsid w:val="007125DA"/>
    <w:rsid w:val="00720E95"/>
    <w:rsid w:val="00723F4E"/>
    <w:rsid w:val="00726130"/>
    <w:rsid w:val="007314AE"/>
    <w:rsid w:val="00735097"/>
    <w:rsid w:val="00740442"/>
    <w:rsid w:val="00742B7B"/>
    <w:rsid w:val="007441F3"/>
    <w:rsid w:val="0074695F"/>
    <w:rsid w:val="007514B7"/>
    <w:rsid w:val="00752AB0"/>
    <w:rsid w:val="0076029E"/>
    <w:rsid w:val="00762736"/>
    <w:rsid w:val="00780F80"/>
    <w:rsid w:val="007818EE"/>
    <w:rsid w:val="00781AFE"/>
    <w:rsid w:val="0078569A"/>
    <w:rsid w:val="00786518"/>
    <w:rsid w:val="00790BD9"/>
    <w:rsid w:val="00790DF7"/>
    <w:rsid w:val="0079240A"/>
    <w:rsid w:val="00795825"/>
    <w:rsid w:val="007A2D4E"/>
    <w:rsid w:val="007A5B88"/>
    <w:rsid w:val="007C01FA"/>
    <w:rsid w:val="007C4ABB"/>
    <w:rsid w:val="007C614C"/>
    <w:rsid w:val="007C7D12"/>
    <w:rsid w:val="007D123B"/>
    <w:rsid w:val="007E1C0F"/>
    <w:rsid w:val="007E2A1E"/>
    <w:rsid w:val="007E3112"/>
    <w:rsid w:val="007E5B79"/>
    <w:rsid w:val="007F6136"/>
    <w:rsid w:val="007F6534"/>
    <w:rsid w:val="008036FE"/>
    <w:rsid w:val="00807A44"/>
    <w:rsid w:val="00810BCC"/>
    <w:rsid w:val="00814399"/>
    <w:rsid w:val="00814CCB"/>
    <w:rsid w:val="00816C97"/>
    <w:rsid w:val="00822F1D"/>
    <w:rsid w:val="00830D8B"/>
    <w:rsid w:val="008313DC"/>
    <w:rsid w:val="00832F27"/>
    <w:rsid w:val="008337F1"/>
    <w:rsid w:val="008373BB"/>
    <w:rsid w:val="00842EC4"/>
    <w:rsid w:val="0084573B"/>
    <w:rsid w:val="00851FF0"/>
    <w:rsid w:val="008524ED"/>
    <w:rsid w:val="00857513"/>
    <w:rsid w:val="008619E3"/>
    <w:rsid w:val="0086571E"/>
    <w:rsid w:val="008674D4"/>
    <w:rsid w:val="008820B1"/>
    <w:rsid w:val="008828F9"/>
    <w:rsid w:val="00885C4A"/>
    <w:rsid w:val="00887ECD"/>
    <w:rsid w:val="0089100F"/>
    <w:rsid w:val="008A1B6F"/>
    <w:rsid w:val="008A294E"/>
    <w:rsid w:val="008A7FDA"/>
    <w:rsid w:val="008B041A"/>
    <w:rsid w:val="008B5C79"/>
    <w:rsid w:val="008B6768"/>
    <w:rsid w:val="008C10E7"/>
    <w:rsid w:val="008C3FF6"/>
    <w:rsid w:val="008C4C93"/>
    <w:rsid w:val="008D237E"/>
    <w:rsid w:val="008D5037"/>
    <w:rsid w:val="008D55EE"/>
    <w:rsid w:val="008D7254"/>
    <w:rsid w:val="008E23BA"/>
    <w:rsid w:val="008E6F84"/>
    <w:rsid w:val="008F544C"/>
    <w:rsid w:val="0090341C"/>
    <w:rsid w:val="009046C1"/>
    <w:rsid w:val="00905178"/>
    <w:rsid w:val="00910B17"/>
    <w:rsid w:val="009143D7"/>
    <w:rsid w:val="0091528D"/>
    <w:rsid w:val="00922707"/>
    <w:rsid w:val="00924AD5"/>
    <w:rsid w:val="0093141B"/>
    <w:rsid w:val="0093268F"/>
    <w:rsid w:val="00932E97"/>
    <w:rsid w:val="00933743"/>
    <w:rsid w:val="00934201"/>
    <w:rsid w:val="00934293"/>
    <w:rsid w:val="00940C9E"/>
    <w:rsid w:val="00947DC2"/>
    <w:rsid w:val="00950723"/>
    <w:rsid w:val="00951238"/>
    <w:rsid w:val="009618A0"/>
    <w:rsid w:val="00963EFF"/>
    <w:rsid w:val="00964E18"/>
    <w:rsid w:val="00966A84"/>
    <w:rsid w:val="009700EE"/>
    <w:rsid w:val="00981D4A"/>
    <w:rsid w:val="00985FB9"/>
    <w:rsid w:val="009906F5"/>
    <w:rsid w:val="00991FBE"/>
    <w:rsid w:val="00997053"/>
    <w:rsid w:val="009A2B5F"/>
    <w:rsid w:val="009A413B"/>
    <w:rsid w:val="009A71A7"/>
    <w:rsid w:val="009B00DB"/>
    <w:rsid w:val="009B5BAE"/>
    <w:rsid w:val="009B5BB4"/>
    <w:rsid w:val="009B73B2"/>
    <w:rsid w:val="009C5A9D"/>
    <w:rsid w:val="009D14AA"/>
    <w:rsid w:val="009D5A9C"/>
    <w:rsid w:val="009D7619"/>
    <w:rsid w:val="009E2543"/>
    <w:rsid w:val="009E358D"/>
    <w:rsid w:val="009E37AC"/>
    <w:rsid w:val="009E3A9F"/>
    <w:rsid w:val="009E5A23"/>
    <w:rsid w:val="009F0B57"/>
    <w:rsid w:val="009F32E5"/>
    <w:rsid w:val="009F3BBA"/>
    <w:rsid w:val="009F6685"/>
    <w:rsid w:val="009F74ED"/>
    <w:rsid w:val="009F7BEA"/>
    <w:rsid w:val="00A00AFB"/>
    <w:rsid w:val="00A0522E"/>
    <w:rsid w:val="00A0650F"/>
    <w:rsid w:val="00A12967"/>
    <w:rsid w:val="00A12A1F"/>
    <w:rsid w:val="00A13343"/>
    <w:rsid w:val="00A13FE4"/>
    <w:rsid w:val="00A14DF9"/>
    <w:rsid w:val="00A154DF"/>
    <w:rsid w:val="00A15BBB"/>
    <w:rsid w:val="00A15FEE"/>
    <w:rsid w:val="00A16718"/>
    <w:rsid w:val="00A37E4A"/>
    <w:rsid w:val="00A42922"/>
    <w:rsid w:val="00A46851"/>
    <w:rsid w:val="00A46855"/>
    <w:rsid w:val="00A53E59"/>
    <w:rsid w:val="00A56F10"/>
    <w:rsid w:val="00A601A1"/>
    <w:rsid w:val="00A60A0C"/>
    <w:rsid w:val="00A611D1"/>
    <w:rsid w:val="00A612B1"/>
    <w:rsid w:val="00A65877"/>
    <w:rsid w:val="00A66D53"/>
    <w:rsid w:val="00A71886"/>
    <w:rsid w:val="00A737F6"/>
    <w:rsid w:val="00A8340B"/>
    <w:rsid w:val="00A875CA"/>
    <w:rsid w:val="00A93692"/>
    <w:rsid w:val="00A93843"/>
    <w:rsid w:val="00A97961"/>
    <w:rsid w:val="00AA7C2C"/>
    <w:rsid w:val="00AB4818"/>
    <w:rsid w:val="00AB7162"/>
    <w:rsid w:val="00AC316F"/>
    <w:rsid w:val="00AC6F73"/>
    <w:rsid w:val="00AC723A"/>
    <w:rsid w:val="00AD5E2D"/>
    <w:rsid w:val="00AD6F21"/>
    <w:rsid w:val="00AE6185"/>
    <w:rsid w:val="00AF1556"/>
    <w:rsid w:val="00AF4061"/>
    <w:rsid w:val="00B004C3"/>
    <w:rsid w:val="00B020A0"/>
    <w:rsid w:val="00B021AE"/>
    <w:rsid w:val="00B02797"/>
    <w:rsid w:val="00B03B1F"/>
    <w:rsid w:val="00B11180"/>
    <w:rsid w:val="00B12754"/>
    <w:rsid w:val="00B1311E"/>
    <w:rsid w:val="00B31834"/>
    <w:rsid w:val="00B34555"/>
    <w:rsid w:val="00B363D1"/>
    <w:rsid w:val="00B363F9"/>
    <w:rsid w:val="00B41551"/>
    <w:rsid w:val="00B43CF0"/>
    <w:rsid w:val="00B468F5"/>
    <w:rsid w:val="00B50AF3"/>
    <w:rsid w:val="00B51A00"/>
    <w:rsid w:val="00B51A75"/>
    <w:rsid w:val="00B521F6"/>
    <w:rsid w:val="00B5297C"/>
    <w:rsid w:val="00B55692"/>
    <w:rsid w:val="00B570BE"/>
    <w:rsid w:val="00B57B77"/>
    <w:rsid w:val="00B709C5"/>
    <w:rsid w:val="00B70EB9"/>
    <w:rsid w:val="00B74837"/>
    <w:rsid w:val="00B758F9"/>
    <w:rsid w:val="00B857DA"/>
    <w:rsid w:val="00B8610E"/>
    <w:rsid w:val="00B8636C"/>
    <w:rsid w:val="00B92472"/>
    <w:rsid w:val="00B92826"/>
    <w:rsid w:val="00B97947"/>
    <w:rsid w:val="00BA0569"/>
    <w:rsid w:val="00BA396B"/>
    <w:rsid w:val="00BB2D53"/>
    <w:rsid w:val="00BC1023"/>
    <w:rsid w:val="00BC1EE1"/>
    <w:rsid w:val="00BC5476"/>
    <w:rsid w:val="00BC6326"/>
    <w:rsid w:val="00BC7E7A"/>
    <w:rsid w:val="00BD3A43"/>
    <w:rsid w:val="00BD46A8"/>
    <w:rsid w:val="00BE2DAB"/>
    <w:rsid w:val="00BE5258"/>
    <w:rsid w:val="00BF6C92"/>
    <w:rsid w:val="00C02A01"/>
    <w:rsid w:val="00C107A7"/>
    <w:rsid w:val="00C12437"/>
    <w:rsid w:val="00C16783"/>
    <w:rsid w:val="00C22900"/>
    <w:rsid w:val="00C27034"/>
    <w:rsid w:val="00C32E4D"/>
    <w:rsid w:val="00C365FC"/>
    <w:rsid w:val="00C45858"/>
    <w:rsid w:val="00C54C12"/>
    <w:rsid w:val="00C5723B"/>
    <w:rsid w:val="00C57266"/>
    <w:rsid w:val="00C607BD"/>
    <w:rsid w:val="00C64B64"/>
    <w:rsid w:val="00C65AA7"/>
    <w:rsid w:val="00C65E34"/>
    <w:rsid w:val="00C753F7"/>
    <w:rsid w:val="00C75709"/>
    <w:rsid w:val="00C92B89"/>
    <w:rsid w:val="00CA0D75"/>
    <w:rsid w:val="00CA2324"/>
    <w:rsid w:val="00CB1876"/>
    <w:rsid w:val="00CB3CD3"/>
    <w:rsid w:val="00CC17E0"/>
    <w:rsid w:val="00CC48C8"/>
    <w:rsid w:val="00CC54F1"/>
    <w:rsid w:val="00CC7CA3"/>
    <w:rsid w:val="00CD1592"/>
    <w:rsid w:val="00CD7924"/>
    <w:rsid w:val="00CE057B"/>
    <w:rsid w:val="00CF592D"/>
    <w:rsid w:val="00CF70FF"/>
    <w:rsid w:val="00CF7BA5"/>
    <w:rsid w:val="00D01517"/>
    <w:rsid w:val="00D01531"/>
    <w:rsid w:val="00D02A49"/>
    <w:rsid w:val="00D10193"/>
    <w:rsid w:val="00D11ACD"/>
    <w:rsid w:val="00D15568"/>
    <w:rsid w:val="00D226D7"/>
    <w:rsid w:val="00D27FE6"/>
    <w:rsid w:val="00D30676"/>
    <w:rsid w:val="00D37865"/>
    <w:rsid w:val="00D37A7C"/>
    <w:rsid w:val="00D40541"/>
    <w:rsid w:val="00D57638"/>
    <w:rsid w:val="00D60CF3"/>
    <w:rsid w:val="00D611EB"/>
    <w:rsid w:val="00D6427B"/>
    <w:rsid w:val="00D66EA6"/>
    <w:rsid w:val="00D705A8"/>
    <w:rsid w:val="00D825FB"/>
    <w:rsid w:val="00D83DE5"/>
    <w:rsid w:val="00D83F44"/>
    <w:rsid w:val="00DA2F2B"/>
    <w:rsid w:val="00DA36FC"/>
    <w:rsid w:val="00DA3FF8"/>
    <w:rsid w:val="00DA6970"/>
    <w:rsid w:val="00DA6FEA"/>
    <w:rsid w:val="00DA7B11"/>
    <w:rsid w:val="00DB463E"/>
    <w:rsid w:val="00DB46EF"/>
    <w:rsid w:val="00DD1898"/>
    <w:rsid w:val="00DD21CE"/>
    <w:rsid w:val="00DD38B3"/>
    <w:rsid w:val="00DD3925"/>
    <w:rsid w:val="00DE036B"/>
    <w:rsid w:val="00DE7570"/>
    <w:rsid w:val="00DF0B78"/>
    <w:rsid w:val="00DF4A40"/>
    <w:rsid w:val="00DF7371"/>
    <w:rsid w:val="00DF77FB"/>
    <w:rsid w:val="00E018F2"/>
    <w:rsid w:val="00E03510"/>
    <w:rsid w:val="00E05752"/>
    <w:rsid w:val="00E07B74"/>
    <w:rsid w:val="00E106CF"/>
    <w:rsid w:val="00E1093A"/>
    <w:rsid w:val="00E266CF"/>
    <w:rsid w:val="00E30094"/>
    <w:rsid w:val="00E31002"/>
    <w:rsid w:val="00E31F36"/>
    <w:rsid w:val="00E33A74"/>
    <w:rsid w:val="00E42DCF"/>
    <w:rsid w:val="00E4692B"/>
    <w:rsid w:val="00E51FBB"/>
    <w:rsid w:val="00E527CB"/>
    <w:rsid w:val="00E52966"/>
    <w:rsid w:val="00E56E34"/>
    <w:rsid w:val="00E6455B"/>
    <w:rsid w:val="00E726A2"/>
    <w:rsid w:val="00E76E73"/>
    <w:rsid w:val="00E77E72"/>
    <w:rsid w:val="00E77F31"/>
    <w:rsid w:val="00E86E32"/>
    <w:rsid w:val="00E86EF3"/>
    <w:rsid w:val="00E87A4E"/>
    <w:rsid w:val="00E90737"/>
    <w:rsid w:val="00E96AC2"/>
    <w:rsid w:val="00EA0256"/>
    <w:rsid w:val="00EB1B79"/>
    <w:rsid w:val="00EC1351"/>
    <w:rsid w:val="00EC1685"/>
    <w:rsid w:val="00EC4AEF"/>
    <w:rsid w:val="00ED6769"/>
    <w:rsid w:val="00ED6CE9"/>
    <w:rsid w:val="00EE2944"/>
    <w:rsid w:val="00EE2B13"/>
    <w:rsid w:val="00EF1473"/>
    <w:rsid w:val="00EF1A4A"/>
    <w:rsid w:val="00EF6AAC"/>
    <w:rsid w:val="00EF7BA4"/>
    <w:rsid w:val="00EF7E72"/>
    <w:rsid w:val="00F015B5"/>
    <w:rsid w:val="00F06883"/>
    <w:rsid w:val="00F11E6B"/>
    <w:rsid w:val="00F12A52"/>
    <w:rsid w:val="00F17727"/>
    <w:rsid w:val="00F2312B"/>
    <w:rsid w:val="00F242B9"/>
    <w:rsid w:val="00F2606B"/>
    <w:rsid w:val="00F275BC"/>
    <w:rsid w:val="00F32770"/>
    <w:rsid w:val="00F32A2C"/>
    <w:rsid w:val="00F32A55"/>
    <w:rsid w:val="00F402C5"/>
    <w:rsid w:val="00F4341B"/>
    <w:rsid w:val="00F43FE7"/>
    <w:rsid w:val="00F44D39"/>
    <w:rsid w:val="00F55B55"/>
    <w:rsid w:val="00F56413"/>
    <w:rsid w:val="00F605D5"/>
    <w:rsid w:val="00F654B5"/>
    <w:rsid w:val="00F667A7"/>
    <w:rsid w:val="00F673EE"/>
    <w:rsid w:val="00F73C1F"/>
    <w:rsid w:val="00F775B7"/>
    <w:rsid w:val="00F81795"/>
    <w:rsid w:val="00F8231A"/>
    <w:rsid w:val="00F860C5"/>
    <w:rsid w:val="00F86117"/>
    <w:rsid w:val="00F91895"/>
    <w:rsid w:val="00F92163"/>
    <w:rsid w:val="00F92AAB"/>
    <w:rsid w:val="00FA0E03"/>
    <w:rsid w:val="00FA3A26"/>
    <w:rsid w:val="00FA592B"/>
    <w:rsid w:val="00FC3E0F"/>
    <w:rsid w:val="00FD2B92"/>
    <w:rsid w:val="00FD4EEC"/>
    <w:rsid w:val="00FD78CA"/>
    <w:rsid w:val="00FE0D26"/>
    <w:rsid w:val="00FE39F5"/>
    <w:rsid w:val="00FE6644"/>
    <w:rsid w:val="00FE6962"/>
    <w:rsid w:val="00FF4D77"/>
    <w:rsid w:val="00FF5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61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f0"/>
    <w:uiPriority w:val="59"/>
    <w:rsid w:val="006206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5C1B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61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f0"/>
    <w:uiPriority w:val="59"/>
    <w:rsid w:val="006206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5C1B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83193">
      <w:bodyDiv w:val="1"/>
      <w:marLeft w:val="0"/>
      <w:marRight w:val="0"/>
      <w:marTop w:val="0"/>
      <w:marBottom w:val="0"/>
      <w:divBdr>
        <w:top w:val="none" w:sz="0" w:space="0" w:color="auto"/>
        <w:left w:val="none" w:sz="0" w:space="0" w:color="auto"/>
        <w:bottom w:val="none" w:sz="0" w:space="0" w:color="auto"/>
        <w:right w:val="none" w:sz="0" w:space="0" w:color="auto"/>
      </w:divBdr>
    </w:div>
    <w:div w:id="86467735">
      <w:bodyDiv w:val="1"/>
      <w:marLeft w:val="0"/>
      <w:marRight w:val="0"/>
      <w:marTop w:val="0"/>
      <w:marBottom w:val="0"/>
      <w:divBdr>
        <w:top w:val="none" w:sz="0" w:space="0" w:color="auto"/>
        <w:left w:val="none" w:sz="0" w:space="0" w:color="auto"/>
        <w:bottom w:val="none" w:sz="0" w:space="0" w:color="auto"/>
        <w:right w:val="none" w:sz="0" w:space="0" w:color="auto"/>
      </w:divBdr>
    </w:div>
    <w:div w:id="112988238">
      <w:bodyDiv w:val="1"/>
      <w:marLeft w:val="0"/>
      <w:marRight w:val="0"/>
      <w:marTop w:val="0"/>
      <w:marBottom w:val="0"/>
      <w:divBdr>
        <w:top w:val="none" w:sz="0" w:space="0" w:color="auto"/>
        <w:left w:val="none" w:sz="0" w:space="0" w:color="auto"/>
        <w:bottom w:val="none" w:sz="0" w:space="0" w:color="auto"/>
        <w:right w:val="none" w:sz="0" w:space="0" w:color="auto"/>
      </w:divBdr>
    </w:div>
    <w:div w:id="184055232">
      <w:bodyDiv w:val="1"/>
      <w:marLeft w:val="0"/>
      <w:marRight w:val="0"/>
      <w:marTop w:val="0"/>
      <w:marBottom w:val="0"/>
      <w:divBdr>
        <w:top w:val="none" w:sz="0" w:space="0" w:color="auto"/>
        <w:left w:val="none" w:sz="0" w:space="0" w:color="auto"/>
        <w:bottom w:val="none" w:sz="0" w:space="0" w:color="auto"/>
        <w:right w:val="none" w:sz="0" w:space="0" w:color="auto"/>
      </w:divBdr>
    </w:div>
    <w:div w:id="230586073">
      <w:bodyDiv w:val="1"/>
      <w:marLeft w:val="0"/>
      <w:marRight w:val="0"/>
      <w:marTop w:val="0"/>
      <w:marBottom w:val="0"/>
      <w:divBdr>
        <w:top w:val="none" w:sz="0" w:space="0" w:color="auto"/>
        <w:left w:val="none" w:sz="0" w:space="0" w:color="auto"/>
        <w:bottom w:val="none" w:sz="0" w:space="0" w:color="auto"/>
        <w:right w:val="none" w:sz="0" w:space="0" w:color="auto"/>
      </w:divBdr>
    </w:div>
    <w:div w:id="335158991">
      <w:bodyDiv w:val="1"/>
      <w:marLeft w:val="0"/>
      <w:marRight w:val="0"/>
      <w:marTop w:val="0"/>
      <w:marBottom w:val="0"/>
      <w:divBdr>
        <w:top w:val="none" w:sz="0" w:space="0" w:color="auto"/>
        <w:left w:val="none" w:sz="0" w:space="0" w:color="auto"/>
        <w:bottom w:val="none" w:sz="0" w:space="0" w:color="auto"/>
        <w:right w:val="none" w:sz="0" w:space="0" w:color="auto"/>
      </w:divBdr>
    </w:div>
    <w:div w:id="551189854">
      <w:bodyDiv w:val="1"/>
      <w:marLeft w:val="0"/>
      <w:marRight w:val="0"/>
      <w:marTop w:val="0"/>
      <w:marBottom w:val="0"/>
      <w:divBdr>
        <w:top w:val="none" w:sz="0" w:space="0" w:color="auto"/>
        <w:left w:val="none" w:sz="0" w:space="0" w:color="auto"/>
        <w:bottom w:val="none" w:sz="0" w:space="0" w:color="auto"/>
        <w:right w:val="none" w:sz="0" w:space="0" w:color="auto"/>
      </w:divBdr>
    </w:div>
    <w:div w:id="785932204">
      <w:bodyDiv w:val="1"/>
      <w:marLeft w:val="0"/>
      <w:marRight w:val="0"/>
      <w:marTop w:val="0"/>
      <w:marBottom w:val="0"/>
      <w:divBdr>
        <w:top w:val="none" w:sz="0" w:space="0" w:color="auto"/>
        <w:left w:val="none" w:sz="0" w:space="0" w:color="auto"/>
        <w:bottom w:val="none" w:sz="0" w:space="0" w:color="auto"/>
        <w:right w:val="none" w:sz="0" w:space="0" w:color="auto"/>
      </w:divBdr>
    </w:div>
    <w:div w:id="889028081">
      <w:bodyDiv w:val="1"/>
      <w:marLeft w:val="0"/>
      <w:marRight w:val="0"/>
      <w:marTop w:val="0"/>
      <w:marBottom w:val="0"/>
      <w:divBdr>
        <w:top w:val="none" w:sz="0" w:space="0" w:color="auto"/>
        <w:left w:val="none" w:sz="0" w:space="0" w:color="auto"/>
        <w:bottom w:val="none" w:sz="0" w:space="0" w:color="auto"/>
        <w:right w:val="none" w:sz="0" w:space="0" w:color="auto"/>
      </w:divBdr>
    </w:div>
    <w:div w:id="915163885">
      <w:bodyDiv w:val="1"/>
      <w:marLeft w:val="0"/>
      <w:marRight w:val="0"/>
      <w:marTop w:val="0"/>
      <w:marBottom w:val="0"/>
      <w:divBdr>
        <w:top w:val="none" w:sz="0" w:space="0" w:color="auto"/>
        <w:left w:val="none" w:sz="0" w:space="0" w:color="auto"/>
        <w:bottom w:val="none" w:sz="0" w:space="0" w:color="auto"/>
        <w:right w:val="none" w:sz="0" w:space="0" w:color="auto"/>
      </w:divBdr>
    </w:div>
    <w:div w:id="966853127">
      <w:bodyDiv w:val="1"/>
      <w:marLeft w:val="0"/>
      <w:marRight w:val="0"/>
      <w:marTop w:val="0"/>
      <w:marBottom w:val="0"/>
      <w:divBdr>
        <w:top w:val="none" w:sz="0" w:space="0" w:color="auto"/>
        <w:left w:val="none" w:sz="0" w:space="0" w:color="auto"/>
        <w:bottom w:val="none" w:sz="0" w:space="0" w:color="auto"/>
        <w:right w:val="none" w:sz="0" w:space="0" w:color="auto"/>
      </w:divBdr>
    </w:div>
    <w:div w:id="1089614788">
      <w:bodyDiv w:val="1"/>
      <w:marLeft w:val="0"/>
      <w:marRight w:val="0"/>
      <w:marTop w:val="0"/>
      <w:marBottom w:val="0"/>
      <w:divBdr>
        <w:top w:val="none" w:sz="0" w:space="0" w:color="auto"/>
        <w:left w:val="none" w:sz="0" w:space="0" w:color="auto"/>
        <w:bottom w:val="none" w:sz="0" w:space="0" w:color="auto"/>
        <w:right w:val="none" w:sz="0" w:space="0" w:color="auto"/>
      </w:divBdr>
    </w:div>
    <w:div w:id="1180580125">
      <w:bodyDiv w:val="1"/>
      <w:marLeft w:val="0"/>
      <w:marRight w:val="0"/>
      <w:marTop w:val="0"/>
      <w:marBottom w:val="0"/>
      <w:divBdr>
        <w:top w:val="none" w:sz="0" w:space="0" w:color="auto"/>
        <w:left w:val="none" w:sz="0" w:space="0" w:color="auto"/>
        <w:bottom w:val="none" w:sz="0" w:space="0" w:color="auto"/>
        <w:right w:val="none" w:sz="0" w:space="0" w:color="auto"/>
      </w:divBdr>
    </w:div>
    <w:div w:id="1283996766">
      <w:bodyDiv w:val="1"/>
      <w:marLeft w:val="0"/>
      <w:marRight w:val="0"/>
      <w:marTop w:val="0"/>
      <w:marBottom w:val="0"/>
      <w:divBdr>
        <w:top w:val="none" w:sz="0" w:space="0" w:color="auto"/>
        <w:left w:val="none" w:sz="0" w:space="0" w:color="auto"/>
        <w:bottom w:val="none" w:sz="0" w:space="0" w:color="auto"/>
        <w:right w:val="none" w:sz="0" w:space="0" w:color="auto"/>
      </w:divBdr>
    </w:div>
    <w:div w:id="1295868723">
      <w:bodyDiv w:val="1"/>
      <w:marLeft w:val="0"/>
      <w:marRight w:val="0"/>
      <w:marTop w:val="0"/>
      <w:marBottom w:val="0"/>
      <w:divBdr>
        <w:top w:val="none" w:sz="0" w:space="0" w:color="auto"/>
        <w:left w:val="none" w:sz="0" w:space="0" w:color="auto"/>
        <w:bottom w:val="none" w:sz="0" w:space="0" w:color="auto"/>
        <w:right w:val="none" w:sz="0" w:space="0" w:color="auto"/>
      </w:divBdr>
    </w:div>
    <w:div w:id="1371342750">
      <w:bodyDiv w:val="1"/>
      <w:marLeft w:val="0"/>
      <w:marRight w:val="0"/>
      <w:marTop w:val="0"/>
      <w:marBottom w:val="0"/>
      <w:divBdr>
        <w:top w:val="none" w:sz="0" w:space="0" w:color="auto"/>
        <w:left w:val="none" w:sz="0" w:space="0" w:color="auto"/>
        <w:bottom w:val="none" w:sz="0" w:space="0" w:color="auto"/>
        <w:right w:val="none" w:sz="0" w:space="0" w:color="auto"/>
      </w:divBdr>
    </w:div>
    <w:div w:id="1387531171">
      <w:bodyDiv w:val="1"/>
      <w:marLeft w:val="0"/>
      <w:marRight w:val="0"/>
      <w:marTop w:val="0"/>
      <w:marBottom w:val="0"/>
      <w:divBdr>
        <w:top w:val="none" w:sz="0" w:space="0" w:color="auto"/>
        <w:left w:val="none" w:sz="0" w:space="0" w:color="auto"/>
        <w:bottom w:val="none" w:sz="0" w:space="0" w:color="auto"/>
        <w:right w:val="none" w:sz="0" w:space="0" w:color="auto"/>
      </w:divBdr>
    </w:div>
    <w:div w:id="1434402252">
      <w:bodyDiv w:val="1"/>
      <w:marLeft w:val="0"/>
      <w:marRight w:val="0"/>
      <w:marTop w:val="0"/>
      <w:marBottom w:val="0"/>
      <w:divBdr>
        <w:top w:val="none" w:sz="0" w:space="0" w:color="auto"/>
        <w:left w:val="none" w:sz="0" w:space="0" w:color="auto"/>
        <w:bottom w:val="none" w:sz="0" w:space="0" w:color="auto"/>
        <w:right w:val="none" w:sz="0" w:space="0" w:color="auto"/>
      </w:divBdr>
    </w:div>
    <w:div w:id="1545677324">
      <w:bodyDiv w:val="1"/>
      <w:marLeft w:val="0"/>
      <w:marRight w:val="0"/>
      <w:marTop w:val="0"/>
      <w:marBottom w:val="0"/>
      <w:divBdr>
        <w:top w:val="none" w:sz="0" w:space="0" w:color="auto"/>
        <w:left w:val="none" w:sz="0" w:space="0" w:color="auto"/>
        <w:bottom w:val="none" w:sz="0" w:space="0" w:color="auto"/>
        <w:right w:val="none" w:sz="0" w:space="0" w:color="auto"/>
      </w:divBdr>
    </w:div>
    <w:div w:id="1710254375">
      <w:bodyDiv w:val="1"/>
      <w:marLeft w:val="0"/>
      <w:marRight w:val="0"/>
      <w:marTop w:val="0"/>
      <w:marBottom w:val="0"/>
      <w:divBdr>
        <w:top w:val="none" w:sz="0" w:space="0" w:color="auto"/>
        <w:left w:val="none" w:sz="0" w:space="0" w:color="auto"/>
        <w:bottom w:val="none" w:sz="0" w:space="0" w:color="auto"/>
        <w:right w:val="none" w:sz="0" w:space="0" w:color="auto"/>
      </w:divBdr>
    </w:div>
    <w:div w:id="1926497592">
      <w:bodyDiv w:val="1"/>
      <w:marLeft w:val="0"/>
      <w:marRight w:val="0"/>
      <w:marTop w:val="0"/>
      <w:marBottom w:val="0"/>
      <w:divBdr>
        <w:top w:val="none" w:sz="0" w:space="0" w:color="auto"/>
        <w:left w:val="none" w:sz="0" w:space="0" w:color="auto"/>
        <w:bottom w:val="none" w:sz="0" w:space="0" w:color="auto"/>
        <w:right w:val="none" w:sz="0" w:space="0" w:color="auto"/>
      </w:divBdr>
    </w:div>
    <w:div w:id="19982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5A114-8A46-4B7D-A5EF-8A405EEF8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1342</Words>
  <Characters>7655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О.И.</dc:creator>
  <cp:lastModifiedBy>Калинкина Т.П.</cp:lastModifiedBy>
  <cp:revision>3</cp:revision>
  <cp:lastPrinted>2020-08-07T08:59:00Z</cp:lastPrinted>
  <dcterms:created xsi:type="dcterms:W3CDTF">2020-08-07T20:03:00Z</dcterms:created>
  <dcterms:modified xsi:type="dcterms:W3CDTF">2020-08-11T14:17:00Z</dcterms:modified>
</cp:coreProperties>
</file>