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3C7" w:rsidRPr="00F03335" w:rsidRDefault="00CF7F83" w:rsidP="005D63C7">
      <w:pPr>
        <w:widowControl w:val="0"/>
        <w:spacing w:line="312" w:lineRule="auto"/>
        <w:ind w:firstLine="709"/>
        <w:rPr>
          <w:rFonts w:eastAsia="Calibri"/>
          <w:b/>
          <w:lang w:eastAsia="en-US"/>
        </w:rPr>
      </w:pPr>
      <w:bookmarkStart w:id="0" w:name="_GoBack"/>
      <w:bookmarkEnd w:id="0"/>
      <w:r>
        <w:rPr>
          <w:rFonts w:eastAsia="Calibri"/>
          <w:b/>
          <w:lang w:eastAsia="en-US"/>
        </w:rPr>
        <w:t>30</w:t>
      </w:r>
      <w:r w:rsidR="005D63C7" w:rsidRPr="00F03335">
        <w:rPr>
          <w:rFonts w:eastAsia="Calibri"/>
          <w:b/>
          <w:lang w:eastAsia="en-US"/>
        </w:rPr>
        <w:t>. Госпрограмма «Развитие энергетики»</w:t>
      </w:r>
    </w:p>
    <w:p w:rsidR="005D63C7" w:rsidRDefault="00CF7F83" w:rsidP="005D63C7">
      <w:pPr>
        <w:spacing w:line="312" w:lineRule="auto"/>
        <w:ind w:firstLine="709"/>
        <w:jc w:val="both"/>
        <w:rPr>
          <w:bCs/>
        </w:rPr>
      </w:pPr>
      <w:r w:rsidRPr="00E61AE4">
        <w:rPr>
          <w:b/>
          <w:bCs/>
        </w:rPr>
        <w:t>30.</w:t>
      </w:r>
      <w:r w:rsidR="005D63C7" w:rsidRPr="00E61AE4">
        <w:rPr>
          <w:b/>
          <w:bCs/>
        </w:rPr>
        <w:t>1.</w:t>
      </w:r>
      <w:r w:rsidR="005D63C7">
        <w:rPr>
          <w:bCs/>
        </w:rPr>
        <w:t xml:space="preserve"> Госпрограмма </w:t>
      </w:r>
      <w:r w:rsidR="005D63C7" w:rsidRPr="00E61AE4">
        <w:rPr>
          <w:bCs/>
        </w:rPr>
        <w:t>«Развитие энергетики»</w:t>
      </w:r>
      <w:r w:rsidR="005D63C7">
        <w:rPr>
          <w:bCs/>
        </w:rPr>
        <w:t xml:space="preserve"> (далее – </w:t>
      </w:r>
      <w:r w:rsidR="000C46FB">
        <w:rPr>
          <w:bCs/>
        </w:rPr>
        <w:t>ГП-30</w:t>
      </w:r>
      <w:r w:rsidR="00E61AE4">
        <w:rPr>
          <w:bCs/>
        </w:rPr>
        <w:t>, госпрограмма</w:t>
      </w:r>
      <w:r w:rsidR="005D63C7">
        <w:rPr>
          <w:bCs/>
        </w:rPr>
        <w:t xml:space="preserve">) утверждена постановлением Правительства Российской Федерации от 15 апреля  2014 г. </w:t>
      </w:r>
      <w:r w:rsidR="00E61AE4">
        <w:rPr>
          <w:bCs/>
        </w:rPr>
        <w:t>№</w:t>
      </w:r>
      <w:r w:rsidR="005D63C7">
        <w:rPr>
          <w:bCs/>
        </w:rPr>
        <w:t xml:space="preserve"> 321.</w:t>
      </w:r>
    </w:p>
    <w:p w:rsidR="005D63C7" w:rsidRDefault="005D63C7" w:rsidP="005D63C7">
      <w:pPr>
        <w:spacing w:line="312" w:lineRule="auto"/>
        <w:ind w:firstLine="709"/>
        <w:jc w:val="both"/>
        <w:rPr>
          <w:bCs/>
        </w:rPr>
      </w:pPr>
      <w:r>
        <w:rPr>
          <w:bCs/>
        </w:rPr>
        <w:t>Согласно проекту паспорта</w:t>
      </w:r>
      <w:r w:rsidR="009003A4">
        <w:rPr>
          <w:bCs/>
        </w:rPr>
        <w:t xml:space="preserve"> ГП-30</w:t>
      </w:r>
      <w:r>
        <w:rPr>
          <w:bCs/>
        </w:rPr>
        <w:t xml:space="preserve">, представленному в материалах к </w:t>
      </w:r>
      <w:r w:rsidR="00E61AE4">
        <w:rPr>
          <w:bCs/>
        </w:rPr>
        <w:t>з</w:t>
      </w:r>
      <w:r>
        <w:rPr>
          <w:bCs/>
        </w:rPr>
        <w:t>аконопроекту (далее – проект паспорта</w:t>
      </w:r>
      <w:r w:rsidR="009003A4">
        <w:rPr>
          <w:bCs/>
        </w:rPr>
        <w:t xml:space="preserve"> ГП-30</w:t>
      </w:r>
      <w:r>
        <w:rPr>
          <w:bCs/>
        </w:rPr>
        <w:t>):</w:t>
      </w:r>
    </w:p>
    <w:p w:rsidR="005D63C7" w:rsidRDefault="005D63C7" w:rsidP="00973C9D">
      <w:pPr>
        <w:tabs>
          <w:tab w:val="left" w:pos="2835"/>
        </w:tabs>
        <w:spacing w:line="312" w:lineRule="auto"/>
        <w:ind w:firstLine="709"/>
        <w:jc w:val="both"/>
        <w:rPr>
          <w:bCs/>
        </w:rPr>
      </w:pPr>
      <w:r>
        <w:rPr>
          <w:bCs/>
        </w:rPr>
        <w:t xml:space="preserve">срок реализации: </w:t>
      </w:r>
      <w:r w:rsidR="00973C9D">
        <w:rPr>
          <w:bCs/>
        </w:rPr>
        <w:tab/>
      </w:r>
      <w:r>
        <w:rPr>
          <w:bCs/>
        </w:rPr>
        <w:t>первый этап: 1 января 2013 г</w:t>
      </w:r>
      <w:r w:rsidR="00E61AE4">
        <w:rPr>
          <w:bCs/>
        </w:rPr>
        <w:t>ода</w:t>
      </w:r>
      <w:r>
        <w:rPr>
          <w:bCs/>
        </w:rPr>
        <w:t xml:space="preserve"> – 31 декабря 2018 г</w:t>
      </w:r>
      <w:r w:rsidR="00E61AE4">
        <w:rPr>
          <w:bCs/>
        </w:rPr>
        <w:t>ода,</w:t>
      </w:r>
    </w:p>
    <w:p w:rsidR="005D63C7" w:rsidRDefault="00973C9D" w:rsidP="00973C9D">
      <w:pPr>
        <w:tabs>
          <w:tab w:val="left" w:pos="2835"/>
        </w:tabs>
        <w:spacing w:line="312" w:lineRule="auto"/>
        <w:ind w:firstLine="709"/>
        <w:jc w:val="both"/>
        <w:rPr>
          <w:bCs/>
        </w:rPr>
      </w:pPr>
      <w:r>
        <w:rPr>
          <w:bCs/>
        </w:rPr>
        <w:tab/>
      </w:r>
      <w:r w:rsidR="005D63C7">
        <w:rPr>
          <w:bCs/>
        </w:rPr>
        <w:t>второй этап: с 1 января 2019 г</w:t>
      </w:r>
      <w:r w:rsidR="00E61AE4">
        <w:rPr>
          <w:bCs/>
        </w:rPr>
        <w:t>ода</w:t>
      </w:r>
      <w:r w:rsidR="005D63C7">
        <w:rPr>
          <w:bCs/>
        </w:rPr>
        <w:t xml:space="preserve"> – 31 декабря 2024 г</w:t>
      </w:r>
      <w:r w:rsidR="00E61AE4">
        <w:rPr>
          <w:bCs/>
        </w:rPr>
        <w:t>ода</w:t>
      </w:r>
      <w:r w:rsidR="005D63C7">
        <w:rPr>
          <w:bCs/>
        </w:rPr>
        <w:t>.</w:t>
      </w:r>
    </w:p>
    <w:p w:rsidR="005D63C7" w:rsidRDefault="000C46FB" w:rsidP="005D63C7">
      <w:pPr>
        <w:spacing w:line="312" w:lineRule="auto"/>
        <w:ind w:firstLine="709"/>
        <w:jc w:val="both"/>
        <w:rPr>
          <w:bCs/>
        </w:rPr>
      </w:pPr>
      <w:r>
        <w:rPr>
          <w:bCs/>
        </w:rPr>
        <w:t>о</w:t>
      </w:r>
      <w:r w:rsidR="005D63C7">
        <w:rPr>
          <w:bCs/>
        </w:rPr>
        <w:t xml:space="preserve">тветственным исполнителем </w:t>
      </w:r>
      <w:r>
        <w:rPr>
          <w:bCs/>
        </w:rPr>
        <w:t>ГП-30</w:t>
      </w:r>
      <w:r w:rsidR="005D63C7">
        <w:rPr>
          <w:bCs/>
        </w:rPr>
        <w:t xml:space="preserve"> является Минэнерго России, участником – Минпромторг России (на период первого этапа реализации </w:t>
      </w:r>
      <w:r>
        <w:rPr>
          <w:bCs/>
        </w:rPr>
        <w:t>ГП-30</w:t>
      </w:r>
      <w:r w:rsidR="005D63C7">
        <w:rPr>
          <w:bCs/>
        </w:rPr>
        <w:t>), соисполнители отсутствуют.</w:t>
      </w:r>
    </w:p>
    <w:p w:rsidR="00A32FDC" w:rsidRPr="00A32FDC" w:rsidRDefault="00CF7F83" w:rsidP="005D63C7">
      <w:pPr>
        <w:spacing w:line="312" w:lineRule="auto"/>
        <w:ind w:firstLine="709"/>
        <w:jc w:val="both"/>
        <w:rPr>
          <w:rFonts w:eastAsia="Calibri"/>
          <w:lang w:eastAsia="en-US"/>
        </w:rPr>
      </w:pPr>
      <w:r w:rsidRPr="00E61AE4">
        <w:rPr>
          <w:b/>
          <w:bCs/>
        </w:rPr>
        <w:t>30.</w:t>
      </w:r>
      <w:r w:rsidR="005D63C7" w:rsidRPr="00E61AE4">
        <w:rPr>
          <w:b/>
          <w:bCs/>
        </w:rPr>
        <w:t>2.</w:t>
      </w:r>
      <w:r w:rsidR="005D63C7">
        <w:rPr>
          <w:bCs/>
        </w:rPr>
        <w:t> </w:t>
      </w:r>
      <w:r w:rsidR="00A32FDC" w:rsidRPr="00A32FDC">
        <w:rPr>
          <w:rFonts w:eastAsia="Calibri"/>
          <w:lang w:eastAsia="en-US"/>
        </w:rPr>
        <w:t>Анализ достаточности задач и показателей (индикаторов) проекта паспорта</w:t>
      </w:r>
      <w:r w:rsidR="009003A4">
        <w:rPr>
          <w:rFonts w:eastAsia="Calibri"/>
          <w:lang w:eastAsia="en-US"/>
        </w:rPr>
        <w:t xml:space="preserve"> ГП-30</w:t>
      </w:r>
      <w:r w:rsidR="00A32FDC" w:rsidRPr="00A32FDC">
        <w:rPr>
          <w:rFonts w:eastAsia="Calibri"/>
          <w:lang w:eastAsia="en-US"/>
        </w:rPr>
        <w:t xml:space="preserve"> достижения целей проекта паспорта </w:t>
      </w:r>
      <w:r w:rsidR="000C46FB">
        <w:rPr>
          <w:rFonts w:eastAsia="Calibri"/>
          <w:lang w:eastAsia="en-US"/>
        </w:rPr>
        <w:t>ГП-30</w:t>
      </w:r>
      <w:r w:rsidR="000C46FB" w:rsidRPr="000C46FB">
        <w:rPr>
          <w:rFonts w:eastAsia="Calibri"/>
          <w:lang w:eastAsia="en-US"/>
        </w:rPr>
        <w:t xml:space="preserve"> </w:t>
      </w:r>
      <w:r w:rsidR="000C46FB">
        <w:rPr>
          <w:rFonts w:eastAsia="Calibri"/>
          <w:lang w:eastAsia="en-US"/>
        </w:rPr>
        <w:t>показал</w:t>
      </w:r>
      <w:r w:rsidR="00A32FDC" w:rsidRPr="00A32FDC">
        <w:rPr>
          <w:rFonts w:eastAsia="Calibri"/>
          <w:lang w:eastAsia="en-US"/>
        </w:rPr>
        <w:t>.</w:t>
      </w:r>
    </w:p>
    <w:p w:rsidR="005D63C7" w:rsidRDefault="005D63C7" w:rsidP="005D63C7">
      <w:pPr>
        <w:spacing w:line="312" w:lineRule="auto"/>
        <w:ind w:firstLine="709"/>
        <w:jc w:val="both"/>
        <w:rPr>
          <w:bCs/>
        </w:rPr>
      </w:pPr>
      <w:r>
        <w:rPr>
          <w:bCs/>
        </w:rPr>
        <w:t xml:space="preserve">Цели и задачи </w:t>
      </w:r>
      <w:r w:rsidR="000C46FB">
        <w:rPr>
          <w:bCs/>
        </w:rPr>
        <w:t>ГП-30</w:t>
      </w:r>
      <w:r>
        <w:rPr>
          <w:bCs/>
        </w:rPr>
        <w:t xml:space="preserve"> не в полной мере соответствуют целям и задачам документов стратегического планирования в соответствующей сфере деятельности.</w:t>
      </w:r>
    </w:p>
    <w:p w:rsidR="00CF7F83" w:rsidRDefault="00CF7F83" w:rsidP="00CF7F83">
      <w:pPr>
        <w:spacing w:line="360" w:lineRule="auto"/>
        <w:ind w:firstLine="709"/>
        <w:jc w:val="both"/>
      </w:pPr>
      <w:r w:rsidRPr="00E10656">
        <w:t>Информация о целях, задачах и значениях целевых показателей (индикаторов) документов стратегического планирования, которые не нашли отражения или отражены не в полной мере в проекте паспорта ГП-</w:t>
      </w:r>
      <w:r>
        <w:t>30</w:t>
      </w:r>
      <w:r w:rsidRPr="00E10656">
        <w:t>, представлена в следующей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62"/>
      </w:tblGrid>
      <w:tr w:rsidR="00E674C7" w:rsidRPr="00290BBB" w:rsidTr="00121D35">
        <w:trPr>
          <w:trHeight w:val="531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4C7" w:rsidRPr="00290BBB" w:rsidRDefault="00E674C7" w:rsidP="00121D35">
            <w:pPr>
              <w:ind w:firstLine="142"/>
              <w:jc w:val="center"/>
              <w:textAlignment w:val="baseline"/>
              <w:outlineLvl w:val="1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b/>
                <w:sz w:val="20"/>
                <w:szCs w:val="20"/>
              </w:rPr>
              <w:t>Цели, задачи и целевые показатели основных стратегических документов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4C7" w:rsidRPr="00290BBB" w:rsidRDefault="00E674C7" w:rsidP="00121D35">
            <w:pPr>
              <w:ind w:firstLine="176"/>
              <w:jc w:val="both"/>
              <w:textAlignment w:val="baseline"/>
              <w:outlineLvl w:val="1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b/>
                <w:sz w:val="20"/>
                <w:szCs w:val="20"/>
              </w:rPr>
              <w:t>Цели, задачи и целевые показатели, отраженные в проекте паспорта ГП-30</w:t>
            </w:r>
          </w:p>
        </w:tc>
      </w:tr>
      <w:tr w:rsidR="00E674C7" w:rsidRPr="00290BBB" w:rsidTr="00121D35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709"/>
              <w:jc w:val="center"/>
              <w:textAlignment w:val="baseline"/>
              <w:outlineLvl w:val="1"/>
              <w:rPr>
                <w:rFonts w:eastAsia="Calibri"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b/>
                <w:sz w:val="20"/>
                <w:szCs w:val="20"/>
                <w:lang w:eastAsia="en-US"/>
              </w:rPr>
              <w:t xml:space="preserve">Энергетическая стратегия России на период до 2030 года, утвержденная распоряжением Правительства Российской Федерации от 13 ноября 2009 г. № 1715-р </w:t>
            </w:r>
          </w:p>
        </w:tc>
      </w:tr>
      <w:tr w:rsidR="00E674C7" w:rsidRPr="00290BBB" w:rsidTr="00121D35">
        <w:trPr>
          <w:trHeight w:val="361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4C7" w:rsidRPr="00290BBB" w:rsidRDefault="00E674C7" w:rsidP="00121D35">
            <w:pPr>
              <w:textAlignment w:val="baseline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b/>
                <w:sz w:val="20"/>
                <w:szCs w:val="20"/>
                <w:lang w:eastAsia="en-US"/>
              </w:rPr>
              <w:t>Цель</w:t>
            </w:r>
          </w:p>
        </w:tc>
      </w:tr>
      <w:tr w:rsidR="00E674C7" w:rsidRPr="00290BBB" w:rsidTr="00121D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outlineLvl w:val="1"/>
              <w:rPr>
                <w:rFonts w:eastAsia="Calibri"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sz w:val="20"/>
                <w:szCs w:val="20"/>
                <w:lang w:eastAsia="en-US"/>
              </w:rPr>
              <w:t>Создание инновационного и эффективного энергетического сектора страны, адекватного как потребностям растущей экономики в энергоресурсах, так и внешнеэкономическим интересам России, обеспечивающего необходимый вклад в социально ориентированное инновационное развитие страны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outlineLvl w:val="1"/>
              <w:rPr>
                <w:rFonts w:eastAsia="Calibri"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sz w:val="20"/>
                <w:szCs w:val="20"/>
                <w:lang w:eastAsia="en-US"/>
              </w:rPr>
              <w:t>Частично учтена в цели «надежное, качественное и экономически обоснованное обеспечение потребностей внутреннего рынка в энергоносителях, энергии и сырье на принципах энергосбережения и энергоэффективности, а также выполнение обязательств по зарубежным контрактам»</w:t>
            </w:r>
          </w:p>
        </w:tc>
      </w:tr>
      <w:tr w:rsidR="00E674C7" w:rsidRPr="00290BBB" w:rsidTr="00121D35">
        <w:trPr>
          <w:trHeight w:val="346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4C7" w:rsidRPr="00290BBB" w:rsidRDefault="00E674C7" w:rsidP="00121D35">
            <w:pPr>
              <w:ind w:firstLine="142"/>
              <w:textAlignment w:val="baseline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b/>
                <w:sz w:val="20"/>
                <w:szCs w:val="20"/>
                <w:lang w:eastAsia="en-US"/>
              </w:rPr>
              <w:t>Задачи</w:t>
            </w:r>
          </w:p>
        </w:tc>
      </w:tr>
      <w:tr w:rsidR="00E674C7" w:rsidRPr="00290BBB" w:rsidTr="00121D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outlineLvl w:val="1"/>
              <w:rPr>
                <w:rFonts w:eastAsia="Calibri"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sz w:val="20"/>
                <w:szCs w:val="20"/>
                <w:lang w:eastAsia="en-US"/>
              </w:rPr>
              <w:t>Повышение эффективности воспроизводства, добычи и переработки топливно-энергетических ресурсов для удовлетворения внутреннего и внешнего спроса на них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sz w:val="20"/>
                <w:szCs w:val="20"/>
              </w:rPr>
              <w:t>«</w:t>
            </w:r>
            <w:r w:rsidR="00FF2FD3">
              <w:rPr>
                <w:rFonts w:eastAsia="Calibri"/>
                <w:sz w:val="20"/>
                <w:szCs w:val="20"/>
                <w:lang w:eastAsia="en-US"/>
              </w:rPr>
              <w:t>П</w:t>
            </w:r>
            <w:r w:rsidRPr="00290BBB">
              <w:rPr>
                <w:rFonts w:eastAsia="Calibri"/>
                <w:sz w:val="20"/>
                <w:szCs w:val="20"/>
                <w:lang w:eastAsia="en-US"/>
              </w:rPr>
              <w:t>овышение эффективности производства, добычи и переработки углеводородных ресурсов для удовлетворения внутреннего и внешнего спроса на них»;</w:t>
            </w:r>
          </w:p>
          <w:p w:rsidR="00E674C7" w:rsidRPr="00290BBB" w:rsidRDefault="00E674C7" w:rsidP="00FF2FD3">
            <w:pPr>
              <w:ind w:firstLine="142"/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sz w:val="20"/>
                <w:szCs w:val="20"/>
                <w:lang w:eastAsia="en-US"/>
              </w:rPr>
              <w:t>«</w:t>
            </w:r>
            <w:r w:rsidR="00FF2FD3">
              <w:rPr>
                <w:rFonts w:eastAsia="Calibri"/>
                <w:sz w:val="20"/>
                <w:szCs w:val="20"/>
                <w:lang w:eastAsia="en-US"/>
              </w:rPr>
              <w:t>П</w:t>
            </w:r>
            <w:r w:rsidRPr="00290BBB">
              <w:rPr>
                <w:rFonts w:eastAsia="Calibri"/>
                <w:sz w:val="20"/>
                <w:szCs w:val="20"/>
                <w:lang w:eastAsia="en-US"/>
              </w:rPr>
              <w:t>овышение эффективности производства, добычи и переработки угольного сырья для удовлетворения внутреннего и внешнего спроса на них»</w:t>
            </w:r>
          </w:p>
        </w:tc>
      </w:tr>
      <w:tr w:rsidR="00E674C7" w:rsidRPr="00290BBB" w:rsidTr="00121D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outlineLvl w:val="1"/>
              <w:rPr>
                <w:rFonts w:eastAsia="Calibri"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sz w:val="20"/>
                <w:szCs w:val="20"/>
              </w:rPr>
              <w:t>Модернизация и создание новой энергетической инфраструктуры на основе масштабного технологического обновления энергетического сектора экономики страны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sz w:val="20"/>
                <w:szCs w:val="20"/>
                <w:lang w:eastAsia="en-US"/>
              </w:rPr>
              <w:t xml:space="preserve"> «Содействие инновационному и цифровому развитию топливно-энергетического комплекса»</w:t>
            </w:r>
          </w:p>
        </w:tc>
      </w:tr>
      <w:tr w:rsidR="00E674C7" w:rsidRPr="00290BBB" w:rsidTr="00121D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outlineLvl w:val="1"/>
              <w:rPr>
                <w:rFonts w:eastAsia="Calibri"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sz w:val="20"/>
                <w:szCs w:val="20"/>
              </w:rPr>
              <w:t>Дальнейшая интеграция российской энергетики в мировую энергетическую систему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sz w:val="20"/>
                <w:szCs w:val="20"/>
              </w:rPr>
              <w:t>«</w:t>
            </w:r>
            <w:r w:rsidRPr="00290BBB">
              <w:rPr>
                <w:rFonts w:eastAsia="Calibri"/>
                <w:sz w:val="20"/>
                <w:szCs w:val="20"/>
                <w:lang w:eastAsia="en-US"/>
              </w:rPr>
              <w:t>Повышение эффективности производства, добычи и переработки углеводородных ресурсов для удовлетворения внутреннего и внешнего спроса на них»;</w:t>
            </w:r>
          </w:p>
          <w:p w:rsidR="00E674C7" w:rsidRPr="00290BBB" w:rsidRDefault="00E674C7" w:rsidP="00121D35">
            <w:pPr>
              <w:ind w:firstLine="142"/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sz w:val="20"/>
                <w:szCs w:val="20"/>
                <w:lang w:eastAsia="en-US"/>
              </w:rPr>
              <w:t xml:space="preserve">«повышение эффективности производства, добычи и переработки угольного сырья для удовлетворения внутреннего и внешнего спроса на </w:t>
            </w:r>
            <w:r w:rsidRPr="00290BBB">
              <w:rPr>
                <w:rFonts w:eastAsia="Calibri"/>
                <w:sz w:val="20"/>
                <w:szCs w:val="20"/>
                <w:lang w:eastAsia="en-US"/>
              </w:rPr>
              <w:lastRenderedPageBreak/>
              <w:t>них»</w:t>
            </w:r>
          </w:p>
          <w:p w:rsidR="00E674C7" w:rsidRPr="00290BBB" w:rsidRDefault="00E674C7" w:rsidP="00121D35">
            <w:pPr>
              <w:ind w:left="93" w:firstLine="49"/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674C7" w:rsidRPr="00290BBB" w:rsidTr="00121D35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outlineLvl w:val="1"/>
              <w:rPr>
                <w:rFonts w:eastAsia="Calibri"/>
                <w:b/>
                <w:sz w:val="20"/>
                <w:szCs w:val="20"/>
              </w:rPr>
            </w:pPr>
            <w:r w:rsidRPr="00290BBB">
              <w:rPr>
                <w:rFonts w:eastAsia="Calibri"/>
                <w:b/>
                <w:sz w:val="20"/>
                <w:szCs w:val="20"/>
              </w:rPr>
              <w:lastRenderedPageBreak/>
              <w:t>Показатели</w:t>
            </w:r>
          </w:p>
        </w:tc>
      </w:tr>
      <w:tr w:rsidR="00E674C7" w:rsidRPr="00290BBB" w:rsidTr="00121D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sz w:val="20"/>
                <w:szCs w:val="20"/>
                <w:lang w:eastAsia="en-US"/>
              </w:rPr>
              <w:t xml:space="preserve">Добыча угля 365 </w:t>
            </w:r>
            <w:r w:rsidRPr="00290BBB">
              <w:rPr>
                <w:rFonts w:eastAsia="Calibri"/>
                <w:sz w:val="20"/>
                <w:szCs w:val="20"/>
              </w:rPr>
              <w:t>–</w:t>
            </w:r>
            <w:r w:rsidRPr="00290BBB">
              <w:rPr>
                <w:rFonts w:eastAsia="Calibri"/>
                <w:sz w:val="20"/>
                <w:szCs w:val="20"/>
                <w:lang w:eastAsia="en-US"/>
              </w:rPr>
              <w:t xml:space="preserve"> 410 млн. тонн к (2020 </w:t>
            </w:r>
            <w:r w:rsidRPr="00290BBB">
              <w:rPr>
                <w:rFonts w:eastAsia="Calibri"/>
                <w:sz w:val="20"/>
                <w:szCs w:val="20"/>
              </w:rPr>
              <w:t>– 2022 годы)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outlineLvl w:val="1"/>
              <w:rPr>
                <w:rFonts w:eastAsia="Calibri"/>
                <w:sz w:val="20"/>
                <w:szCs w:val="20"/>
              </w:rPr>
            </w:pPr>
            <w:r w:rsidRPr="00290BBB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Добыча угля </w:t>
            </w:r>
            <w:r w:rsidRPr="00290BBB">
              <w:rPr>
                <w:rFonts w:eastAsia="Calibri"/>
                <w:sz w:val="20"/>
                <w:szCs w:val="20"/>
              </w:rPr>
              <w:t>к 2020 году 453 млн. тонн, к 2022 году –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290BBB">
              <w:rPr>
                <w:rFonts w:eastAsia="Calibri"/>
                <w:sz w:val="20"/>
                <w:szCs w:val="20"/>
              </w:rPr>
              <w:t xml:space="preserve">480 млн. тонн </w:t>
            </w:r>
          </w:p>
        </w:tc>
      </w:tr>
      <w:tr w:rsidR="00E674C7" w:rsidRPr="00290BBB" w:rsidTr="00121D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widowControl w:val="0"/>
              <w:ind w:firstLine="142"/>
              <w:jc w:val="both"/>
              <w:rPr>
                <w:rFonts w:eastAsia="Calibri"/>
                <w:sz w:val="20"/>
                <w:szCs w:val="20"/>
              </w:rPr>
            </w:pPr>
            <w:r w:rsidRPr="00290BBB">
              <w:rPr>
                <w:rFonts w:eastAsia="Calibri"/>
                <w:sz w:val="20"/>
                <w:szCs w:val="20"/>
              </w:rPr>
              <w:t xml:space="preserve">Снижение удельных показателей выбросов загрязняющих веществ в атмосферный воздух, сброса загрязненных сточных вод в водоемы, образования отходов предприятиями энергетического сектора (в процентах к 2005 году) не менее 40 ко 2 этапу (2020 </w:t>
            </w:r>
            <w:r w:rsidRPr="00290BBB">
              <w:rPr>
                <w:bCs/>
              </w:rPr>
              <w:t>–</w:t>
            </w:r>
            <w:r w:rsidRPr="00290BBB">
              <w:rPr>
                <w:rFonts w:eastAsia="Calibri"/>
                <w:sz w:val="20"/>
                <w:szCs w:val="20"/>
              </w:rPr>
              <w:t xml:space="preserve"> 2022 годы).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outlineLvl w:val="1"/>
              <w:rPr>
                <w:rFonts w:eastAsia="Calibri"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sz w:val="20"/>
                <w:szCs w:val="20"/>
              </w:rPr>
              <w:t xml:space="preserve">Удельный выброс загрязняющих веществ в атмосферу </w:t>
            </w:r>
            <w:r w:rsidRPr="00290BBB">
              <w:rPr>
                <w:rFonts w:eastAsia="Calibri"/>
                <w:sz w:val="20"/>
                <w:szCs w:val="20"/>
                <w:lang w:eastAsia="en-US"/>
              </w:rPr>
              <w:t>2,7 килограмма на одну тонну к 2020 году (</w:t>
            </w:r>
            <w:r w:rsidRPr="00290BBB">
              <w:rPr>
                <w:rFonts w:eastAsia="Calibri"/>
                <w:sz w:val="20"/>
                <w:szCs w:val="20"/>
              </w:rPr>
              <w:t>2,6 килограмма на одну тонну добычи к 2022)</w:t>
            </w:r>
          </w:p>
        </w:tc>
      </w:tr>
      <w:tr w:rsidR="00E674C7" w:rsidRPr="00290BBB" w:rsidTr="00121D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widowControl w:val="0"/>
              <w:ind w:firstLine="142"/>
              <w:jc w:val="both"/>
              <w:rPr>
                <w:rFonts w:eastAsia="Calibri"/>
                <w:sz w:val="20"/>
                <w:szCs w:val="20"/>
              </w:rPr>
            </w:pPr>
            <w:r w:rsidRPr="00290BBB">
              <w:rPr>
                <w:rFonts w:eastAsia="Calibri"/>
                <w:sz w:val="20"/>
                <w:szCs w:val="20"/>
              </w:rPr>
              <w:t xml:space="preserve">Глубина переработки нефти 82 </w:t>
            </w:r>
            <w:r w:rsidRPr="00290BBB">
              <w:rPr>
                <w:bCs/>
              </w:rPr>
              <w:t>–</w:t>
            </w:r>
            <w:r w:rsidRPr="00290BBB">
              <w:rPr>
                <w:rFonts w:eastAsia="Calibri"/>
                <w:sz w:val="20"/>
                <w:szCs w:val="20"/>
              </w:rPr>
              <w:t xml:space="preserve"> 83 процента ко 2 этапу (2020</w:t>
            </w:r>
            <w:r w:rsidR="008A37E0">
              <w:rPr>
                <w:rFonts w:eastAsia="Calibri"/>
                <w:sz w:val="20"/>
                <w:szCs w:val="20"/>
              </w:rPr>
              <w:t xml:space="preserve"> </w:t>
            </w:r>
            <w:r w:rsidRPr="00290BBB">
              <w:rPr>
                <w:rFonts w:eastAsia="Calibri"/>
                <w:sz w:val="20"/>
                <w:szCs w:val="20"/>
              </w:rPr>
              <w:t>-</w:t>
            </w:r>
            <w:r w:rsidR="008A37E0">
              <w:rPr>
                <w:rFonts w:eastAsia="Calibri"/>
                <w:sz w:val="20"/>
                <w:szCs w:val="20"/>
              </w:rPr>
              <w:t xml:space="preserve"> </w:t>
            </w:r>
            <w:r w:rsidRPr="00290BBB">
              <w:rPr>
                <w:rFonts w:eastAsia="Calibri"/>
                <w:sz w:val="20"/>
                <w:szCs w:val="20"/>
              </w:rPr>
              <w:t>2022 годы)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sz w:val="20"/>
                <w:szCs w:val="20"/>
                <w:lang w:eastAsia="en-US"/>
              </w:rPr>
              <w:t>Глубина переработки нефтяного сырья (85,2 процентов к 2020 году, 86,4 процента а 2022 году)</w:t>
            </w:r>
          </w:p>
        </w:tc>
      </w:tr>
      <w:tr w:rsidR="00E674C7" w:rsidRPr="00290BBB" w:rsidTr="00121D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widowControl w:val="0"/>
              <w:ind w:firstLine="142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290BBB">
              <w:rPr>
                <w:rFonts w:eastAsia="Calibri"/>
                <w:sz w:val="20"/>
                <w:szCs w:val="20"/>
              </w:rPr>
              <w:t>Рост протяженности магистральных газопроводов               (в процентах к уровню 2005 года) 13 – 15 ко 2 этапу (2020 – 2022 годы)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sz w:val="20"/>
                <w:szCs w:val="20"/>
                <w:lang w:eastAsia="en-US"/>
              </w:rPr>
              <w:t xml:space="preserve">Ввод за счет реализации федерального проекта «Гарантированное обеспечение транспорта нефти, нефтепродуктов, газа и газового конденсата» новых участков линейной части магистральных газопроводов (973 км в 2020 году) </w:t>
            </w:r>
          </w:p>
        </w:tc>
      </w:tr>
      <w:tr w:rsidR="00E674C7" w:rsidRPr="00290BBB" w:rsidTr="00121D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widowControl w:val="0"/>
              <w:ind w:firstLine="142"/>
              <w:jc w:val="both"/>
              <w:rPr>
                <w:rFonts w:eastAsia="Calibri"/>
                <w:sz w:val="20"/>
                <w:szCs w:val="20"/>
              </w:rPr>
            </w:pPr>
            <w:r w:rsidRPr="00290BBB">
              <w:rPr>
                <w:rFonts w:eastAsia="Calibri"/>
                <w:sz w:val="20"/>
                <w:szCs w:val="20"/>
              </w:rPr>
              <w:t>Удельные расходы топлива на отпуск электроэнергии  тепловых электростанций граммов условного топлива/кВт·ч (в процентах к 2005 году) не более 300 (90) ко 2 этапу (2020 – 2022 годы)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sz w:val="20"/>
                <w:szCs w:val="20"/>
                <w:lang w:eastAsia="en-US"/>
              </w:rPr>
              <w:t>Удельный расход условного топлива на отпуск электрической энергии на источниках комбинированного производства электрической и тепловой энергии с установленной мощностью 25 МВт и более (пропорциональный метод разделения топлива  303 г у.т./кВт·ч к 2020 году; 292,9 у.т./кВт·ч к 2022 году)</w:t>
            </w:r>
          </w:p>
        </w:tc>
      </w:tr>
      <w:tr w:rsidR="00E674C7" w:rsidRPr="00290BBB" w:rsidTr="00121D35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142"/>
              <w:jc w:val="center"/>
              <w:textAlignment w:val="baseline"/>
              <w:outlineLvl w:val="1"/>
              <w:rPr>
                <w:rFonts w:eastAsia="Calibri"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b/>
                <w:sz w:val="20"/>
                <w:szCs w:val="20"/>
              </w:rPr>
              <w:t>Программа развития угольной промышленности России на период до 2030 года, утвержденная распоряжением Правительства Российской Федерации от 21 июня 2014 г. № 1099–р</w:t>
            </w:r>
          </w:p>
        </w:tc>
      </w:tr>
      <w:tr w:rsidR="00E674C7" w:rsidRPr="00290BBB" w:rsidTr="00121D35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b/>
                <w:sz w:val="20"/>
                <w:szCs w:val="20"/>
                <w:lang w:eastAsia="en-US"/>
              </w:rPr>
              <w:t>Задачи</w:t>
            </w:r>
          </w:p>
        </w:tc>
      </w:tr>
      <w:tr w:rsidR="00E674C7" w:rsidRPr="00290BBB" w:rsidTr="00121D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sz w:val="20"/>
                <w:szCs w:val="20"/>
                <w:lang w:eastAsia="en-US"/>
              </w:rPr>
              <w:t>Развитие внутреннего рынка угольной продукции и укрепление позиций Российской Федерации на мировом рынке угля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sz w:val="20"/>
                <w:szCs w:val="20"/>
                <w:lang w:eastAsia="en-US"/>
              </w:rPr>
              <w:t>Развитие производственного потенциала по добыче и переработке угля для стабильного обеспечения внутреннего рынка и наращивания экспортного потенциала  (Задача подпрограммы 5)</w:t>
            </w:r>
          </w:p>
          <w:p w:rsidR="00E674C7" w:rsidRPr="00290BBB" w:rsidRDefault="00E674C7" w:rsidP="00121D35">
            <w:pPr>
              <w:ind w:firstLine="142"/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674C7" w:rsidRPr="00290BBB" w:rsidTr="00121D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sz w:val="20"/>
                <w:szCs w:val="20"/>
                <w:lang w:eastAsia="en-US"/>
              </w:rPr>
              <w:t>Обеспечение безопасности и охраны труда в угольной отрасли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sz w:val="20"/>
                <w:szCs w:val="20"/>
                <w:lang w:eastAsia="en-US"/>
              </w:rPr>
              <w:t>Р</w:t>
            </w:r>
            <w:r w:rsidRPr="00290BBB">
              <w:rPr>
                <w:rFonts w:eastAsia="Calibri"/>
                <w:vanish/>
                <w:sz w:val="20"/>
                <w:szCs w:val="20"/>
                <w:lang w:eastAsia="en-US"/>
              </w:rPr>
              <w:t>РрФВРАРрррор</w:t>
            </w:r>
            <w:r w:rsidRPr="00290BBB">
              <w:rPr>
                <w:rFonts w:eastAsia="Calibri"/>
                <w:sz w:val="20"/>
                <w:szCs w:val="20"/>
                <w:lang w:eastAsia="en-US"/>
              </w:rPr>
              <w:t>азвитие системы промышленной и экологической безопасности в угольной промышленности (Задача подпрограммы 5)</w:t>
            </w:r>
          </w:p>
          <w:p w:rsidR="00E674C7" w:rsidRPr="00290BBB" w:rsidRDefault="00E674C7" w:rsidP="00121D35">
            <w:pPr>
              <w:ind w:firstLine="142"/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674C7" w:rsidRPr="00290BBB" w:rsidTr="00121D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rPr>
                <w:rFonts w:eastAsia="Calibri"/>
                <w:sz w:val="20"/>
                <w:szCs w:val="20"/>
              </w:rPr>
            </w:pPr>
            <w:r w:rsidRPr="00290BBB">
              <w:rPr>
                <w:rFonts w:eastAsia="Calibri"/>
                <w:sz w:val="20"/>
                <w:szCs w:val="20"/>
                <w:lang w:eastAsia="en-US"/>
              </w:rPr>
              <w:t>Обеспечение экологической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sz w:val="20"/>
                <w:szCs w:val="20"/>
                <w:lang w:eastAsia="en-US"/>
              </w:rPr>
              <w:t>Развитие системы промышленной и экологической безопасности в угольной промышленности  (Задача подпрограммы 5)</w:t>
            </w:r>
          </w:p>
        </w:tc>
      </w:tr>
      <w:tr w:rsidR="00E674C7" w:rsidRPr="00290BBB" w:rsidTr="00121D35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142"/>
              <w:textAlignment w:val="baseline"/>
              <w:outlineLvl w:val="1"/>
              <w:rPr>
                <w:rFonts w:eastAsia="Calibri"/>
                <w:b/>
                <w:sz w:val="20"/>
                <w:szCs w:val="20"/>
              </w:rPr>
            </w:pPr>
            <w:r w:rsidRPr="00290BBB">
              <w:rPr>
                <w:rFonts w:eastAsia="Calibri"/>
                <w:b/>
                <w:sz w:val="20"/>
                <w:szCs w:val="20"/>
              </w:rPr>
              <w:t>Показатели</w:t>
            </w:r>
          </w:p>
        </w:tc>
      </w:tr>
      <w:tr w:rsidR="00E674C7" w:rsidRPr="00290BBB" w:rsidTr="00121D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outlineLvl w:val="1"/>
              <w:rPr>
                <w:rFonts w:eastAsia="Calibri"/>
                <w:sz w:val="20"/>
                <w:szCs w:val="20"/>
              </w:rPr>
            </w:pPr>
            <w:r w:rsidRPr="00290BBB">
              <w:rPr>
                <w:rFonts w:eastAsia="Calibri"/>
                <w:sz w:val="20"/>
                <w:szCs w:val="20"/>
              </w:rPr>
              <w:t>Удельный выброс загрязняющих веществ в атмосферу – 2,4 – 2,5 кг/тонн до 2020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sz w:val="20"/>
                <w:szCs w:val="20"/>
              </w:rPr>
              <w:t xml:space="preserve">Удельный выброс загрязняющих веществ в атмосферу </w:t>
            </w:r>
            <w:r w:rsidRPr="00290BBB">
              <w:rPr>
                <w:rFonts w:eastAsia="Calibri"/>
                <w:sz w:val="20"/>
                <w:szCs w:val="20"/>
                <w:lang w:eastAsia="en-US"/>
              </w:rPr>
              <w:t xml:space="preserve">2,7 килограмма на одну тонну к 2020 году </w:t>
            </w:r>
          </w:p>
        </w:tc>
      </w:tr>
      <w:tr w:rsidR="00E674C7" w:rsidRPr="00290BBB" w:rsidTr="00121D35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142"/>
              <w:jc w:val="center"/>
              <w:textAlignment w:val="baseline"/>
              <w:outlineLvl w:val="1"/>
              <w:rPr>
                <w:rFonts w:eastAsia="Calibri"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b/>
                <w:sz w:val="20"/>
                <w:szCs w:val="20"/>
                <w:lang w:eastAsia="en-US"/>
              </w:rPr>
              <w:t xml:space="preserve">Генеральная схема размещения объектов электроэнергетики до 2035 года, </w:t>
            </w:r>
            <w:r w:rsidRPr="00290BBB">
              <w:rPr>
                <w:rFonts w:eastAsia="Calibri"/>
                <w:b/>
                <w:sz w:val="20"/>
                <w:szCs w:val="20"/>
              </w:rPr>
              <w:t xml:space="preserve"> утвержденная распоряжением Правительства Российской Федерации от </w:t>
            </w:r>
            <w:r w:rsidRPr="00290BBB">
              <w:rPr>
                <w:rFonts w:eastAsia="Calibri"/>
                <w:b/>
                <w:sz w:val="20"/>
                <w:szCs w:val="20"/>
                <w:lang w:eastAsia="en-US"/>
              </w:rPr>
              <w:t xml:space="preserve">9 июня 2017 г. № 1209–р </w:t>
            </w:r>
          </w:p>
        </w:tc>
      </w:tr>
      <w:tr w:rsidR="00E674C7" w:rsidRPr="00290BBB" w:rsidTr="00121D35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rPr>
                <w:rFonts w:eastAsia="Calibri"/>
                <w:b/>
                <w:sz w:val="20"/>
                <w:szCs w:val="20"/>
              </w:rPr>
            </w:pPr>
            <w:r w:rsidRPr="00290BBB">
              <w:rPr>
                <w:rFonts w:eastAsia="Calibri"/>
                <w:b/>
                <w:sz w:val="20"/>
                <w:szCs w:val="20"/>
              </w:rPr>
              <w:t>Цель</w:t>
            </w:r>
          </w:p>
        </w:tc>
      </w:tr>
      <w:tr w:rsidR="00E674C7" w:rsidRPr="00290BBB" w:rsidTr="00121D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C7" w:rsidRPr="00290BBB" w:rsidRDefault="00E674C7" w:rsidP="000F69B4">
            <w:pPr>
              <w:ind w:firstLine="142"/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sz w:val="20"/>
                <w:szCs w:val="20"/>
              </w:rPr>
              <w:t>Формирование структуры генерирующих мощностей и объектов электросетевого хозяйства для обеспечения перспективного баланса производства и потребления электрической энергии и мощности в Единой энергетической системе России и технологически изолированных территориальных электроэнергетических системах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sz w:val="20"/>
                <w:szCs w:val="20"/>
              </w:rPr>
              <w:t>Соответствующая цель отсутствует</w:t>
            </w:r>
          </w:p>
        </w:tc>
      </w:tr>
      <w:tr w:rsidR="00E674C7" w:rsidRPr="00290BBB" w:rsidTr="00121D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rPr>
                <w:rFonts w:eastAsia="Calibri"/>
                <w:sz w:val="20"/>
                <w:szCs w:val="20"/>
              </w:rPr>
            </w:pPr>
            <w:r w:rsidRPr="00290BBB">
              <w:rPr>
                <w:rFonts w:eastAsia="Calibri"/>
                <w:sz w:val="20"/>
                <w:szCs w:val="20"/>
                <w:lang w:eastAsia="en-US"/>
              </w:rPr>
              <w:t xml:space="preserve">Предотвращение прогнозируемых дефицитов электрической энергии и мощности наиболее эффективными способами с учетом прогнозируемых режимов работы энергетических систем, необходимого технологического резерва и основных </w:t>
            </w:r>
            <w:r w:rsidRPr="00290BBB">
              <w:rPr>
                <w:rFonts w:eastAsia="Calibri"/>
                <w:sz w:val="20"/>
                <w:szCs w:val="20"/>
                <w:lang w:eastAsia="en-US"/>
              </w:rPr>
              <w:lastRenderedPageBreak/>
              <w:t>технологических ограничений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sz w:val="20"/>
                <w:szCs w:val="20"/>
                <w:lang w:eastAsia="en-US"/>
              </w:rPr>
              <w:lastRenderedPageBreak/>
              <w:t>Частично учтена в цели «Надежное и максимально эффективное удовлетворение спроса на электрическую энергию и мощность с учетом прогнозируемых потребностей социально-экономического развития Российской Федерации»</w:t>
            </w:r>
          </w:p>
        </w:tc>
      </w:tr>
      <w:tr w:rsidR="00E674C7" w:rsidRPr="00290BBB" w:rsidTr="00121D35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rPr>
                <w:rFonts w:eastAsia="Calibri"/>
                <w:b/>
                <w:sz w:val="20"/>
                <w:szCs w:val="20"/>
              </w:rPr>
            </w:pPr>
            <w:r w:rsidRPr="00290BBB">
              <w:rPr>
                <w:rFonts w:eastAsia="Calibri"/>
                <w:b/>
                <w:sz w:val="20"/>
                <w:szCs w:val="20"/>
              </w:rPr>
              <w:lastRenderedPageBreak/>
              <w:t>Задачи</w:t>
            </w:r>
          </w:p>
        </w:tc>
      </w:tr>
      <w:tr w:rsidR="00E674C7" w:rsidRPr="00290BBB" w:rsidTr="00121D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sz w:val="20"/>
                <w:szCs w:val="20"/>
                <w:lang w:eastAsia="en-US"/>
              </w:rPr>
              <w:t>Разработка научно обоснованных предложений по оптимальной (рациональной) структуре генерирующих мощностей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sz w:val="20"/>
                <w:szCs w:val="20"/>
                <w:lang w:eastAsia="en-US"/>
              </w:rPr>
              <w:t>Частично учтена в задаче «содействие инновационному и цифровому развитию топливно-энергетического комплекса»</w:t>
            </w:r>
          </w:p>
          <w:p w:rsidR="00E674C7" w:rsidRPr="00290BBB" w:rsidRDefault="00E674C7" w:rsidP="00121D35">
            <w:pPr>
              <w:ind w:firstLine="142"/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674C7" w:rsidRPr="00290BBB" w:rsidTr="00121D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sz w:val="20"/>
                <w:szCs w:val="20"/>
                <w:lang w:eastAsia="en-US"/>
              </w:rPr>
              <w:t>Разработка научно обоснованных предложений по объемам вывода из эксплуатации генерирующего оборудования, модернизации оборудования или замещению новым оборудованием действующих генерирующих мощностей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sz w:val="20"/>
                <w:szCs w:val="20"/>
                <w:lang w:eastAsia="en-US"/>
              </w:rPr>
              <w:t>Частично учтена в задаче «содействие инновационному и цифровому развитию топливно-энергетического комплекса»</w:t>
            </w:r>
          </w:p>
        </w:tc>
      </w:tr>
      <w:tr w:rsidR="00E674C7" w:rsidRPr="00290BBB" w:rsidTr="00121D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rPr>
                <w:rFonts w:eastAsia="Calibri"/>
                <w:sz w:val="20"/>
                <w:szCs w:val="20"/>
              </w:rPr>
            </w:pPr>
            <w:r w:rsidRPr="00290BBB">
              <w:rPr>
                <w:rFonts w:eastAsia="Calibri"/>
                <w:sz w:val="20"/>
                <w:szCs w:val="20"/>
                <w:lang w:eastAsia="en-US"/>
              </w:rPr>
              <w:t>Разработка предложений по составу электростанций, включая их характеристики и район размещения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sz w:val="20"/>
                <w:szCs w:val="20"/>
              </w:rPr>
              <w:t>–</w:t>
            </w:r>
          </w:p>
        </w:tc>
      </w:tr>
      <w:tr w:rsidR="00E674C7" w:rsidRPr="00A32FDC" w:rsidTr="00121D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290BBB" w:rsidRDefault="00E674C7" w:rsidP="00121D35">
            <w:pPr>
              <w:ind w:firstLine="142"/>
              <w:jc w:val="both"/>
              <w:textAlignment w:val="baseline"/>
              <w:rPr>
                <w:rFonts w:eastAsia="Calibri"/>
                <w:sz w:val="20"/>
                <w:szCs w:val="20"/>
              </w:rPr>
            </w:pPr>
            <w:r w:rsidRPr="00290BBB">
              <w:rPr>
                <w:rFonts w:eastAsia="Calibri"/>
                <w:sz w:val="20"/>
                <w:szCs w:val="20"/>
                <w:lang w:eastAsia="en-US"/>
              </w:rPr>
              <w:t>Разработка перспективных балансов мощности и электрической энергии в Единой энергетической системе России, объединенных энергетических системах и технологически изолированных территориальных электроэнергетических системах до 2035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C7" w:rsidRPr="00A32FDC" w:rsidRDefault="00E674C7" w:rsidP="00121D35">
            <w:pPr>
              <w:ind w:firstLine="142"/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90BBB">
              <w:rPr>
                <w:rFonts w:eastAsia="Calibri"/>
                <w:sz w:val="20"/>
                <w:szCs w:val="20"/>
                <w:lang w:eastAsia="en-US"/>
              </w:rPr>
              <w:t>Частично учтена в задаче «обеспечение потребности внутреннего рынка в надежном, качественном и экономически обоснованном снабжении электроэнергией»</w:t>
            </w:r>
          </w:p>
        </w:tc>
      </w:tr>
    </w:tbl>
    <w:p w:rsidR="005D63C7" w:rsidRDefault="005D63C7" w:rsidP="005D63C7">
      <w:pPr>
        <w:widowControl w:val="0"/>
        <w:overflowPunct w:val="0"/>
        <w:autoSpaceDE w:val="0"/>
        <w:autoSpaceDN w:val="0"/>
        <w:adjustRightInd w:val="0"/>
        <w:spacing w:line="312" w:lineRule="auto"/>
        <w:ind w:firstLine="709"/>
        <w:jc w:val="both"/>
        <w:textAlignment w:val="baseline"/>
        <w:rPr>
          <w:rFonts w:eastAsia="Calibri"/>
          <w:lang w:eastAsia="en-US"/>
        </w:rPr>
      </w:pPr>
    </w:p>
    <w:p w:rsidR="005D63C7" w:rsidRDefault="005D63C7" w:rsidP="005D63C7">
      <w:pPr>
        <w:widowControl w:val="0"/>
        <w:overflowPunct w:val="0"/>
        <w:autoSpaceDE w:val="0"/>
        <w:autoSpaceDN w:val="0"/>
        <w:adjustRightInd w:val="0"/>
        <w:spacing w:line="312" w:lineRule="auto"/>
        <w:ind w:firstLine="709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>В проекте паспорта</w:t>
      </w:r>
      <w:r w:rsidR="009003A4">
        <w:rPr>
          <w:rFonts w:eastAsia="Calibri"/>
          <w:lang w:eastAsia="en-US"/>
        </w:rPr>
        <w:t xml:space="preserve"> ГП-30</w:t>
      </w:r>
      <w:r>
        <w:rPr>
          <w:rFonts w:eastAsia="Calibri"/>
          <w:lang w:eastAsia="en-US"/>
        </w:rPr>
        <w:t xml:space="preserve"> </w:t>
      </w:r>
      <w:r w:rsidR="00994856">
        <w:t>предусматриваются</w:t>
      </w:r>
      <w:r>
        <w:rPr>
          <w:rFonts w:eastAsia="Calibri"/>
          <w:lang w:eastAsia="en-US"/>
        </w:rPr>
        <w:t xml:space="preserve"> </w:t>
      </w:r>
      <w:r w:rsidR="00E61AE4" w:rsidRPr="00E61AE4">
        <w:rPr>
          <w:rFonts w:eastAsia="Calibri"/>
          <w:b/>
          <w:lang w:eastAsia="en-US"/>
        </w:rPr>
        <w:t>один</w:t>
      </w:r>
      <w:r w:rsidRPr="00A32FDC">
        <w:rPr>
          <w:rFonts w:eastAsia="Calibri"/>
          <w:b/>
          <w:lang w:eastAsia="en-US"/>
        </w:rPr>
        <w:t xml:space="preserve"> целевой показатель (индикатор) на уровне госпрограммы</w:t>
      </w:r>
      <w:r>
        <w:rPr>
          <w:rFonts w:eastAsia="Calibri"/>
          <w:lang w:eastAsia="en-US"/>
        </w:rPr>
        <w:t xml:space="preserve"> и </w:t>
      </w:r>
      <w:r w:rsidR="00A32FDC">
        <w:rPr>
          <w:rFonts w:eastAsia="Calibri"/>
          <w:lang w:eastAsia="en-US"/>
        </w:rPr>
        <w:t xml:space="preserve">30 </w:t>
      </w:r>
      <w:r>
        <w:rPr>
          <w:rFonts w:eastAsia="Calibri"/>
          <w:lang w:eastAsia="en-US"/>
        </w:rPr>
        <w:t>показател</w:t>
      </w:r>
      <w:r w:rsidR="00A32FDC">
        <w:rPr>
          <w:rFonts w:eastAsia="Calibri"/>
          <w:lang w:eastAsia="en-US"/>
        </w:rPr>
        <w:t xml:space="preserve">ей </w:t>
      </w:r>
      <w:r>
        <w:rPr>
          <w:rFonts w:eastAsia="Calibri"/>
          <w:lang w:eastAsia="en-US"/>
        </w:rPr>
        <w:t>(индикатор</w:t>
      </w:r>
      <w:r w:rsidR="00A32FDC">
        <w:rPr>
          <w:rFonts w:eastAsia="Calibri"/>
          <w:lang w:eastAsia="en-US"/>
        </w:rPr>
        <w:t>ов</w:t>
      </w:r>
      <w:r>
        <w:rPr>
          <w:rFonts w:eastAsia="Calibri"/>
          <w:lang w:eastAsia="en-US"/>
        </w:rPr>
        <w:t>) на уровне подпрограмм.</w:t>
      </w:r>
    </w:p>
    <w:p w:rsidR="005D63C7" w:rsidRDefault="005D63C7" w:rsidP="005D63C7">
      <w:pPr>
        <w:overflowPunct w:val="0"/>
        <w:autoSpaceDE w:val="0"/>
        <w:autoSpaceDN w:val="0"/>
        <w:adjustRightInd w:val="0"/>
        <w:spacing w:line="312" w:lineRule="auto"/>
        <w:ind w:firstLine="709"/>
        <w:jc w:val="both"/>
        <w:textAlignment w:val="baseline"/>
        <w:rPr>
          <w:rFonts w:eastAsia="Calibri"/>
          <w:lang w:eastAsia="en-US"/>
        </w:rPr>
      </w:pPr>
      <w:r w:rsidRPr="008A0487">
        <w:rPr>
          <w:rFonts w:eastAsia="Calibri"/>
          <w:lang w:eastAsia="en-US"/>
        </w:rPr>
        <w:t>Согласно проекту</w:t>
      </w:r>
      <w:r w:rsidR="000C46FB">
        <w:rPr>
          <w:rFonts w:eastAsia="Calibri"/>
          <w:lang w:eastAsia="en-US"/>
        </w:rPr>
        <w:t xml:space="preserve"> ГП-30</w:t>
      </w:r>
      <w:r w:rsidRPr="008A0487">
        <w:rPr>
          <w:rFonts w:eastAsia="Calibri"/>
          <w:lang w:eastAsia="en-US"/>
        </w:rPr>
        <w:t xml:space="preserve"> единственным целевым индикатором на уровне государственной программы является «темп роста инвестиций в основной капитал в топливно-энергетическом комплексе к 2018 году </w:t>
      </w:r>
      <w:r w:rsidR="00EC15B5" w:rsidRPr="00290BBB">
        <w:rPr>
          <w:rFonts w:eastAsia="Calibri"/>
          <w:sz w:val="20"/>
          <w:szCs w:val="20"/>
        </w:rPr>
        <w:t>–</w:t>
      </w:r>
      <w:r w:rsidRPr="008A0487">
        <w:rPr>
          <w:rFonts w:eastAsia="Calibri"/>
          <w:lang w:eastAsia="en-US"/>
        </w:rPr>
        <w:t xml:space="preserve"> 153,4 процента», значение которого соответствует установленному планом действия по ускорению темпов роста инвестиций в основной капитал и повышению до 25 процентов их доли в валовом внутреннем продукте, утвержденному Председателем Правительства Российской Федерации </w:t>
      </w:r>
      <w:r>
        <w:rPr>
          <w:rFonts w:eastAsia="Calibri"/>
          <w:lang w:eastAsia="en-US"/>
        </w:rPr>
        <w:br/>
      </w:r>
      <w:r w:rsidRPr="008A0487">
        <w:rPr>
          <w:rFonts w:eastAsia="Calibri"/>
          <w:lang w:eastAsia="en-US"/>
        </w:rPr>
        <w:t>13 февраля 2019 г</w:t>
      </w:r>
      <w:r w:rsidR="00E61AE4">
        <w:rPr>
          <w:rFonts w:eastAsia="Calibri"/>
          <w:lang w:eastAsia="en-US"/>
        </w:rPr>
        <w:t>.</w:t>
      </w:r>
      <w:r w:rsidRPr="008A0487">
        <w:rPr>
          <w:rFonts w:eastAsia="Calibri"/>
          <w:lang w:eastAsia="en-US"/>
        </w:rPr>
        <w:t xml:space="preserve"> № 1315п-П13.</w:t>
      </w:r>
    </w:p>
    <w:p w:rsidR="005D63C7" w:rsidRDefault="005D63C7" w:rsidP="005D63C7">
      <w:pPr>
        <w:widowControl w:val="0"/>
        <w:overflowPunct w:val="0"/>
        <w:autoSpaceDE w:val="0"/>
        <w:autoSpaceDN w:val="0"/>
        <w:adjustRightInd w:val="0"/>
        <w:spacing w:line="312" w:lineRule="auto"/>
        <w:ind w:firstLine="709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>Показатели (индикаторы) подпрограмм</w:t>
      </w:r>
      <w:r w:rsidR="000C46FB">
        <w:rPr>
          <w:rFonts w:eastAsia="Calibri"/>
          <w:lang w:eastAsia="en-US"/>
        </w:rPr>
        <w:t xml:space="preserve"> ГП-30</w:t>
      </w:r>
      <w:r>
        <w:rPr>
          <w:rFonts w:eastAsia="Calibri"/>
          <w:lang w:eastAsia="en-US"/>
        </w:rPr>
        <w:t xml:space="preserve"> не в полной мере соответствуют показателям документов стратегического планирования в соответствующей сфере деятельности.</w:t>
      </w:r>
    </w:p>
    <w:p w:rsidR="005D63C7" w:rsidRDefault="005D63C7" w:rsidP="005D63C7">
      <w:pPr>
        <w:widowControl w:val="0"/>
        <w:overflowPunct w:val="0"/>
        <w:autoSpaceDE w:val="0"/>
        <w:autoSpaceDN w:val="0"/>
        <w:adjustRightInd w:val="0"/>
        <w:spacing w:line="312" w:lineRule="auto"/>
        <w:ind w:firstLine="709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>Так, согласно проекту</w:t>
      </w:r>
      <w:r w:rsidR="000C46FB">
        <w:rPr>
          <w:rFonts w:eastAsia="Calibri"/>
          <w:lang w:eastAsia="en-US"/>
        </w:rPr>
        <w:t xml:space="preserve"> ГП-30</w:t>
      </w:r>
      <w:r>
        <w:rPr>
          <w:rFonts w:eastAsia="Calibri"/>
          <w:lang w:eastAsia="en-US"/>
        </w:rPr>
        <w:t xml:space="preserve"> одним из показателей (индикаторов) подпрограммы «Р</w:t>
      </w:r>
      <w:r w:rsidRPr="00F2560A">
        <w:rPr>
          <w:rFonts w:eastAsia="Calibri"/>
          <w:lang w:eastAsia="en-US"/>
        </w:rPr>
        <w:t>азвитие нефтяной и газовой отраслей</w:t>
      </w:r>
      <w:r>
        <w:rPr>
          <w:rFonts w:eastAsia="Calibri"/>
          <w:lang w:eastAsia="en-US"/>
        </w:rPr>
        <w:t>» является повышение к 2020 году глубины переработки нефтяного сырья до 85,2 %.</w:t>
      </w:r>
    </w:p>
    <w:p w:rsidR="005D63C7" w:rsidRDefault="005D63C7" w:rsidP="005D63C7">
      <w:pPr>
        <w:widowControl w:val="0"/>
        <w:overflowPunct w:val="0"/>
        <w:autoSpaceDE w:val="0"/>
        <w:autoSpaceDN w:val="0"/>
        <w:adjustRightInd w:val="0"/>
        <w:spacing w:line="312" w:lineRule="auto"/>
        <w:ind w:firstLine="709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 этом Концепцией долгосрочного социально-экономического развития Российской Федерации на период до 2020 года (далее – Концепция) значение показателя «глубина переработки нефти» установлено в размере 87 % к 2020 году.</w:t>
      </w:r>
    </w:p>
    <w:p w:rsidR="005D63C7" w:rsidRDefault="005D63C7" w:rsidP="005D63C7">
      <w:pPr>
        <w:widowControl w:val="0"/>
        <w:overflowPunct w:val="0"/>
        <w:autoSpaceDE w:val="0"/>
        <w:autoSpaceDN w:val="0"/>
        <w:adjustRightInd w:val="0"/>
        <w:spacing w:line="312" w:lineRule="auto"/>
        <w:ind w:firstLine="709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соответствии с проектом </w:t>
      </w:r>
      <w:r w:rsidR="000C46FB">
        <w:rPr>
          <w:rFonts w:eastAsia="Calibri"/>
          <w:lang w:eastAsia="en-US"/>
        </w:rPr>
        <w:t>ГП-30</w:t>
      </w:r>
      <w:r>
        <w:rPr>
          <w:rFonts w:eastAsia="Calibri"/>
          <w:lang w:eastAsia="en-US"/>
        </w:rPr>
        <w:t xml:space="preserve"> объем добычи газа к 2020 году составит 743,</w:t>
      </w:r>
      <w:r w:rsidR="00994856">
        <w:rPr>
          <w:rFonts w:eastAsia="Calibri"/>
          <w:lang w:eastAsia="en-US"/>
        </w:rPr>
        <w:t>1 </w:t>
      </w:r>
      <w:r>
        <w:rPr>
          <w:rFonts w:eastAsia="Calibri"/>
          <w:lang w:eastAsia="en-US"/>
        </w:rPr>
        <w:t>млрд. куб. м</w:t>
      </w:r>
      <w:r w:rsidR="00E61AE4">
        <w:rPr>
          <w:rFonts w:eastAsia="Calibri"/>
          <w:lang w:eastAsia="en-US"/>
        </w:rPr>
        <w:t>етров</w:t>
      </w:r>
      <w:r>
        <w:rPr>
          <w:rFonts w:eastAsia="Calibri"/>
          <w:lang w:eastAsia="en-US"/>
        </w:rPr>
        <w:t>, при этом Концепцией значение п</w:t>
      </w:r>
      <w:r w:rsidR="00EC15B5">
        <w:rPr>
          <w:rFonts w:eastAsia="Calibri"/>
          <w:lang w:eastAsia="en-US"/>
        </w:rPr>
        <w:t xml:space="preserve">оказателя определено на уровне </w:t>
      </w:r>
      <w:r>
        <w:rPr>
          <w:rFonts w:eastAsia="Calibri"/>
          <w:lang w:eastAsia="en-US"/>
        </w:rPr>
        <w:t xml:space="preserve"> 815 </w:t>
      </w:r>
      <w:r w:rsidR="00E61AE4">
        <w:rPr>
          <w:rFonts w:eastAsia="Calibri"/>
          <w:lang w:eastAsia="en-US"/>
        </w:rPr>
        <w:t>–</w:t>
      </w:r>
      <w:r>
        <w:rPr>
          <w:rFonts w:eastAsia="Calibri"/>
          <w:lang w:eastAsia="en-US"/>
        </w:rPr>
        <w:t xml:space="preserve"> 900 млрд. куб. м</w:t>
      </w:r>
      <w:r w:rsidR="00E61AE4">
        <w:rPr>
          <w:rFonts w:eastAsia="Calibri"/>
          <w:lang w:eastAsia="en-US"/>
        </w:rPr>
        <w:t>етров</w:t>
      </w:r>
      <w:r>
        <w:rPr>
          <w:rFonts w:eastAsia="Calibri"/>
          <w:lang w:eastAsia="en-US"/>
        </w:rPr>
        <w:t xml:space="preserve"> к 2020 году.</w:t>
      </w:r>
    </w:p>
    <w:p w:rsidR="005D63C7" w:rsidRDefault="005D63C7" w:rsidP="005D63C7">
      <w:pPr>
        <w:widowControl w:val="0"/>
        <w:overflowPunct w:val="0"/>
        <w:autoSpaceDE w:val="0"/>
        <w:autoSpaceDN w:val="0"/>
        <w:adjustRightInd w:val="0"/>
        <w:spacing w:line="312" w:lineRule="auto"/>
        <w:ind w:firstLine="709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проекте </w:t>
      </w:r>
      <w:r w:rsidR="000C46FB">
        <w:rPr>
          <w:rFonts w:eastAsia="Calibri"/>
          <w:lang w:eastAsia="en-US"/>
        </w:rPr>
        <w:t>ГП-30</w:t>
      </w:r>
      <w:r>
        <w:rPr>
          <w:rFonts w:eastAsia="Calibri"/>
          <w:lang w:eastAsia="en-US"/>
        </w:rPr>
        <w:t xml:space="preserve"> отсутствуют показатели, предусмотренные планом мероприятий «Трансформация делового климата», утвержденным распоряжением Правительства Российской Федерации от 17 января 2019 г. № 20-р: «Количество этапов технологического </w:t>
      </w:r>
      <w:r>
        <w:rPr>
          <w:rFonts w:eastAsia="Calibri"/>
          <w:lang w:eastAsia="en-US"/>
        </w:rPr>
        <w:lastRenderedPageBreak/>
        <w:t>присоединения к электрическим сетям», «Срок технологического присоединения к электрическим сетям», «Срок технологического присоединения к сетям газораспределения».</w:t>
      </w:r>
    </w:p>
    <w:p w:rsidR="005D63C7" w:rsidRDefault="005D63C7" w:rsidP="005D63C7">
      <w:pPr>
        <w:widowControl w:val="0"/>
        <w:overflowPunct w:val="0"/>
        <w:autoSpaceDE w:val="0"/>
        <w:autoSpaceDN w:val="0"/>
        <w:adjustRightInd w:val="0"/>
        <w:spacing w:line="312" w:lineRule="auto"/>
        <w:ind w:firstLine="709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Подпрограммой «Реструктуризация и развитие угольной и торфяной промышленности» установлен показатель «удельный выброс загрязняющих веществ в атмосферу к 2020 году – 2,7 кг/тонн», что не соответствует показателю «удельный выброс загрязняющих веществ в атмосферу – 2,4 </w:t>
      </w:r>
      <w:r w:rsidR="00EC15B5" w:rsidRPr="00290BBB">
        <w:rPr>
          <w:rFonts w:eastAsia="Calibri"/>
          <w:sz w:val="20"/>
          <w:szCs w:val="20"/>
        </w:rPr>
        <w:t>–</w:t>
      </w:r>
      <w:r>
        <w:rPr>
          <w:rFonts w:eastAsia="Calibri"/>
          <w:lang w:eastAsia="en-US"/>
        </w:rPr>
        <w:t xml:space="preserve"> 2,5 кг/тонн до 2020 года», установленному Программой развития угольной промышленности до 2030 года. </w:t>
      </w:r>
    </w:p>
    <w:p w:rsidR="005D63C7" w:rsidRDefault="005D63C7" w:rsidP="005D63C7">
      <w:pPr>
        <w:widowControl w:val="0"/>
        <w:overflowPunct w:val="0"/>
        <w:autoSpaceDE w:val="0"/>
        <w:autoSpaceDN w:val="0"/>
        <w:adjustRightInd w:val="0"/>
        <w:spacing w:line="312" w:lineRule="auto"/>
        <w:ind w:firstLine="709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Следует отметить, что значения показателей проекта </w:t>
      </w:r>
      <w:r w:rsidR="000C46FB">
        <w:rPr>
          <w:rFonts w:eastAsia="Calibri"/>
          <w:lang w:eastAsia="en-US"/>
        </w:rPr>
        <w:t>ГП-30</w:t>
      </w:r>
      <w:r>
        <w:rPr>
          <w:rFonts w:eastAsia="Calibri"/>
          <w:lang w:eastAsia="en-US"/>
        </w:rPr>
        <w:t xml:space="preserve">, представленного в составе материалов к </w:t>
      </w:r>
      <w:r w:rsidR="00E61AE4">
        <w:rPr>
          <w:rFonts w:eastAsia="Calibri"/>
          <w:lang w:eastAsia="en-US"/>
        </w:rPr>
        <w:t>з</w:t>
      </w:r>
      <w:r>
        <w:rPr>
          <w:rFonts w:eastAsia="Calibri"/>
          <w:lang w:eastAsia="en-US"/>
        </w:rPr>
        <w:t>аконопроекту, не соответствуют параметрам Прогноза социально-экономического развития Российской Федерации на период до 2024 года.</w:t>
      </w:r>
    </w:p>
    <w:p w:rsidR="005D63C7" w:rsidRDefault="005D63C7" w:rsidP="005D63C7">
      <w:pPr>
        <w:widowControl w:val="0"/>
        <w:overflowPunct w:val="0"/>
        <w:autoSpaceDE w:val="0"/>
        <w:autoSpaceDN w:val="0"/>
        <w:adjustRightInd w:val="0"/>
        <w:spacing w:line="312" w:lineRule="auto"/>
        <w:ind w:firstLine="709"/>
        <w:jc w:val="both"/>
        <w:textAlignment w:val="baseline"/>
        <w:rPr>
          <w:rFonts w:eastAsia="Calibri"/>
          <w:lang w:eastAsia="en-US"/>
        </w:rPr>
      </w:pPr>
      <w:r w:rsidRPr="00957598">
        <w:rPr>
          <w:rFonts w:eastAsia="Calibri"/>
          <w:lang w:eastAsia="en-US"/>
        </w:rPr>
        <w:t xml:space="preserve">Так, согласно проекту </w:t>
      </w:r>
      <w:r w:rsidR="000C46FB">
        <w:rPr>
          <w:rFonts w:eastAsia="Calibri"/>
          <w:lang w:eastAsia="en-US"/>
        </w:rPr>
        <w:t>ГП-30</w:t>
      </w:r>
      <w:r w:rsidRPr="00957598">
        <w:rPr>
          <w:rFonts w:eastAsia="Calibri"/>
          <w:lang w:eastAsia="en-US"/>
        </w:rPr>
        <w:t xml:space="preserve"> показатель (индикатор) подпрограммы «Развитие нефтяной и газовой отраслей» «Добыча нефти и конденсата» в 2021 году установлен на уровне 560 млн. тонн в год и к 2024 году 558 млн. тонн в год. При этом Прогнозом предусмотрена добыча нефти в 2021 году на уровне 564,0 млн. тонн и в 2024 году </w:t>
      </w:r>
      <w:r w:rsidR="00994856" w:rsidRPr="00957598">
        <w:rPr>
          <w:rFonts w:eastAsia="Calibri"/>
          <w:lang w:eastAsia="en-US"/>
        </w:rPr>
        <w:t>560</w:t>
      </w:r>
      <w:r w:rsidR="00994856">
        <w:rPr>
          <w:rFonts w:eastAsia="Calibri"/>
          <w:lang w:eastAsia="en-US"/>
        </w:rPr>
        <w:t> </w:t>
      </w:r>
      <w:r w:rsidRPr="00957598">
        <w:rPr>
          <w:rFonts w:eastAsia="Calibri"/>
          <w:lang w:eastAsia="en-US"/>
        </w:rPr>
        <w:t>млн. тонн в год.</w:t>
      </w:r>
    </w:p>
    <w:p w:rsidR="005D63C7" w:rsidRDefault="00CF7F83" w:rsidP="005D63C7">
      <w:pPr>
        <w:spacing w:line="312" w:lineRule="auto"/>
        <w:ind w:firstLine="709"/>
        <w:jc w:val="both"/>
        <w:rPr>
          <w:rFonts w:eastAsia="Calibri"/>
          <w:lang w:eastAsia="en-US"/>
        </w:rPr>
      </w:pPr>
      <w:r w:rsidRPr="00E61AE4">
        <w:rPr>
          <w:rFonts w:eastAsia="Calibri"/>
          <w:b/>
          <w:lang w:eastAsia="en-US"/>
        </w:rPr>
        <w:t>30.</w:t>
      </w:r>
      <w:r w:rsidR="005D63C7" w:rsidRPr="00E61AE4">
        <w:rPr>
          <w:rFonts w:eastAsia="Calibri"/>
          <w:b/>
          <w:lang w:eastAsia="en-US"/>
        </w:rPr>
        <w:t>3.</w:t>
      </w:r>
      <w:r w:rsidR="005D63C7">
        <w:t> </w:t>
      </w:r>
      <w:r w:rsidR="005D63C7">
        <w:rPr>
          <w:rFonts w:eastAsia="Calibri"/>
          <w:lang w:eastAsia="en-US"/>
        </w:rPr>
        <w:t xml:space="preserve">Сведения о финансовом обеспечении </w:t>
      </w:r>
      <w:r w:rsidR="000C46FB">
        <w:rPr>
          <w:rFonts w:eastAsia="Calibri"/>
          <w:lang w:eastAsia="en-US"/>
        </w:rPr>
        <w:t>ГП-30</w:t>
      </w:r>
      <w:r w:rsidR="005D63C7">
        <w:rPr>
          <w:rFonts w:eastAsia="Calibri"/>
          <w:lang w:eastAsia="en-US"/>
        </w:rPr>
        <w:t xml:space="preserve"> в 2018</w:t>
      </w:r>
      <w:r w:rsidR="00E61AE4">
        <w:rPr>
          <w:rFonts w:eastAsia="Calibri"/>
          <w:lang w:eastAsia="en-US"/>
        </w:rPr>
        <w:t xml:space="preserve"> – </w:t>
      </w:r>
      <w:r w:rsidR="005D63C7">
        <w:rPr>
          <w:rFonts w:eastAsia="Calibri"/>
          <w:lang w:eastAsia="en-US"/>
        </w:rPr>
        <w:t>2022 годах за счет средств федерального бюджета, консолидированных бюджетов субъектов Российской Федерации и юридических лиц представлены в следующей таблице.</w:t>
      </w:r>
    </w:p>
    <w:p w:rsidR="005D63C7" w:rsidRDefault="005D63C7" w:rsidP="005D63C7">
      <w:pPr>
        <w:overflowPunct w:val="0"/>
        <w:autoSpaceDE w:val="0"/>
        <w:autoSpaceDN w:val="0"/>
        <w:adjustRightInd w:val="0"/>
        <w:spacing w:line="360" w:lineRule="auto"/>
        <w:ind w:left="284" w:right="-1" w:firstLine="709"/>
        <w:jc w:val="right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(млн. рублей)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864"/>
        <w:gridCol w:w="1189"/>
        <w:gridCol w:w="1315"/>
        <w:gridCol w:w="1104"/>
        <w:gridCol w:w="1291"/>
        <w:gridCol w:w="936"/>
        <w:gridCol w:w="937"/>
        <w:gridCol w:w="935"/>
      </w:tblGrid>
      <w:tr w:rsidR="005D63C7" w:rsidRPr="00A32FDC" w:rsidTr="00751A40">
        <w:trPr>
          <w:tblHeader/>
          <w:jc w:val="center"/>
        </w:trPr>
        <w:tc>
          <w:tcPr>
            <w:tcW w:w="9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CF7F83">
            <w:pPr>
              <w:jc w:val="center"/>
              <w:rPr>
                <w:sz w:val="18"/>
                <w:szCs w:val="18"/>
              </w:rPr>
            </w:pPr>
            <w:r w:rsidRPr="00A32FDC">
              <w:rPr>
                <w:sz w:val="18"/>
                <w:szCs w:val="18"/>
              </w:rPr>
              <w:t>Источник финансового обеспечения</w:t>
            </w:r>
          </w:p>
        </w:tc>
        <w:tc>
          <w:tcPr>
            <w:tcW w:w="18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CF7F83">
            <w:pPr>
              <w:jc w:val="center"/>
              <w:rPr>
                <w:sz w:val="18"/>
                <w:szCs w:val="18"/>
              </w:rPr>
            </w:pPr>
            <w:r w:rsidRPr="00A32FDC">
              <w:rPr>
                <w:sz w:val="18"/>
                <w:szCs w:val="18"/>
              </w:rPr>
              <w:t>2018 год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CF7F83">
            <w:pPr>
              <w:jc w:val="center"/>
              <w:rPr>
                <w:sz w:val="18"/>
                <w:szCs w:val="18"/>
              </w:rPr>
            </w:pPr>
            <w:r w:rsidRPr="00A32FDC">
              <w:rPr>
                <w:sz w:val="18"/>
                <w:szCs w:val="18"/>
              </w:rPr>
              <w:t xml:space="preserve">2019 год </w:t>
            </w:r>
          </w:p>
          <w:p w:rsidR="005D63C7" w:rsidRPr="00A32FDC" w:rsidRDefault="005D63C7" w:rsidP="00CF7F83">
            <w:pPr>
              <w:jc w:val="center"/>
              <w:rPr>
                <w:sz w:val="18"/>
                <w:szCs w:val="18"/>
              </w:rPr>
            </w:pPr>
            <w:r w:rsidRPr="00A32FDC">
              <w:rPr>
                <w:sz w:val="18"/>
                <w:szCs w:val="18"/>
              </w:rPr>
              <w:t>утвержденная ГП/</w:t>
            </w:r>
          </w:p>
          <w:p w:rsidR="005D63C7" w:rsidRPr="00A32FDC" w:rsidRDefault="005D63C7" w:rsidP="00CF7F83">
            <w:pPr>
              <w:jc w:val="center"/>
              <w:rPr>
                <w:sz w:val="18"/>
                <w:szCs w:val="18"/>
              </w:rPr>
            </w:pPr>
            <w:r w:rsidRPr="00A32FDC">
              <w:rPr>
                <w:sz w:val="18"/>
                <w:szCs w:val="18"/>
              </w:rPr>
              <w:t>проект паспорта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CF7F83">
            <w:pPr>
              <w:jc w:val="center"/>
              <w:rPr>
                <w:sz w:val="18"/>
                <w:szCs w:val="18"/>
              </w:rPr>
            </w:pPr>
            <w:r w:rsidRPr="00A32FDC">
              <w:rPr>
                <w:sz w:val="18"/>
                <w:szCs w:val="18"/>
              </w:rPr>
              <w:t>2020 год по проекту паспорта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CF7F83">
            <w:pPr>
              <w:jc w:val="center"/>
              <w:rPr>
                <w:sz w:val="18"/>
                <w:szCs w:val="18"/>
              </w:rPr>
            </w:pPr>
            <w:r w:rsidRPr="00A32FDC">
              <w:rPr>
                <w:sz w:val="18"/>
                <w:szCs w:val="18"/>
              </w:rPr>
              <w:t>2021 год по проекту паспорта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CF7F83">
            <w:pPr>
              <w:jc w:val="center"/>
              <w:rPr>
                <w:sz w:val="18"/>
                <w:szCs w:val="18"/>
              </w:rPr>
            </w:pPr>
            <w:r w:rsidRPr="00A32FDC">
              <w:rPr>
                <w:sz w:val="18"/>
                <w:szCs w:val="18"/>
              </w:rPr>
              <w:t>2022 год по проекту паспорта</w:t>
            </w:r>
          </w:p>
        </w:tc>
      </w:tr>
      <w:tr w:rsidR="005D63C7" w:rsidRPr="00A32FDC" w:rsidTr="00751A40">
        <w:trPr>
          <w:tblHeader/>
          <w:jc w:val="center"/>
        </w:trPr>
        <w:tc>
          <w:tcPr>
            <w:tcW w:w="9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CF7F83">
            <w:pPr>
              <w:rPr>
                <w:sz w:val="18"/>
                <w:szCs w:val="18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AD7099" w:rsidP="00CF7F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="005D63C7" w:rsidRPr="00A32FDC">
              <w:rPr>
                <w:sz w:val="18"/>
                <w:szCs w:val="18"/>
              </w:rPr>
              <w:t>актические расходы*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AD7099" w:rsidP="00CF7F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5D63C7" w:rsidRPr="00A32FDC">
              <w:rPr>
                <w:sz w:val="18"/>
                <w:szCs w:val="18"/>
              </w:rPr>
              <w:t>тклонение от утвержденной ГП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CF7F83">
            <w:pPr>
              <w:jc w:val="center"/>
              <w:rPr>
                <w:sz w:val="18"/>
                <w:szCs w:val="18"/>
              </w:rPr>
            </w:pPr>
            <w:r w:rsidRPr="00A32FDC">
              <w:rPr>
                <w:sz w:val="18"/>
                <w:szCs w:val="18"/>
              </w:rPr>
              <w:t>% отклонения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CF7F83">
            <w:pPr>
              <w:rPr>
                <w:sz w:val="18"/>
                <w:szCs w:val="18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CF7F83">
            <w:pPr>
              <w:rPr>
                <w:sz w:val="18"/>
                <w:szCs w:val="18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CF7F83">
            <w:pPr>
              <w:rPr>
                <w:sz w:val="18"/>
                <w:szCs w:val="18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CF7F83">
            <w:pPr>
              <w:rPr>
                <w:sz w:val="18"/>
                <w:szCs w:val="18"/>
              </w:rPr>
            </w:pPr>
          </w:p>
        </w:tc>
      </w:tr>
      <w:tr w:rsidR="005D63C7" w:rsidRPr="00A32FDC" w:rsidTr="00751A40">
        <w:trPr>
          <w:tblHeader/>
          <w:jc w:val="center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CF7F83">
            <w:pPr>
              <w:jc w:val="center"/>
              <w:rPr>
                <w:sz w:val="18"/>
                <w:szCs w:val="18"/>
              </w:rPr>
            </w:pPr>
            <w:r w:rsidRPr="00A32FDC">
              <w:rPr>
                <w:sz w:val="18"/>
                <w:szCs w:val="18"/>
              </w:rPr>
              <w:t>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CF7F83">
            <w:pPr>
              <w:jc w:val="center"/>
              <w:rPr>
                <w:sz w:val="18"/>
                <w:szCs w:val="18"/>
              </w:rPr>
            </w:pPr>
            <w:r w:rsidRPr="00A32FDC">
              <w:rPr>
                <w:sz w:val="18"/>
                <w:szCs w:val="18"/>
              </w:rPr>
              <w:t>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CF7F83">
            <w:pPr>
              <w:jc w:val="center"/>
              <w:rPr>
                <w:sz w:val="18"/>
                <w:szCs w:val="18"/>
              </w:rPr>
            </w:pPr>
            <w:r w:rsidRPr="00A32FDC">
              <w:rPr>
                <w:sz w:val="18"/>
                <w:szCs w:val="18"/>
              </w:rPr>
              <w:t>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CF7F83">
            <w:pPr>
              <w:jc w:val="center"/>
              <w:rPr>
                <w:sz w:val="18"/>
                <w:szCs w:val="18"/>
              </w:rPr>
            </w:pPr>
            <w:r w:rsidRPr="00A32FDC">
              <w:rPr>
                <w:sz w:val="18"/>
                <w:szCs w:val="18"/>
              </w:rPr>
              <w:t>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3C7" w:rsidRPr="00A32FDC" w:rsidRDefault="005D63C7" w:rsidP="00CF7F83">
            <w:pPr>
              <w:jc w:val="center"/>
              <w:rPr>
                <w:sz w:val="18"/>
                <w:szCs w:val="18"/>
              </w:rPr>
            </w:pPr>
            <w:r w:rsidRPr="00A32FDC">
              <w:rPr>
                <w:sz w:val="18"/>
                <w:szCs w:val="18"/>
              </w:rPr>
              <w:t>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3C7" w:rsidRPr="00A32FDC" w:rsidRDefault="005D63C7" w:rsidP="00CF7F83">
            <w:pPr>
              <w:jc w:val="center"/>
              <w:rPr>
                <w:sz w:val="18"/>
                <w:szCs w:val="18"/>
              </w:rPr>
            </w:pPr>
            <w:r w:rsidRPr="00A32FDC">
              <w:rPr>
                <w:sz w:val="18"/>
                <w:szCs w:val="18"/>
              </w:rPr>
              <w:t>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3C7" w:rsidRPr="00A32FDC" w:rsidRDefault="005D63C7" w:rsidP="00CF7F83">
            <w:pPr>
              <w:jc w:val="center"/>
              <w:rPr>
                <w:sz w:val="18"/>
                <w:szCs w:val="18"/>
              </w:rPr>
            </w:pPr>
            <w:r w:rsidRPr="00A32FDC">
              <w:rPr>
                <w:sz w:val="18"/>
                <w:szCs w:val="18"/>
              </w:rPr>
              <w:t>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3C7" w:rsidRPr="00A32FDC" w:rsidRDefault="005D63C7" w:rsidP="00CF7F83">
            <w:pPr>
              <w:jc w:val="center"/>
              <w:rPr>
                <w:sz w:val="18"/>
                <w:szCs w:val="18"/>
              </w:rPr>
            </w:pPr>
            <w:r w:rsidRPr="00A32FDC">
              <w:rPr>
                <w:sz w:val="18"/>
                <w:szCs w:val="18"/>
              </w:rPr>
              <w:t>8</w:t>
            </w:r>
          </w:p>
        </w:tc>
      </w:tr>
      <w:tr w:rsidR="005D63C7" w:rsidRPr="00A32FDC" w:rsidTr="00751A40">
        <w:trPr>
          <w:jc w:val="center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AD7099" w:rsidP="00CF7F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5D63C7" w:rsidRPr="00A32FDC">
              <w:rPr>
                <w:sz w:val="18"/>
                <w:szCs w:val="18"/>
              </w:rPr>
              <w:t>сего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  <w:sz w:val="18"/>
                <w:szCs w:val="18"/>
                <w:lang w:eastAsia="en-US"/>
              </w:rPr>
            </w:pPr>
            <w:r w:rsidRPr="00A32FDC">
              <w:rPr>
                <w:b/>
                <w:color w:val="000000"/>
                <w:sz w:val="18"/>
                <w:szCs w:val="18"/>
              </w:rPr>
              <w:t>2 825 925,8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18"/>
                <w:szCs w:val="18"/>
                <w:lang w:eastAsia="en-US"/>
              </w:rPr>
            </w:pPr>
            <w:r w:rsidRPr="00A32FDC">
              <w:rPr>
                <w:rFonts w:eastAsia="Calibri"/>
                <w:b/>
                <w:sz w:val="18"/>
                <w:szCs w:val="18"/>
                <w:lang w:eastAsia="en-US"/>
              </w:rPr>
              <w:t>1 632 423,7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18"/>
                <w:szCs w:val="18"/>
                <w:lang w:eastAsia="en-US"/>
              </w:rPr>
            </w:pPr>
            <w:r w:rsidRPr="00A32FDC">
              <w:rPr>
                <w:sz w:val="18"/>
                <w:szCs w:val="18"/>
              </w:rPr>
              <w:t>136,7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3C7" w:rsidRPr="00A32FDC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18"/>
                <w:szCs w:val="18"/>
                <w:lang w:eastAsia="en-US"/>
              </w:rPr>
            </w:pPr>
            <w:r w:rsidRPr="00A32FDC">
              <w:rPr>
                <w:sz w:val="18"/>
                <w:szCs w:val="18"/>
                <w:lang w:eastAsia="en-US"/>
              </w:rPr>
              <w:t>18 601,5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3C7" w:rsidRPr="00A32FDC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18"/>
                <w:szCs w:val="18"/>
                <w:lang w:eastAsia="en-US"/>
              </w:rPr>
            </w:pPr>
            <w:r w:rsidRPr="00A32FDC">
              <w:rPr>
                <w:sz w:val="18"/>
                <w:szCs w:val="18"/>
                <w:lang w:eastAsia="en-US"/>
              </w:rPr>
              <w:t>22 473,8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3C7" w:rsidRPr="00A32FDC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18"/>
                <w:szCs w:val="18"/>
                <w:lang w:eastAsia="en-US"/>
              </w:rPr>
            </w:pPr>
            <w:r w:rsidRPr="00A32FDC">
              <w:rPr>
                <w:sz w:val="18"/>
                <w:szCs w:val="18"/>
                <w:lang w:eastAsia="en-US"/>
              </w:rPr>
              <w:t>13 804,6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3C7" w:rsidRPr="00A32FDC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18"/>
                <w:szCs w:val="18"/>
              </w:rPr>
            </w:pPr>
            <w:r w:rsidRPr="00A32FDC">
              <w:rPr>
                <w:sz w:val="18"/>
                <w:szCs w:val="18"/>
              </w:rPr>
              <w:t>13 372</w:t>
            </w:r>
          </w:p>
        </w:tc>
      </w:tr>
      <w:tr w:rsidR="005D63C7" w:rsidRPr="00A32FDC" w:rsidTr="00751A40">
        <w:trPr>
          <w:jc w:val="center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AD7099" w:rsidP="00CF7F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="005D63C7" w:rsidRPr="00A32FDC">
              <w:rPr>
                <w:sz w:val="18"/>
                <w:szCs w:val="18"/>
              </w:rPr>
              <w:t>едеральный бюджет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18"/>
                <w:szCs w:val="18"/>
                <w:lang w:eastAsia="en-US"/>
              </w:rPr>
            </w:pPr>
            <w:r w:rsidRPr="00A32FDC">
              <w:rPr>
                <w:sz w:val="18"/>
                <w:szCs w:val="18"/>
                <w:lang w:eastAsia="en-US"/>
              </w:rPr>
              <w:t>11 169,4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18"/>
                <w:szCs w:val="18"/>
                <w:lang w:eastAsia="en-US"/>
              </w:rPr>
            </w:pPr>
            <w:r w:rsidRPr="00A32FDC">
              <w:rPr>
                <w:sz w:val="18"/>
                <w:szCs w:val="18"/>
                <w:lang w:eastAsia="en-US"/>
              </w:rPr>
              <w:t>- 61,0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18"/>
                <w:szCs w:val="18"/>
                <w:lang w:eastAsia="en-US"/>
              </w:rPr>
            </w:pPr>
            <w:r w:rsidRPr="00A32FDC">
              <w:rPr>
                <w:sz w:val="18"/>
                <w:szCs w:val="18"/>
                <w:lang w:eastAsia="en-US"/>
              </w:rPr>
              <w:t>- 0,5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3C7" w:rsidRPr="00A32FDC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18"/>
                <w:szCs w:val="18"/>
                <w:lang w:eastAsia="en-US"/>
              </w:rPr>
            </w:pPr>
            <w:r w:rsidRPr="00A32FDC">
              <w:rPr>
                <w:sz w:val="18"/>
                <w:szCs w:val="18"/>
                <w:lang w:eastAsia="en-US"/>
              </w:rPr>
              <w:t>18 601,5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3C7" w:rsidRPr="00A32FDC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18"/>
                <w:szCs w:val="18"/>
                <w:lang w:eastAsia="en-US"/>
              </w:rPr>
            </w:pPr>
            <w:r w:rsidRPr="00A32FDC">
              <w:rPr>
                <w:sz w:val="18"/>
                <w:szCs w:val="18"/>
                <w:lang w:eastAsia="en-US"/>
              </w:rPr>
              <w:t>22 473,8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3C7" w:rsidRPr="00A32FDC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18"/>
                <w:szCs w:val="18"/>
                <w:lang w:eastAsia="en-US"/>
              </w:rPr>
            </w:pPr>
            <w:r w:rsidRPr="00A32FDC">
              <w:rPr>
                <w:sz w:val="18"/>
                <w:szCs w:val="18"/>
                <w:lang w:eastAsia="en-US"/>
              </w:rPr>
              <w:t>13 804,6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3C7" w:rsidRPr="00A32FDC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18"/>
                <w:szCs w:val="18"/>
              </w:rPr>
            </w:pPr>
            <w:r w:rsidRPr="00A32FDC">
              <w:rPr>
                <w:sz w:val="18"/>
                <w:szCs w:val="18"/>
              </w:rPr>
              <w:t>13 372</w:t>
            </w:r>
          </w:p>
        </w:tc>
      </w:tr>
      <w:tr w:rsidR="005D63C7" w:rsidRPr="00A32FDC" w:rsidTr="00751A40">
        <w:trPr>
          <w:jc w:val="center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AD7099" w:rsidP="00CF7F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5D63C7" w:rsidRPr="00A32FDC">
              <w:rPr>
                <w:sz w:val="18"/>
                <w:szCs w:val="18"/>
              </w:rPr>
              <w:t xml:space="preserve">онсолидированные бюджеты субъектов Российской Федерации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18"/>
                <w:szCs w:val="18"/>
                <w:lang w:eastAsia="en-US"/>
              </w:rPr>
            </w:pPr>
            <w:r w:rsidRPr="00A32FDC">
              <w:rPr>
                <w:sz w:val="18"/>
                <w:szCs w:val="18"/>
                <w:lang w:eastAsia="en-US"/>
              </w:rPr>
              <w:t>303,1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18"/>
                <w:szCs w:val="18"/>
                <w:lang w:eastAsia="en-US"/>
              </w:rPr>
            </w:pPr>
            <w:r w:rsidRPr="00A32FDC">
              <w:rPr>
                <w:sz w:val="18"/>
                <w:szCs w:val="18"/>
              </w:rPr>
              <w:t>-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3C7" w:rsidRPr="00A32FDC" w:rsidRDefault="00A32FDC" w:rsidP="00751A40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18"/>
                <w:szCs w:val="18"/>
                <w:lang w:eastAsia="en-US"/>
              </w:rPr>
            </w:pPr>
            <w:r w:rsidRPr="00A32FDC">
              <w:rPr>
                <w:sz w:val="18"/>
                <w:szCs w:val="18"/>
              </w:rPr>
              <w:t>-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18"/>
                <w:szCs w:val="18"/>
                <w:lang w:eastAsia="en-US"/>
              </w:rPr>
            </w:pPr>
            <w:r w:rsidRPr="00A32FDC">
              <w:rPr>
                <w:sz w:val="18"/>
                <w:szCs w:val="18"/>
              </w:rPr>
              <w:t>-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18"/>
                <w:szCs w:val="18"/>
                <w:lang w:eastAsia="en-US"/>
              </w:rPr>
            </w:pPr>
            <w:r w:rsidRPr="00A32FDC">
              <w:rPr>
                <w:sz w:val="18"/>
                <w:szCs w:val="18"/>
              </w:rPr>
              <w:t>-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18"/>
                <w:szCs w:val="18"/>
                <w:lang w:eastAsia="en-US"/>
              </w:rPr>
            </w:pPr>
            <w:r w:rsidRPr="00A32FDC">
              <w:rPr>
                <w:sz w:val="18"/>
                <w:szCs w:val="18"/>
              </w:rPr>
              <w:t>-</w:t>
            </w:r>
          </w:p>
        </w:tc>
      </w:tr>
      <w:tr w:rsidR="005D63C7" w:rsidRPr="00A32FDC" w:rsidTr="00751A40">
        <w:trPr>
          <w:jc w:val="center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AD7099" w:rsidP="00CF7F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Ю</w:t>
            </w:r>
            <w:r w:rsidR="005D63C7" w:rsidRPr="00A32FDC">
              <w:rPr>
                <w:sz w:val="18"/>
                <w:szCs w:val="18"/>
              </w:rPr>
              <w:t>ридические лица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18"/>
                <w:szCs w:val="18"/>
                <w:lang w:eastAsia="en-US"/>
              </w:rPr>
            </w:pPr>
            <w:r w:rsidRPr="00A32FDC">
              <w:rPr>
                <w:sz w:val="18"/>
                <w:szCs w:val="18"/>
              </w:rPr>
              <w:t>2 814 453,3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18"/>
                <w:szCs w:val="18"/>
                <w:lang w:eastAsia="en-US"/>
              </w:rPr>
            </w:pPr>
            <w:r w:rsidRPr="00A32FDC">
              <w:rPr>
                <w:sz w:val="18"/>
                <w:szCs w:val="18"/>
              </w:rPr>
              <w:t>1 632 484,7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18"/>
                <w:szCs w:val="18"/>
                <w:lang w:eastAsia="en-US"/>
              </w:rPr>
            </w:pPr>
            <w:r w:rsidRPr="00A32FDC">
              <w:rPr>
                <w:sz w:val="18"/>
                <w:szCs w:val="18"/>
              </w:rPr>
              <w:t>138,1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18"/>
                <w:szCs w:val="18"/>
                <w:lang w:eastAsia="en-US"/>
              </w:rPr>
            </w:pPr>
            <w:r w:rsidRPr="00A32FDC">
              <w:rPr>
                <w:sz w:val="18"/>
                <w:szCs w:val="18"/>
              </w:rPr>
              <w:t>-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18"/>
                <w:szCs w:val="18"/>
                <w:lang w:eastAsia="en-US"/>
              </w:rPr>
            </w:pPr>
            <w:r w:rsidRPr="00A32FDC">
              <w:rPr>
                <w:sz w:val="18"/>
                <w:szCs w:val="18"/>
              </w:rPr>
              <w:t>-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18"/>
                <w:szCs w:val="18"/>
                <w:lang w:eastAsia="en-US"/>
              </w:rPr>
            </w:pPr>
            <w:r w:rsidRPr="00A32FDC">
              <w:rPr>
                <w:sz w:val="18"/>
                <w:szCs w:val="18"/>
              </w:rPr>
              <w:t>-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A32FDC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18"/>
                <w:szCs w:val="18"/>
                <w:lang w:eastAsia="en-US"/>
              </w:rPr>
            </w:pPr>
            <w:r w:rsidRPr="00A32FDC">
              <w:rPr>
                <w:sz w:val="18"/>
                <w:szCs w:val="18"/>
              </w:rPr>
              <w:t>-</w:t>
            </w:r>
          </w:p>
        </w:tc>
      </w:tr>
    </w:tbl>
    <w:p w:rsidR="005D63C7" w:rsidRDefault="005D63C7" w:rsidP="00751A40">
      <w:pPr>
        <w:spacing w:line="360" w:lineRule="auto"/>
        <w:ind w:right="140"/>
        <w:jc w:val="both"/>
        <w:rPr>
          <w:sz w:val="16"/>
        </w:rPr>
      </w:pPr>
      <w:r>
        <w:rPr>
          <w:sz w:val="16"/>
        </w:rPr>
        <w:t>* По данным Сводного годового доклада о ходе реализации и оценке эффективности госпрограмм за 2018 год.</w:t>
      </w:r>
    </w:p>
    <w:p w:rsidR="005D63C7" w:rsidRDefault="005D63C7" w:rsidP="005D63C7">
      <w:pPr>
        <w:widowControl w:val="0"/>
        <w:overflowPunct w:val="0"/>
        <w:autoSpaceDE w:val="0"/>
        <w:autoSpaceDN w:val="0"/>
        <w:adjustRightInd w:val="0"/>
        <w:spacing w:line="312" w:lineRule="auto"/>
        <w:ind w:right="142" w:firstLine="709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>Анализ данных об исполнении расходов за 2018 год за счет всех источников финансирования</w:t>
      </w:r>
      <w:r w:rsidR="000C46FB">
        <w:rPr>
          <w:rFonts w:eastAsia="Calibri"/>
          <w:lang w:eastAsia="en-US"/>
        </w:rPr>
        <w:t xml:space="preserve"> ГП-30</w:t>
      </w:r>
      <w:r>
        <w:rPr>
          <w:rFonts w:eastAsia="Calibri"/>
          <w:lang w:eastAsia="en-US"/>
        </w:rPr>
        <w:t xml:space="preserve"> показал, что госпрограмма реализуется как за счет средств федерального бюджета, так и за счет средств юридических лиц. При этом </w:t>
      </w:r>
      <w:r w:rsidRPr="00E1312A">
        <w:rPr>
          <w:rFonts w:eastAsia="Calibri"/>
          <w:lang w:eastAsia="en-US"/>
        </w:rPr>
        <w:t>в проекте паспорта госпрограммы информация об участии юридических лиц отсутствует.</w:t>
      </w:r>
      <w:r>
        <w:rPr>
          <w:rFonts w:eastAsia="Calibri"/>
          <w:lang w:eastAsia="en-US"/>
        </w:rPr>
        <w:t xml:space="preserve"> </w:t>
      </w:r>
    </w:p>
    <w:p w:rsidR="00A32FDC" w:rsidRDefault="00CF7F83" w:rsidP="00A32FDC">
      <w:pPr>
        <w:widowControl w:val="0"/>
        <w:overflowPunct w:val="0"/>
        <w:autoSpaceDE w:val="0"/>
        <w:autoSpaceDN w:val="0"/>
        <w:adjustRightInd w:val="0"/>
        <w:spacing w:line="312" w:lineRule="auto"/>
        <w:ind w:right="142" w:firstLine="709"/>
        <w:contextualSpacing/>
        <w:jc w:val="both"/>
        <w:textAlignment w:val="baseline"/>
      </w:pPr>
      <w:r w:rsidRPr="00E61AE4">
        <w:rPr>
          <w:rFonts w:eastAsia="Calibri"/>
          <w:b/>
          <w:lang w:eastAsia="en-US"/>
        </w:rPr>
        <w:t>30.</w:t>
      </w:r>
      <w:r w:rsidR="005D63C7" w:rsidRPr="00E61AE4">
        <w:rPr>
          <w:rFonts w:eastAsia="Calibri"/>
          <w:b/>
          <w:lang w:eastAsia="en-US"/>
        </w:rPr>
        <w:t>4.</w:t>
      </w:r>
      <w:r w:rsidR="005D63C7">
        <w:rPr>
          <w:rFonts w:eastAsia="Calibri"/>
          <w:b/>
          <w:lang w:eastAsia="en-US"/>
        </w:rPr>
        <w:t xml:space="preserve"> </w:t>
      </w:r>
      <w:r w:rsidR="005D63C7">
        <w:t>Сведения о финансовом обеспечении</w:t>
      </w:r>
      <w:r w:rsidR="009003A4">
        <w:t xml:space="preserve"> ГП-30</w:t>
      </w:r>
      <w:r w:rsidR="005D63C7">
        <w:t xml:space="preserve"> за счет средств федерального бюджета в 2018 – 2022 годах представлены в следующей таблице.</w:t>
      </w:r>
    </w:p>
    <w:p w:rsidR="005D63C7" w:rsidRDefault="005D63C7" w:rsidP="00A32FDC">
      <w:pPr>
        <w:widowControl w:val="0"/>
        <w:overflowPunct w:val="0"/>
        <w:autoSpaceDE w:val="0"/>
        <w:autoSpaceDN w:val="0"/>
        <w:adjustRightInd w:val="0"/>
        <w:spacing w:line="312" w:lineRule="auto"/>
        <w:ind w:right="142" w:firstLine="709"/>
        <w:contextualSpacing/>
        <w:jc w:val="right"/>
        <w:textAlignment w:val="baseline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 xml:space="preserve"> (млн.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7"/>
        <w:gridCol w:w="802"/>
        <w:gridCol w:w="804"/>
        <w:gridCol w:w="739"/>
        <w:gridCol w:w="708"/>
        <w:gridCol w:w="601"/>
        <w:gridCol w:w="766"/>
        <w:gridCol w:w="771"/>
        <w:gridCol w:w="766"/>
        <w:gridCol w:w="771"/>
        <w:gridCol w:w="766"/>
        <w:gridCol w:w="770"/>
      </w:tblGrid>
      <w:tr w:rsidR="005D63C7" w:rsidRPr="00751A40" w:rsidTr="00751A40">
        <w:trPr>
          <w:trHeight w:val="300"/>
          <w:tblHeader/>
        </w:trPr>
        <w:tc>
          <w:tcPr>
            <w:tcW w:w="683" w:type="pct"/>
            <w:vMerge w:val="restart"/>
            <w:shd w:val="clear" w:color="auto" w:fill="FFFFFF"/>
            <w:vAlign w:val="center"/>
            <w:hideMark/>
          </w:tcPr>
          <w:p w:rsidR="005D63C7" w:rsidRPr="00751A40" w:rsidRDefault="005D63C7" w:rsidP="00751A40">
            <w:pPr>
              <w:ind w:left="-57" w:right="-57"/>
              <w:jc w:val="both"/>
              <w:rPr>
                <w:spacing w:val="-4"/>
                <w:sz w:val="14"/>
                <w:szCs w:val="14"/>
              </w:rPr>
            </w:pPr>
            <w:r w:rsidRPr="00751A40">
              <w:rPr>
                <w:spacing w:val="-4"/>
                <w:sz w:val="14"/>
                <w:szCs w:val="14"/>
              </w:rPr>
              <w:t> </w:t>
            </w:r>
          </w:p>
        </w:tc>
        <w:tc>
          <w:tcPr>
            <w:tcW w:w="419" w:type="pct"/>
            <w:vMerge w:val="restart"/>
            <w:shd w:val="clear" w:color="auto" w:fill="FFFFFF"/>
            <w:vAlign w:val="center"/>
            <w:hideMark/>
          </w:tcPr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  <w:r w:rsidRPr="00751A40">
              <w:rPr>
                <w:spacing w:val="-4"/>
                <w:sz w:val="14"/>
                <w:szCs w:val="14"/>
              </w:rPr>
              <w:t>2018 год исполнение</w:t>
            </w:r>
          </w:p>
        </w:tc>
        <w:tc>
          <w:tcPr>
            <w:tcW w:w="1490" w:type="pct"/>
            <w:gridSpan w:val="4"/>
            <w:shd w:val="clear" w:color="auto" w:fill="FFFFFF"/>
            <w:vAlign w:val="center"/>
            <w:hideMark/>
          </w:tcPr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  <w:r w:rsidRPr="00751A40">
              <w:rPr>
                <w:spacing w:val="-4"/>
                <w:sz w:val="14"/>
                <w:szCs w:val="14"/>
              </w:rPr>
              <w:t>2019 год</w:t>
            </w:r>
          </w:p>
        </w:tc>
        <w:tc>
          <w:tcPr>
            <w:tcW w:w="803" w:type="pct"/>
            <w:gridSpan w:val="2"/>
            <w:shd w:val="clear" w:color="auto" w:fill="FFFFFF"/>
            <w:vAlign w:val="center"/>
            <w:hideMark/>
          </w:tcPr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  <w:r w:rsidRPr="00751A40">
              <w:rPr>
                <w:spacing w:val="-4"/>
                <w:sz w:val="14"/>
                <w:szCs w:val="14"/>
              </w:rPr>
              <w:t>2020 год</w:t>
            </w:r>
          </w:p>
        </w:tc>
        <w:tc>
          <w:tcPr>
            <w:tcW w:w="803" w:type="pct"/>
            <w:gridSpan w:val="2"/>
            <w:shd w:val="clear" w:color="auto" w:fill="FFFFFF"/>
            <w:vAlign w:val="center"/>
            <w:hideMark/>
          </w:tcPr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  <w:r w:rsidRPr="00751A40">
              <w:rPr>
                <w:spacing w:val="-4"/>
                <w:sz w:val="14"/>
                <w:szCs w:val="14"/>
              </w:rPr>
              <w:t xml:space="preserve">2021 год </w:t>
            </w:r>
          </w:p>
        </w:tc>
        <w:tc>
          <w:tcPr>
            <w:tcW w:w="802" w:type="pct"/>
            <w:gridSpan w:val="2"/>
            <w:shd w:val="clear" w:color="auto" w:fill="FFFFFF"/>
            <w:vAlign w:val="center"/>
            <w:hideMark/>
          </w:tcPr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  <w:r w:rsidRPr="00751A40">
              <w:rPr>
                <w:spacing w:val="-4"/>
                <w:sz w:val="14"/>
                <w:szCs w:val="14"/>
              </w:rPr>
              <w:t>2022 год</w:t>
            </w:r>
          </w:p>
        </w:tc>
      </w:tr>
      <w:tr w:rsidR="005D63C7" w:rsidRPr="00751A40" w:rsidTr="00751A40">
        <w:trPr>
          <w:trHeight w:val="1050"/>
          <w:tblHeader/>
        </w:trPr>
        <w:tc>
          <w:tcPr>
            <w:tcW w:w="683" w:type="pct"/>
            <w:vMerge/>
            <w:vAlign w:val="center"/>
            <w:hideMark/>
          </w:tcPr>
          <w:p w:rsidR="005D63C7" w:rsidRPr="00751A40" w:rsidRDefault="005D63C7" w:rsidP="00751A40">
            <w:pPr>
              <w:ind w:left="-57" w:right="-57"/>
              <w:rPr>
                <w:spacing w:val="-4"/>
                <w:sz w:val="14"/>
                <w:szCs w:val="14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5D63C7" w:rsidRPr="00751A40" w:rsidRDefault="005D63C7" w:rsidP="00751A40">
            <w:pPr>
              <w:ind w:left="-57" w:right="-57"/>
              <w:rPr>
                <w:spacing w:val="-4"/>
                <w:sz w:val="14"/>
                <w:szCs w:val="14"/>
              </w:rPr>
            </w:pPr>
          </w:p>
        </w:tc>
        <w:tc>
          <w:tcPr>
            <w:tcW w:w="420" w:type="pct"/>
            <w:shd w:val="clear" w:color="auto" w:fill="FFFFFF"/>
            <w:vAlign w:val="center"/>
            <w:hideMark/>
          </w:tcPr>
          <w:p w:rsidR="005D63C7" w:rsidRPr="00751A40" w:rsidRDefault="00AD7099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у</w:t>
            </w:r>
            <w:r w:rsidR="005D63C7" w:rsidRPr="00751A40">
              <w:rPr>
                <w:spacing w:val="-4"/>
                <w:sz w:val="14"/>
                <w:szCs w:val="14"/>
              </w:rPr>
              <w:t>твержден-ная ГП</w:t>
            </w:r>
            <w:r>
              <w:rPr>
                <w:spacing w:val="-4"/>
                <w:sz w:val="14"/>
                <w:szCs w:val="14"/>
              </w:rPr>
              <w:t>-30</w:t>
            </w:r>
            <w:r w:rsidR="005D63C7" w:rsidRPr="00751A40">
              <w:rPr>
                <w:spacing w:val="-4"/>
                <w:sz w:val="14"/>
                <w:szCs w:val="14"/>
              </w:rPr>
              <w:t xml:space="preserve"> (паспорт)/</w:t>
            </w:r>
          </w:p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  <w:r w:rsidRPr="00751A40">
              <w:rPr>
                <w:spacing w:val="-4"/>
                <w:sz w:val="14"/>
                <w:szCs w:val="14"/>
              </w:rPr>
              <w:t>проект паспорта</w:t>
            </w:r>
          </w:p>
        </w:tc>
        <w:tc>
          <w:tcPr>
            <w:tcW w:w="386" w:type="pct"/>
            <w:shd w:val="clear" w:color="auto" w:fill="FFFFFF"/>
            <w:vAlign w:val="center"/>
            <w:hideMark/>
          </w:tcPr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  <w:r w:rsidRPr="00751A40">
              <w:rPr>
                <w:spacing w:val="-4"/>
                <w:sz w:val="14"/>
                <w:szCs w:val="14"/>
              </w:rPr>
              <w:t xml:space="preserve">сводная бюджетная роспись на 01.09.2019 </w:t>
            </w:r>
          </w:p>
        </w:tc>
        <w:tc>
          <w:tcPr>
            <w:tcW w:w="370" w:type="pct"/>
            <w:shd w:val="clear" w:color="auto" w:fill="FFFFFF"/>
            <w:vAlign w:val="center"/>
            <w:hideMark/>
          </w:tcPr>
          <w:p w:rsidR="005D63C7" w:rsidRPr="00751A40" w:rsidRDefault="00AD7099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и</w:t>
            </w:r>
            <w:r w:rsidR="005D63C7" w:rsidRPr="00751A40">
              <w:rPr>
                <w:spacing w:val="-4"/>
                <w:sz w:val="14"/>
                <w:szCs w:val="14"/>
              </w:rPr>
              <w:t>сполне</w:t>
            </w:r>
            <w:r w:rsidR="00A00CB9">
              <w:rPr>
                <w:spacing w:val="-4"/>
                <w:sz w:val="14"/>
                <w:szCs w:val="14"/>
              </w:rPr>
              <w:t>-</w:t>
            </w:r>
            <w:r w:rsidR="005D63C7" w:rsidRPr="00751A40">
              <w:rPr>
                <w:spacing w:val="-4"/>
                <w:sz w:val="14"/>
                <w:szCs w:val="14"/>
              </w:rPr>
              <w:t>ние</w:t>
            </w:r>
          </w:p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  <w:r w:rsidRPr="00751A40">
              <w:rPr>
                <w:spacing w:val="-4"/>
                <w:sz w:val="14"/>
                <w:szCs w:val="14"/>
              </w:rPr>
              <w:t xml:space="preserve"> на 01.09.2019</w:t>
            </w:r>
          </w:p>
        </w:tc>
        <w:tc>
          <w:tcPr>
            <w:tcW w:w="313" w:type="pct"/>
            <w:shd w:val="clear" w:color="auto" w:fill="FFFFFF"/>
            <w:vAlign w:val="center"/>
            <w:hideMark/>
          </w:tcPr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  <w:r w:rsidRPr="00751A40">
              <w:rPr>
                <w:spacing w:val="-4"/>
                <w:sz w:val="14"/>
                <w:szCs w:val="14"/>
              </w:rPr>
              <w:t>%</w:t>
            </w:r>
          </w:p>
          <w:p w:rsidR="005D63C7" w:rsidRPr="00751A40" w:rsidRDefault="005D63C7" w:rsidP="00E61AE4">
            <w:pPr>
              <w:ind w:left="-57" w:right="-75"/>
              <w:jc w:val="center"/>
              <w:rPr>
                <w:spacing w:val="-4"/>
                <w:sz w:val="14"/>
                <w:szCs w:val="14"/>
              </w:rPr>
            </w:pPr>
            <w:r w:rsidRPr="00751A40">
              <w:rPr>
                <w:spacing w:val="-4"/>
                <w:sz w:val="14"/>
                <w:szCs w:val="14"/>
              </w:rPr>
              <w:t>исполне</w:t>
            </w:r>
            <w:r w:rsidR="00E61AE4">
              <w:rPr>
                <w:spacing w:val="-4"/>
                <w:sz w:val="14"/>
                <w:szCs w:val="14"/>
              </w:rPr>
              <w:t>-</w:t>
            </w:r>
            <w:r w:rsidRPr="00751A40">
              <w:rPr>
                <w:spacing w:val="-4"/>
                <w:sz w:val="14"/>
                <w:szCs w:val="14"/>
              </w:rPr>
              <w:t>ния росписи</w:t>
            </w:r>
          </w:p>
        </w:tc>
        <w:tc>
          <w:tcPr>
            <w:tcW w:w="400" w:type="pct"/>
            <w:shd w:val="clear" w:color="auto" w:fill="FFFFFF"/>
            <w:vAlign w:val="center"/>
            <w:hideMark/>
          </w:tcPr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  <w:r w:rsidRPr="00751A40">
              <w:rPr>
                <w:spacing w:val="-4"/>
                <w:sz w:val="14"/>
                <w:szCs w:val="14"/>
              </w:rPr>
              <w:t>утвержден-ная ГП</w:t>
            </w:r>
            <w:r w:rsidR="00AD7099">
              <w:rPr>
                <w:spacing w:val="-4"/>
                <w:sz w:val="14"/>
                <w:szCs w:val="14"/>
              </w:rPr>
              <w:t>-30</w:t>
            </w:r>
            <w:r w:rsidRPr="00751A40">
              <w:rPr>
                <w:spacing w:val="-4"/>
                <w:sz w:val="14"/>
                <w:szCs w:val="14"/>
              </w:rPr>
              <w:t xml:space="preserve"> (паспорт)/</w:t>
            </w:r>
          </w:p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  <w:r w:rsidRPr="00751A40">
              <w:rPr>
                <w:spacing w:val="-4"/>
                <w:sz w:val="14"/>
                <w:szCs w:val="14"/>
              </w:rPr>
              <w:t>проект паспорта</w:t>
            </w:r>
          </w:p>
        </w:tc>
        <w:tc>
          <w:tcPr>
            <w:tcW w:w="403" w:type="pct"/>
            <w:shd w:val="clear" w:color="auto" w:fill="FFFFFF"/>
            <w:vAlign w:val="center"/>
            <w:hideMark/>
          </w:tcPr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  <w:r w:rsidRPr="00751A40">
              <w:rPr>
                <w:spacing w:val="-4"/>
                <w:sz w:val="14"/>
                <w:szCs w:val="14"/>
              </w:rPr>
              <w:t>отклонение проекта паспорта от утвержден-ной ГП</w:t>
            </w:r>
            <w:r w:rsidR="00AD7099">
              <w:rPr>
                <w:spacing w:val="-4"/>
                <w:sz w:val="14"/>
                <w:szCs w:val="14"/>
              </w:rPr>
              <w:t>-30</w:t>
            </w:r>
            <w:r w:rsidRPr="00751A40">
              <w:rPr>
                <w:spacing w:val="-4"/>
                <w:sz w:val="14"/>
                <w:szCs w:val="14"/>
              </w:rPr>
              <w:t>, %</w:t>
            </w:r>
          </w:p>
        </w:tc>
        <w:tc>
          <w:tcPr>
            <w:tcW w:w="400" w:type="pct"/>
            <w:shd w:val="clear" w:color="auto" w:fill="FFFFFF"/>
            <w:vAlign w:val="center"/>
            <w:hideMark/>
          </w:tcPr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  <w:r w:rsidRPr="00751A40">
              <w:rPr>
                <w:spacing w:val="-4"/>
                <w:sz w:val="14"/>
                <w:szCs w:val="14"/>
              </w:rPr>
              <w:t>утвержден-ная ГП</w:t>
            </w:r>
            <w:r w:rsidR="00AD7099">
              <w:rPr>
                <w:spacing w:val="-4"/>
                <w:sz w:val="14"/>
                <w:szCs w:val="14"/>
              </w:rPr>
              <w:t>-30</w:t>
            </w:r>
            <w:r w:rsidRPr="00751A40">
              <w:rPr>
                <w:spacing w:val="-4"/>
                <w:sz w:val="14"/>
                <w:szCs w:val="14"/>
              </w:rPr>
              <w:t xml:space="preserve"> (паспорт)/</w:t>
            </w:r>
          </w:p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  <w:r w:rsidRPr="00751A40">
              <w:rPr>
                <w:spacing w:val="-4"/>
                <w:sz w:val="14"/>
                <w:szCs w:val="14"/>
              </w:rPr>
              <w:t>проект паспорта</w:t>
            </w:r>
          </w:p>
        </w:tc>
        <w:tc>
          <w:tcPr>
            <w:tcW w:w="403" w:type="pct"/>
            <w:shd w:val="clear" w:color="auto" w:fill="FFFFFF"/>
            <w:vAlign w:val="center"/>
            <w:hideMark/>
          </w:tcPr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  <w:r w:rsidRPr="00751A40">
              <w:rPr>
                <w:spacing w:val="-4"/>
                <w:sz w:val="14"/>
                <w:szCs w:val="14"/>
              </w:rPr>
              <w:t>отклонение проекта паспорта от утвержден-ной ГП</w:t>
            </w:r>
            <w:r w:rsidR="00AD7099">
              <w:rPr>
                <w:spacing w:val="-4"/>
                <w:sz w:val="14"/>
                <w:szCs w:val="14"/>
              </w:rPr>
              <w:t>-30</w:t>
            </w:r>
            <w:r w:rsidRPr="00751A40">
              <w:rPr>
                <w:spacing w:val="-4"/>
                <w:sz w:val="14"/>
                <w:szCs w:val="14"/>
              </w:rPr>
              <w:t>, %</w:t>
            </w:r>
          </w:p>
        </w:tc>
        <w:tc>
          <w:tcPr>
            <w:tcW w:w="400" w:type="pct"/>
            <w:shd w:val="clear" w:color="auto" w:fill="FFFFFF"/>
            <w:vAlign w:val="center"/>
            <w:hideMark/>
          </w:tcPr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  <w:r w:rsidRPr="00751A40">
              <w:rPr>
                <w:spacing w:val="-4"/>
                <w:sz w:val="14"/>
                <w:szCs w:val="14"/>
              </w:rPr>
              <w:t>утвержден-ная ГП</w:t>
            </w:r>
            <w:r w:rsidR="00AD7099">
              <w:rPr>
                <w:spacing w:val="-4"/>
                <w:sz w:val="14"/>
                <w:szCs w:val="14"/>
              </w:rPr>
              <w:t>-30</w:t>
            </w:r>
            <w:r w:rsidRPr="00751A40">
              <w:rPr>
                <w:spacing w:val="-4"/>
                <w:sz w:val="14"/>
                <w:szCs w:val="14"/>
              </w:rPr>
              <w:t xml:space="preserve"> (паспорт)/</w:t>
            </w:r>
          </w:p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  <w:r w:rsidRPr="00751A40">
              <w:rPr>
                <w:spacing w:val="-4"/>
                <w:sz w:val="14"/>
                <w:szCs w:val="14"/>
              </w:rPr>
              <w:t>проект паспорта</w:t>
            </w:r>
          </w:p>
        </w:tc>
        <w:tc>
          <w:tcPr>
            <w:tcW w:w="402" w:type="pct"/>
            <w:shd w:val="clear" w:color="auto" w:fill="FFFFFF"/>
            <w:vAlign w:val="center"/>
            <w:hideMark/>
          </w:tcPr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  <w:r w:rsidRPr="00751A40">
              <w:rPr>
                <w:spacing w:val="-4"/>
                <w:sz w:val="14"/>
                <w:szCs w:val="14"/>
              </w:rPr>
              <w:t xml:space="preserve">отклонение проекта паспорта от утверж-денной </w:t>
            </w:r>
            <w:r w:rsidR="00AD7099">
              <w:rPr>
                <w:spacing w:val="-4"/>
                <w:sz w:val="14"/>
                <w:szCs w:val="14"/>
              </w:rPr>
              <w:br/>
            </w:r>
            <w:r w:rsidRPr="00751A40">
              <w:rPr>
                <w:spacing w:val="-4"/>
                <w:sz w:val="14"/>
                <w:szCs w:val="14"/>
              </w:rPr>
              <w:t>ГП</w:t>
            </w:r>
            <w:r w:rsidR="00AD7099">
              <w:rPr>
                <w:spacing w:val="-4"/>
                <w:sz w:val="14"/>
                <w:szCs w:val="14"/>
              </w:rPr>
              <w:t>-30</w:t>
            </w:r>
            <w:r w:rsidRPr="00751A40">
              <w:rPr>
                <w:spacing w:val="-4"/>
                <w:sz w:val="14"/>
                <w:szCs w:val="14"/>
              </w:rPr>
              <w:t>, %</w:t>
            </w:r>
          </w:p>
        </w:tc>
      </w:tr>
      <w:tr w:rsidR="005D63C7" w:rsidRPr="00751A40" w:rsidTr="00751A40">
        <w:trPr>
          <w:trHeight w:val="66"/>
          <w:tblHeader/>
        </w:trPr>
        <w:tc>
          <w:tcPr>
            <w:tcW w:w="683" w:type="pct"/>
            <w:shd w:val="clear" w:color="auto" w:fill="FFFFFF"/>
            <w:vAlign w:val="center"/>
            <w:hideMark/>
          </w:tcPr>
          <w:p w:rsidR="005D63C7" w:rsidRPr="00751A40" w:rsidRDefault="005D63C7" w:rsidP="00751A40">
            <w:pPr>
              <w:ind w:left="-57" w:right="-57"/>
              <w:jc w:val="center"/>
              <w:rPr>
                <w:bCs/>
                <w:spacing w:val="-4"/>
                <w:sz w:val="14"/>
                <w:szCs w:val="14"/>
              </w:rPr>
            </w:pPr>
            <w:r w:rsidRPr="00751A40">
              <w:rPr>
                <w:bCs/>
                <w:spacing w:val="-4"/>
                <w:sz w:val="14"/>
                <w:szCs w:val="14"/>
              </w:rPr>
              <w:t>1</w:t>
            </w:r>
          </w:p>
        </w:tc>
        <w:tc>
          <w:tcPr>
            <w:tcW w:w="419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  <w:r w:rsidRPr="00751A40">
              <w:rPr>
                <w:spacing w:val="-4"/>
                <w:sz w:val="14"/>
                <w:szCs w:val="14"/>
              </w:rPr>
              <w:t>2</w:t>
            </w:r>
          </w:p>
        </w:tc>
        <w:tc>
          <w:tcPr>
            <w:tcW w:w="42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  <w:r w:rsidRPr="00751A40">
              <w:rPr>
                <w:spacing w:val="-4"/>
                <w:sz w:val="14"/>
                <w:szCs w:val="14"/>
              </w:rPr>
              <w:t>3</w:t>
            </w:r>
          </w:p>
        </w:tc>
        <w:tc>
          <w:tcPr>
            <w:tcW w:w="386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  <w:r w:rsidRPr="00751A40">
              <w:rPr>
                <w:spacing w:val="-4"/>
                <w:sz w:val="14"/>
                <w:szCs w:val="14"/>
              </w:rPr>
              <w:t>4</w:t>
            </w:r>
          </w:p>
        </w:tc>
        <w:tc>
          <w:tcPr>
            <w:tcW w:w="37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  <w:r w:rsidRPr="00751A40">
              <w:rPr>
                <w:spacing w:val="-4"/>
                <w:sz w:val="14"/>
                <w:szCs w:val="14"/>
              </w:rPr>
              <w:t>5</w:t>
            </w:r>
          </w:p>
        </w:tc>
        <w:tc>
          <w:tcPr>
            <w:tcW w:w="313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  <w:r w:rsidRPr="00751A40">
              <w:rPr>
                <w:spacing w:val="-4"/>
                <w:sz w:val="14"/>
                <w:szCs w:val="14"/>
              </w:rPr>
              <w:t>6</w:t>
            </w:r>
          </w:p>
        </w:tc>
        <w:tc>
          <w:tcPr>
            <w:tcW w:w="40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  <w:r w:rsidRPr="00751A40">
              <w:rPr>
                <w:spacing w:val="-4"/>
                <w:sz w:val="14"/>
                <w:szCs w:val="14"/>
              </w:rPr>
              <w:t>7</w:t>
            </w:r>
          </w:p>
        </w:tc>
        <w:tc>
          <w:tcPr>
            <w:tcW w:w="403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  <w:r w:rsidRPr="00751A40">
              <w:rPr>
                <w:spacing w:val="-4"/>
                <w:sz w:val="14"/>
                <w:szCs w:val="14"/>
              </w:rPr>
              <w:t>8</w:t>
            </w:r>
          </w:p>
        </w:tc>
        <w:tc>
          <w:tcPr>
            <w:tcW w:w="40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  <w:r w:rsidRPr="00751A40">
              <w:rPr>
                <w:spacing w:val="-4"/>
                <w:sz w:val="14"/>
                <w:szCs w:val="14"/>
              </w:rPr>
              <w:t>9</w:t>
            </w:r>
          </w:p>
        </w:tc>
        <w:tc>
          <w:tcPr>
            <w:tcW w:w="403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  <w:r w:rsidRPr="00751A40">
              <w:rPr>
                <w:spacing w:val="-4"/>
                <w:sz w:val="14"/>
                <w:szCs w:val="14"/>
              </w:rPr>
              <w:t>10</w:t>
            </w:r>
          </w:p>
        </w:tc>
        <w:tc>
          <w:tcPr>
            <w:tcW w:w="40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  <w:r w:rsidRPr="00751A40">
              <w:rPr>
                <w:spacing w:val="-4"/>
                <w:sz w:val="14"/>
                <w:szCs w:val="14"/>
              </w:rPr>
              <w:t>11</w:t>
            </w:r>
          </w:p>
        </w:tc>
        <w:tc>
          <w:tcPr>
            <w:tcW w:w="402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  <w:r w:rsidRPr="00751A40">
              <w:rPr>
                <w:spacing w:val="-4"/>
                <w:sz w:val="14"/>
                <w:szCs w:val="14"/>
              </w:rPr>
              <w:t>12</w:t>
            </w:r>
          </w:p>
        </w:tc>
      </w:tr>
      <w:tr w:rsidR="005D63C7" w:rsidRPr="00751A40" w:rsidTr="00293946">
        <w:trPr>
          <w:trHeight w:val="300"/>
        </w:trPr>
        <w:tc>
          <w:tcPr>
            <w:tcW w:w="683" w:type="pct"/>
            <w:shd w:val="clear" w:color="auto" w:fill="FFFFFF"/>
            <w:vAlign w:val="center"/>
            <w:hideMark/>
          </w:tcPr>
          <w:p w:rsidR="005D63C7" w:rsidRPr="00751A40" w:rsidRDefault="005D63C7" w:rsidP="00293946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both"/>
              <w:textAlignment w:val="baseline"/>
              <w:rPr>
                <w:b/>
                <w:bCs/>
                <w:spacing w:val="-4"/>
                <w:sz w:val="14"/>
                <w:szCs w:val="14"/>
              </w:rPr>
            </w:pPr>
            <w:r w:rsidRPr="00751A40">
              <w:rPr>
                <w:b/>
                <w:bCs/>
                <w:spacing w:val="-4"/>
                <w:sz w:val="14"/>
                <w:szCs w:val="14"/>
              </w:rPr>
              <w:lastRenderedPageBreak/>
              <w:t xml:space="preserve">Расходы </w:t>
            </w:r>
            <w:r w:rsidRPr="00293946">
              <w:rPr>
                <w:b/>
                <w:bCs/>
                <w:spacing w:val="-4"/>
                <w:sz w:val="14"/>
                <w:szCs w:val="14"/>
              </w:rPr>
              <w:t>по</w:t>
            </w:r>
            <w:r w:rsidR="009003A4">
              <w:rPr>
                <w:b/>
                <w:bCs/>
                <w:spacing w:val="-4"/>
                <w:sz w:val="14"/>
                <w:szCs w:val="14"/>
              </w:rPr>
              <w:t xml:space="preserve"> ГП-30</w:t>
            </w:r>
            <w:r w:rsidRPr="00293946">
              <w:rPr>
                <w:b/>
                <w:bCs/>
                <w:spacing w:val="-4"/>
                <w:sz w:val="14"/>
                <w:szCs w:val="14"/>
              </w:rPr>
              <w:t xml:space="preserve"> –всего</w:t>
            </w:r>
          </w:p>
        </w:tc>
        <w:tc>
          <w:tcPr>
            <w:tcW w:w="419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b/>
                <w:bCs/>
                <w:spacing w:val="-4"/>
                <w:sz w:val="14"/>
                <w:szCs w:val="14"/>
              </w:rPr>
            </w:pPr>
            <w:r w:rsidRPr="00751A40">
              <w:rPr>
                <w:b/>
                <w:spacing w:val="-4"/>
                <w:sz w:val="14"/>
                <w:szCs w:val="14"/>
              </w:rPr>
              <w:t>11 169,4</w:t>
            </w:r>
          </w:p>
        </w:tc>
        <w:tc>
          <w:tcPr>
            <w:tcW w:w="42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b/>
                <w:bCs/>
                <w:spacing w:val="-4"/>
                <w:sz w:val="14"/>
                <w:szCs w:val="14"/>
              </w:rPr>
            </w:pPr>
            <w:r w:rsidRPr="00751A40">
              <w:rPr>
                <w:b/>
                <w:bCs/>
                <w:spacing w:val="-4"/>
                <w:sz w:val="14"/>
                <w:szCs w:val="14"/>
              </w:rPr>
              <w:t>15 957,3/</w:t>
            </w:r>
          </w:p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b/>
                <w:bCs/>
                <w:spacing w:val="-4"/>
                <w:sz w:val="14"/>
                <w:szCs w:val="14"/>
              </w:rPr>
            </w:pPr>
            <w:r w:rsidRPr="00751A40">
              <w:rPr>
                <w:b/>
                <w:bCs/>
                <w:spacing w:val="-4"/>
                <w:sz w:val="14"/>
                <w:szCs w:val="14"/>
              </w:rPr>
              <w:t>18 601,5</w:t>
            </w:r>
          </w:p>
        </w:tc>
        <w:tc>
          <w:tcPr>
            <w:tcW w:w="386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b/>
                <w:bCs/>
                <w:spacing w:val="-4"/>
                <w:sz w:val="14"/>
                <w:szCs w:val="14"/>
              </w:rPr>
            </w:pPr>
            <w:r w:rsidRPr="00751A40">
              <w:rPr>
                <w:b/>
                <w:bCs/>
                <w:spacing w:val="-4"/>
                <w:sz w:val="14"/>
                <w:szCs w:val="14"/>
              </w:rPr>
              <w:t>18 601,5</w:t>
            </w:r>
          </w:p>
        </w:tc>
        <w:tc>
          <w:tcPr>
            <w:tcW w:w="37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b/>
                <w:bCs/>
                <w:spacing w:val="-4"/>
                <w:sz w:val="14"/>
                <w:szCs w:val="14"/>
              </w:rPr>
            </w:pPr>
            <w:r w:rsidRPr="00751A40">
              <w:rPr>
                <w:b/>
                <w:bCs/>
                <w:spacing w:val="-4"/>
                <w:sz w:val="14"/>
                <w:szCs w:val="14"/>
              </w:rPr>
              <w:t>16 010,8</w:t>
            </w:r>
          </w:p>
        </w:tc>
        <w:tc>
          <w:tcPr>
            <w:tcW w:w="313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b/>
                <w:bCs/>
                <w:spacing w:val="-4"/>
                <w:sz w:val="14"/>
                <w:szCs w:val="14"/>
              </w:rPr>
            </w:pPr>
            <w:r w:rsidRPr="00751A40">
              <w:rPr>
                <w:b/>
                <w:bCs/>
                <w:spacing w:val="-4"/>
                <w:sz w:val="14"/>
                <w:szCs w:val="14"/>
              </w:rPr>
              <w:t>86,1</w:t>
            </w:r>
          </w:p>
        </w:tc>
        <w:tc>
          <w:tcPr>
            <w:tcW w:w="40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b/>
                <w:bCs/>
                <w:spacing w:val="-4"/>
                <w:sz w:val="14"/>
                <w:szCs w:val="14"/>
                <w:lang w:val="en-US"/>
              </w:rPr>
            </w:pPr>
            <w:r w:rsidRPr="00751A40">
              <w:rPr>
                <w:b/>
                <w:bCs/>
                <w:spacing w:val="-4"/>
                <w:sz w:val="14"/>
                <w:szCs w:val="14"/>
              </w:rPr>
              <w:t>16 638,7/</w:t>
            </w:r>
            <w:r w:rsidRPr="00751A40">
              <w:rPr>
                <w:b/>
                <w:bCs/>
                <w:spacing w:val="-4"/>
                <w:sz w:val="14"/>
                <w:szCs w:val="14"/>
              </w:rPr>
              <w:br/>
              <w:t>22 473,8</w:t>
            </w:r>
          </w:p>
        </w:tc>
        <w:tc>
          <w:tcPr>
            <w:tcW w:w="403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b/>
                <w:bCs/>
                <w:spacing w:val="-4"/>
                <w:sz w:val="14"/>
                <w:szCs w:val="14"/>
              </w:rPr>
            </w:pPr>
            <w:r w:rsidRPr="00751A40">
              <w:rPr>
                <w:b/>
                <w:bCs/>
                <w:spacing w:val="-4"/>
                <w:sz w:val="14"/>
                <w:szCs w:val="14"/>
              </w:rPr>
              <w:t>35,1</w:t>
            </w:r>
          </w:p>
        </w:tc>
        <w:tc>
          <w:tcPr>
            <w:tcW w:w="40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b/>
                <w:bCs/>
                <w:spacing w:val="-4"/>
                <w:sz w:val="14"/>
                <w:szCs w:val="14"/>
                <w:lang w:val="en-US"/>
              </w:rPr>
            </w:pPr>
            <w:r w:rsidRPr="00751A40">
              <w:rPr>
                <w:b/>
                <w:bCs/>
                <w:spacing w:val="-4"/>
                <w:sz w:val="14"/>
                <w:szCs w:val="14"/>
              </w:rPr>
              <w:t>8 324,4/</w:t>
            </w:r>
            <w:r w:rsidRPr="00751A40">
              <w:rPr>
                <w:b/>
                <w:bCs/>
                <w:spacing w:val="-4"/>
                <w:sz w:val="14"/>
                <w:szCs w:val="14"/>
              </w:rPr>
              <w:br/>
              <w:t>13 804,6</w:t>
            </w:r>
          </w:p>
        </w:tc>
        <w:tc>
          <w:tcPr>
            <w:tcW w:w="403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b/>
                <w:bCs/>
                <w:spacing w:val="-4"/>
                <w:sz w:val="14"/>
                <w:szCs w:val="14"/>
              </w:rPr>
            </w:pPr>
            <w:r w:rsidRPr="00751A40">
              <w:rPr>
                <w:b/>
                <w:bCs/>
                <w:spacing w:val="-4"/>
                <w:sz w:val="14"/>
                <w:szCs w:val="14"/>
              </w:rPr>
              <w:t>65,8</w:t>
            </w:r>
          </w:p>
        </w:tc>
        <w:tc>
          <w:tcPr>
            <w:tcW w:w="40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b/>
                <w:bCs/>
                <w:spacing w:val="-4"/>
                <w:sz w:val="14"/>
                <w:szCs w:val="14"/>
              </w:rPr>
            </w:pPr>
            <w:r w:rsidRPr="00751A40">
              <w:rPr>
                <w:b/>
                <w:bCs/>
                <w:spacing w:val="-4"/>
                <w:sz w:val="14"/>
                <w:szCs w:val="14"/>
              </w:rPr>
              <w:t>6 588,9/</w:t>
            </w:r>
            <w:r w:rsidRPr="00751A40">
              <w:rPr>
                <w:b/>
                <w:bCs/>
                <w:spacing w:val="-4"/>
                <w:sz w:val="14"/>
                <w:szCs w:val="14"/>
              </w:rPr>
              <w:br/>
              <w:t>13 372,0</w:t>
            </w:r>
          </w:p>
        </w:tc>
        <w:tc>
          <w:tcPr>
            <w:tcW w:w="402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b/>
                <w:bCs/>
                <w:spacing w:val="-4"/>
                <w:sz w:val="14"/>
                <w:szCs w:val="14"/>
              </w:rPr>
            </w:pPr>
            <w:r w:rsidRPr="00751A40">
              <w:rPr>
                <w:b/>
                <w:bCs/>
                <w:spacing w:val="-4"/>
                <w:sz w:val="14"/>
                <w:szCs w:val="14"/>
              </w:rPr>
              <w:t>102,9</w:t>
            </w:r>
          </w:p>
        </w:tc>
      </w:tr>
      <w:tr w:rsidR="005D63C7" w:rsidRPr="00751A40" w:rsidTr="00751A40">
        <w:trPr>
          <w:trHeight w:val="53"/>
        </w:trPr>
        <w:tc>
          <w:tcPr>
            <w:tcW w:w="683" w:type="pct"/>
            <w:shd w:val="clear" w:color="auto" w:fill="FFFFFF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both"/>
              <w:textAlignment w:val="baseline"/>
              <w:rPr>
                <w:spacing w:val="-4"/>
                <w:sz w:val="14"/>
                <w:szCs w:val="14"/>
              </w:rPr>
            </w:pPr>
            <w:r w:rsidRPr="00751A40">
              <w:rPr>
                <w:spacing w:val="-4"/>
                <w:sz w:val="14"/>
                <w:szCs w:val="14"/>
              </w:rPr>
              <w:t>в том числе:</w:t>
            </w:r>
            <w:r w:rsidRPr="00751A40">
              <w:rPr>
                <w:b/>
                <w:bCs/>
                <w:spacing w:val="-4"/>
                <w:sz w:val="14"/>
                <w:szCs w:val="14"/>
              </w:rPr>
              <w:t> </w:t>
            </w:r>
          </w:p>
        </w:tc>
        <w:tc>
          <w:tcPr>
            <w:tcW w:w="419" w:type="pct"/>
            <w:shd w:val="clear" w:color="auto" w:fill="FFFFFF"/>
            <w:noWrap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both"/>
              <w:textAlignment w:val="baseline"/>
              <w:rPr>
                <w:spacing w:val="-4"/>
                <w:sz w:val="14"/>
                <w:szCs w:val="14"/>
              </w:rPr>
            </w:pPr>
          </w:p>
        </w:tc>
        <w:tc>
          <w:tcPr>
            <w:tcW w:w="420" w:type="pct"/>
            <w:shd w:val="clear" w:color="auto" w:fill="FFFFFF"/>
            <w:noWrap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both"/>
              <w:textAlignment w:val="baseline"/>
              <w:rPr>
                <w:spacing w:val="-4"/>
                <w:sz w:val="14"/>
                <w:szCs w:val="14"/>
              </w:rPr>
            </w:pPr>
          </w:p>
        </w:tc>
        <w:tc>
          <w:tcPr>
            <w:tcW w:w="386" w:type="pct"/>
            <w:shd w:val="clear" w:color="auto" w:fill="FFFFFF"/>
            <w:noWrap/>
          </w:tcPr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</w:p>
        </w:tc>
        <w:tc>
          <w:tcPr>
            <w:tcW w:w="370" w:type="pct"/>
            <w:shd w:val="clear" w:color="auto" w:fill="FFFFFF"/>
            <w:noWrap/>
            <w:vAlign w:val="center"/>
          </w:tcPr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</w:p>
        </w:tc>
        <w:tc>
          <w:tcPr>
            <w:tcW w:w="313" w:type="pct"/>
            <w:shd w:val="clear" w:color="auto" w:fill="FFFFFF"/>
            <w:noWrap/>
            <w:vAlign w:val="center"/>
          </w:tcPr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</w:p>
        </w:tc>
        <w:tc>
          <w:tcPr>
            <w:tcW w:w="400" w:type="pct"/>
            <w:shd w:val="clear" w:color="auto" w:fill="FFFFFF"/>
            <w:noWrap/>
            <w:vAlign w:val="center"/>
          </w:tcPr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</w:p>
        </w:tc>
        <w:tc>
          <w:tcPr>
            <w:tcW w:w="403" w:type="pct"/>
            <w:noWrap/>
            <w:vAlign w:val="center"/>
          </w:tcPr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</w:p>
        </w:tc>
        <w:tc>
          <w:tcPr>
            <w:tcW w:w="400" w:type="pct"/>
            <w:shd w:val="clear" w:color="auto" w:fill="FFFFFF"/>
            <w:noWrap/>
            <w:vAlign w:val="center"/>
          </w:tcPr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</w:p>
        </w:tc>
        <w:tc>
          <w:tcPr>
            <w:tcW w:w="403" w:type="pct"/>
            <w:shd w:val="clear" w:color="auto" w:fill="FFFFFF"/>
            <w:noWrap/>
            <w:vAlign w:val="center"/>
          </w:tcPr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</w:p>
        </w:tc>
        <w:tc>
          <w:tcPr>
            <w:tcW w:w="400" w:type="pct"/>
            <w:shd w:val="clear" w:color="auto" w:fill="FFFFFF"/>
            <w:noWrap/>
            <w:vAlign w:val="center"/>
          </w:tcPr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</w:p>
        </w:tc>
        <w:tc>
          <w:tcPr>
            <w:tcW w:w="402" w:type="pct"/>
            <w:shd w:val="clear" w:color="auto" w:fill="FFFFFF"/>
            <w:noWrap/>
            <w:vAlign w:val="center"/>
          </w:tcPr>
          <w:p w:rsidR="005D63C7" w:rsidRPr="00751A40" w:rsidRDefault="005D63C7" w:rsidP="00751A40">
            <w:pPr>
              <w:ind w:left="-57" w:right="-57"/>
              <w:jc w:val="center"/>
              <w:rPr>
                <w:spacing w:val="-4"/>
                <w:sz w:val="14"/>
                <w:szCs w:val="14"/>
              </w:rPr>
            </w:pPr>
          </w:p>
        </w:tc>
      </w:tr>
      <w:tr w:rsidR="005D63C7" w:rsidRPr="00751A40" w:rsidTr="00751A40">
        <w:trPr>
          <w:cantSplit/>
          <w:trHeight w:val="398"/>
        </w:trPr>
        <w:tc>
          <w:tcPr>
            <w:tcW w:w="683" w:type="pct"/>
            <w:vAlign w:val="center"/>
            <w:hideMark/>
          </w:tcPr>
          <w:p w:rsidR="005D63C7" w:rsidRPr="00751A40" w:rsidRDefault="00AD7099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both"/>
              <w:textAlignment w:val="baseline"/>
              <w:rPr>
                <w:spacing w:val="-4"/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п</w:t>
            </w:r>
            <w:r w:rsidR="005D63C7" w:rsidRPr="00751A40">
              <w:rPr>
                <w:spacing w:val="-4"/>
                <w:sz w:val="14"/>
                <w:szCs w:val="14"/>
              </w:rPr>
              <w:t>одпрограмма  «Энергосбережение и повышение энергетической эффективности»</w:t>
            </w:r>
          </w:p>
        </w:tc>
        <w:tc>
          <w:tcPr>
            <w:tcW w:w="419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28,</w:t>
            </w:r>
            <w:r w:rsidR="00CF7F83" w:rsidRPr="00751A40">
              <w:rPr>
                <w:spacing w:val="-4"/>
                <w:sz w:val="16"/>
                <w:szCs w:val="16"/>
              </w:rPr>
              <w:t>8</w:t>
            </w:r>
          </w:p>
        </w:tc>
        <w:tc>
          <w:tcPr>
            <w:tcW w:w="42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-</w:t>
            </w:r>
          </w:p>
        </w:tc>
        <w:tc>
          <w:tcPr>
            <w:tcW w:w="386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-</w:t>
            </w:r>
          </w:p>
        </w:tc>
        <w:tc>
          <w:tcPr>
            <w:tcW w:w="37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-</w:t>
            </w:r>
          </w:p>
        </w:tc>
        <w:tc>
          <w:tcPr>
            <w:tcW w:w="313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-</w:t>
            </w:r>
          </w:p>
        </w:tc>
        <w:tc>
          <w:tcPr>
            <w:tcW w:w="40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-</w:t>
            </w:r>
          </w:p>
        </w:tc>
        <w:tc>
          <w:tcPr>
            <w:tcW w:w="403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-</w:t>
            </w:r>
          </w:p>
        </w:tc>
        <w:tc>
          <w:tcPr>
            <w:tcW w:w="40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-</w:t>
            </w:r>
          </w:p>
        </w:tc>
        <w:tc>
          <w:tcPr>
            <w:tcW w:w="403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-</w:t>
            </w:r>
          </w:p>
        </w:tc>
        <w:tc>
          <w:tcPr>
            <w:tcW w:w="40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-</w:t>
            </w:r>
          </w:p>
        </w:tc>
        <w:tc>
          <w:tcPr>
            <w:tcW w:w="402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-</w:t>
            </w:r>
          </w:p>
        </w:tc>
      </w:tr>
      <w:tr w:rsidR="005D63C7" w:rsidRPr="00751A40" w:rsidTr="00751A40">
        <w:trPr>
          <w:trHeight w:val="110"/>
        </w:trPr>
        <w:tc>
          <w:tcPr>
            <w:tcW w:w="683" w:type="pct"/>
            <w:vAlign w:val="center"/>
            <w:hideMark/>
          </w:tcPr>
          <w:p w:rsidR="005D63C7" w:rsidRPr="00751A40" w:rsidRDefault="00AD7099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both"/>
              <w:textAlignment w:val="baseline"/>
              <w:rPr>
                <w:spacing w:val="-4"/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п</w:t>
            </w:r>
            <w:r w:rsidR="005D63C7" w:rsidRPr="00751A40">
              <w:rPr>
                <w:spacing w:val="-4"/>
                <w:sz w:val="14"/>
                <w:szCs w:val="14"/>
              </w:rPr>
              <w:t>одпрограмма  «Развитие и модернизация электроэнергетики»</w:t>
            </w:r>
          </w:p>
        </w:tc>
        <w:tc>
          <w:tcPr>
            <w:tcW w:w="419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5 759,8</w:t>
            </w:r>
          </w:p>
        </w:tc>
        <w:tc>
          <w:tcPr>
            <w:tcW w:w="42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8 825/</w:t>
            </w:r>
          </w:p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11 185,5</w:t>
            </w:r>
          </w:p>
        </w:tc>
        <w:tc>
          <w:tcPr>
            <w:tcW w:w="386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11 185,5</w:t>
            </w:r>
          </w:p>
        </w:tc>
        <w:tc>
          <w:tcPr>
            <w:tcW w:w="37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11 185,5</w:t>
            </w:r>
          </w:p>
        </w:tc>
        <w:tc>
          <w:tcPr>
            <w:tcW w:w="313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100,0</w:t>
            </w:r>
          </w:p>
        </w:tc>
        <w:tc>
          <w:tcPr>
            <w:tcW w:w="40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9 523,6/</w:t>
            </w:r>
            <w:r w:rsidRPr="00751A40">
              <w:rPr>
                <w:spacing w:val="-4"/>
                <w:sz w:val="16"/>
                <w:szCs w:val="16"/>
              </w:rPr>
              <w:br/>
              <w:t>9 523,6</w:t>
            </w:r>
          </w:p>
        </w:tc>
        <w:tc>
          <w:tcPr>
            <w:tcW w:w="403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  <w:lang w:val="en-US"/>
              </w:rPr>
            </w:pPr>
            <w:r w:rsidRPr="00751A40">
              <w:rPr>
                <w:spacing w:val="-4"/>
                <w:sz w:val="16"/>
                <w:szCs w:val="16"/>
              </w:rPr>
              <w:t>1 218,1/</w:t>
            </w:r>
            <w:r w:rsidRPr="00751A40">
              <w:rPr>
                <w:spacing w:val="-4"/>
                <w:sz w:val="16"/>
                <w:szCs w:val="16"/>
              </w:rPr>
              <w:br/>
              <w:t>1 218,1</w:t>
            </w:r>
          </w:p>
        </w:tc>
        <w:tc>
          <w:tcPr>
            <w:tcW w:w="403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-/</w:t>
            </w:r>
          </w:p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1 218,1</w:t>
            </w:r>
          </w:p>
        </w:tc>
        <w:tc>
          <w:tcPr>
            <w:tcW w:w="402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100</w:t>
            </w:r>
          </w:p>
        </w:tc>
      </w:tr>
      <w:tr w:rsidR="005D63C7" w:rsidRPr="00751A40" w:rsidTr="00751A40">
        <w:trPr>
          <w:trHeight w:val="70"/>
        </w:trPr>
        <w:tc>
          <w:tcPr>
            <w:tcW w:w="683" w:type="pct"/>
            <w:vAlign w:val="center"/>
            <w:hideMark/>
          </w:tcPr>
          <w:p w:rsidR="005D63C7" w:rsidRPr="00751A40" w:rsidRDefault="00AD7099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both"/>
              <w:textAlignment w:val="baseline"/>
              <w:rPr>
                <w:spacing w:val="-4"/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п</w:t>
            </w:r>
            <w:r w:rsidR="005D63C7" w:rsidRPr="00751A40">
              <w:rPr>
                <w:spacing w:val="-4"/>
                <w:sz w:val="14"/>
                <w:szCs w:val="14"/>
              </w:rPr>
              <w:t>одпрограмма  «Реструктуризация и развитие угольной и торфяной промышленности»</w:t>
            </w:r>
          </w:p>
        </w:tc>
        <w:tc>
          <w:tcPr>
            <w:tcW w:w="419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2 846,4</w:t>
            </w:r>
          </w:p>
        </w:tc>
        <w:tc>
          <w:tcPr>
            <w:tcW w:w="42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4 527,4/</w:t>
            </w:r>
          </w:p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4 523,1</w:t>
            </w:r>
          </w:p>
        </w:tc>
        <w:tc>
          <w:tcPr>
            <w:tcW w:w="386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4 523,1</w:t>
            </w:r>
          </w:p>
        </w:tc>
        <w:tc>
          <w:tcPr>
            <w:tcW w:w="37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3 456,6</w:t>
            </w:r>
          </w:p>
        </w:tc>
        <w:tc>
          <w:tcPr>
            <w:tcW w:w="313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76,4</w:t>
            </w:r>
          </w:p>
        </w:tc>
        <w:tc>
          <w:tcPr>
            <w:tcW w:w="40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4 469,8/</w:t>
            </w:r>
            <w:r w:rsidRPr="00751A40">
              <w:rPr>
                <w:spacing w:val="-4"/>
                <w:sz w:val="16"/>
                <w:szCs w:val="16"/>
              </w:rPr>
              <w:br/>
              <w:t>4 469,6</w:t>
            </w:r>
          </w:p>
        </w:tc>
        <w:tc>
          <w:tcPr>
            <w:tcW w:w="403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-0,7</w:t>
            </w:r>
          </w:p>
        </w:tc>
        <w:tc>
          <w:tcPr>
            <w:tcW w:w="40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  <w:lang w:val="en-US"/>
              </w:rPr>
            </w:pPr>
            <w:r w:rsidRPr="00751A40">
              <w:rPr>
                <w:spacing w:val="-4"/>
                <w:sz w:val="16"/>
                <w:szCs w:val="16"/>
              </w:rPr>
              <w:t>4 417,8/</w:t>
            </w:r>
            <w:r w:rsidRPr="00751A40">
              <w:rPr>
                <w:spacing w:val="-4"/>
                <w:sz w:val="16"/>
                <w:szCs w:val="16"/>
              </w:rPr>
              <w:br/>
              <w:t>4 416,9</w:t>
            </w:r>
          </w:p>
        </w:tc>
        <w:tc>
          <w:tcPr>
            <w:tcW w:w="403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-0,02</w:t>
            </w:r>
          </w:p>
        </w:tc>
        <w:tc>
          <w:tcPr>
            <w:tcW w:w="40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3 893,8/</w:t>
            </w:r>
          </w:p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4 421,6</w:t>
            </w:r>
          </w:p>
        </w:tc>
        <w:tc>
          <w:tcPr>
            <w:tcW w:w="402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13,6</w:t>
            </w:r>
          </w:p>
        </w:tc>
      </w:tr>
      <w:tr w:rsidR="005D63C7" w:rsidRPr="00751A40" w:rsidTr="00751A40">
        <w:trPr>
          <w:trHeight w:val="275"/>
        </w:trPr>
        <w:tc>
          <w:tcPr>
            <w:tcW w:w="683" w:type="pct"/>
            <w:vAlign w:val="center"/>
            <w:hideMark/>
          </w:tcPr>
          <w:p w:rsidR="005D63C7" w:rsidRPr="00751A40" w:rsidRDefault="00AD7099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both"/>
              <w:textAlignment w:val="baseline"/>
              <w:rPr>
                <w:spacing w:val="-4"/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п</w:t>
            </w:r>
            <w:r w:rsidR="005D63C7" w:rsidRPr="00751A40">
              <w:rPr>
                <w:spacing w:val="-4"/>
                <w:sz w:val="14"/>
                <w:szCs w:val="14"/>
              </w:rPr>
              <w:t>одпрограмма  «Обеспечение реализации государственной программы Российской Федерации «Развитие энергетики»</w:t>
            </w:r>
          </w:p>
        </w:tc>
        <w:tc>
          <w:tcPr>
            <w:tcW w:w="419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2 534,</w:t>
            </w:r>
            <w:r w:rsidR="00CF7F83" w:rsidRPr="00751A40">
              <w:rPr>
                <w:spacing w:val="-4"/>
                <w:sz w:val="16"/>
                <w:szCs w:val="16"/>
              </w:rPr>
              <w:t>4</w:t>
            </w:r>
          </w:p>
        </w:tc>
        <w:tc>
          <w:tcPr>
            <w:tcW w:w="42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2 604,8/</w:t>
            </w:r>
          </w:p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2 892,9</w:t>
            </w:r>
          </w:p>
        </w:tc>
        <w:tc>
          <w:tcPr>
            <w:tcW w:w="386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2 892,9</w:t>
            </w:r>
          </w:p>
        </w:tc>
        <w:tc>
          <w:tcPr>
            <w:tcW w:w="37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1 368,7</w:t>
            </w:r>
          </w:p>
        </w:tc>
        <w:tc>
          <w:tcPr>
            <w:tcW w:w="313" w:type="pct"/>
            <w:shd w:val="clear" w:color="auto" w:fill="FFFFFF"/>
            <w:noWrap/>
            <w:vAlign w:val="center"/>
            <w:hideMark/>
          </w:tcPr>
          <w:p w:rsidR="005D63C7" w:rsidRPr="00751A40" w:rsidRDefault="000A285D" w:rsidP="00751A40">
            <w:pPr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47,3</w:t>
            </w:r>
          </w:p>
        </w:tc>
        <w:tc>
          <w:tcPr>
            <w:tcW w:w="40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2 645,3/</w:t>
            </w:r>
            <w:r w:rsidRPr="00751A40">
              <w:rPr>
                <w:spacing w:val="-4"/>
                <w:sz w:val="16"/>
                <w:szCs w:val="16"/>
              </w:rPr>
              <w:br/>
              <w:t>3 500,7</w:t>
            </w:r>
          </w:p>
        </w:tc>
        <w:tc>
          <w:tcPr>
            <w:tcW w:w="403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32,3</w:t>
            </w:r>
          </w:p>
        </w:tc>
        <w:tc>
          <w:tcPr>
            <w:tcW w:w="40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2 688,5/</w:t>
            </w:r>
            <w:r w:rsidRPr="00751A40">
              <w:rPr>
                <w:spacing w:val="-4"/>
                <w:sz w:val="16"/>
                <w:szCs w:val="16"/>
              </w:rPr>
              <w:br/>
              <w:t>3 189,6</w:t>
            </w:r>
          </w:p>
        </w:tc>
        <w:tc>
          <w:tcPr>
            <w:tcW w:w="403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18,6</w:t>
            </w:r>
          </w:p>
        </w:tc>
        <w:tc>
          <w:tcPr>
            <w:tcW w:w="40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2 695,0/</w:t>
            </w:r>
          </w:p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2 752,3</w:t>
            </w:r>
          </w:p>
        </w:tc>
        <w:tc>
          <w:tcPr>
            <w:tcW w:w="402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2,1</w:t>
            </w:r>
          </w:p>
        </w:tc>
      </w:tr>
      <w:tr w:rsidR="005D63C7" w:rsidRPr="00751A40" w:rsidTr="00751A40">
        <w:trPr>
          <w:trHeight w:val="275"/>
        </w:trPr>
        <w:tc>
          <w:tcPr>
            <w:tcW w:w="683" w:type="pct"/>
            <w:vAlign w:val="center"/>
            <w:hideMark/>
          </w:tcPr>
          <w:p w:rsidR="005D63C7" w:rsidRPr="00751A40" w:rsidRDefault="00AD7099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both"/>
              <w:textAlignment w:val="baseline"/>
              <w:rPr>
                <w:spacing w:val="-4"/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п</w:t>
            </w:r>
            <w:r w:rsidR="005D63C7" w:rsidRPr="00751A40">
              <w:rPr>
                <w:spacing w:val="-4"/>
                <w:sz w:val="14"/>
                <w:szCs w:val="14"/>
              </w:rPr>
              <w:t>одпрограмма «Развитие рынка газомоторного топлива»</w:t>
            </w:r>
          </w:p>
        </w:tc>
        <w:tc>
          <w:tcPr>
            <w:tcW w:w="419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-</w:t>
            </w:r>
          </w:p>
        </w:tc>
        <w:tc>
          <w:tcPr>
            <w:tcW w:w="42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-</w:t>
            </w:r>
          </w:p>
        </w:tc>
        <w:tc>
          <w:tcPr>
            <w:tcW w:w="386" w:type="pct"/>
            <w:shd w:val="clear" w:color="auto" w:fill="FFFFFF"/>
            <w:noWrap/>
            <w:vAlign w:val="center"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-</w:t>
            </w:r>
          </w:p>
        </w:tc>
        <w:tc>
          <w:tcPr>
            <w:tcW w:w="370" w:type="pct"/>
            <w:shd w:val="clear" w:color="auto" w:fill="FFFFFF"/>
            <w:noWrap/>
            <w:vAlign w:val="center"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-</w:t>
            </w:r>
          </w:p>
        </w:tc>
        <w:tc>
          <w:tcPr>
            <w:tcW w:w="313" w:type="pct"/>
            <w:shd w:val="clear" w:color="auto" w:fill="FFFFFF"/>
            <w:noWrap/>
            <w:vAlign w:val="center"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-</w:t>
            </w:r>
          </w:p>
        </w:tc>
        <w:tc>
          <w:tcPr>
            <w:tcW w:w="40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-/4 980</w:t>
            </w:r>
          </w:p>
        </w:tc>
        <w:tc>
          <w:tcPr>
            <w:tcW w:w="403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100</w:t>
            </w:r>
          </w:p>
        </w:tc>
        <w:tc>
          <w:tcPr>
            <w:tcW w:w="40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-/4 980</w:t>
            </w:r>
          </w:p>
        </w:tc>
        <w:tc>
          <w:tcPr>
            <w:tcW w:w="403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100</w:t>
            </w:r>
          </w:p>
        </w:tc>
        <w:tc>
          <w:tcPr>
            <w:tcW w:w="400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-/4 980</w:t>
            </w:r>
          </w:p>
        </w:tc>
        <w:tc>
          <w:tcPr>
            <w:tcW w:w="402" w:type="pct"/>
            <w:shd w:val="clear" w:color="auto" w:fill="FFFFFF"/>
            <w:noWrap/>
            <w:vAlign w:val="center"/>
            <w:hideMark/>
          </w:tcPr>
          <w:p w:rsidR="005D63C7" w:rsidRPr="00751A40" w:rsidRDefault="005D63C7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center"/>
              <w:textAlignment w:val="baseline"/>
              <w:rPr>
                <w:spacing w:val="-4"/>
                <w:sz w:val="16"/>
                <w:szCs w:val="16"/>
              </w:rPr>
            </w:pPr>
            <w:r w:rsidRPr="00751A40">
              <w:rPr>
                <w:spacing w:val="-4"/>
                <w:sz w:val="16"/>
                <w:szCs w:val="16"/>
              </w:rPr>
              <w:t>100</w:t>
            </w:r>
          </w:p>
        </w:tc>
      </w:tr>
    </w:tbl>
    <w:p w:rsidR="005D63C7" w:rsidRPr="00F04BA5" w:rsidRDefault="005D63C7" w:rsidP="005D63C7">
      <w:pPr>
        <w:widowControl w:val="0"/>
        <w:overflowPunct w:val="0"/>
        <w:autoSpaceDE w:val="0"/>
        <w:autoSpaceDN w:val="0"/>
        <w:adjustRightInd w:val="0"/>
        <w:spacing w:line="312" w:lineRule="auto"/>
        <w:ind w:right="-2" w:firstLine="709"/>
        <w:contextualSpacing/>
        <w:jc w:val="both"/>
        <w:textAlignment w:val="baseline"/>
      </w:pPr>
      <w:r w:rsidRPr="00F04BA5">
        <w:t>В</w:t>
      </w:r>
      <w:r w:rsidR="009003A4">
        <w:t xml:space="preserve"> ГП-30</w:t>
      </w:r>
      <w:r w:rsidRPr="00F04BA5">
        <w:t xml:space="preserve"> утверждены 7 подпрограмм, по 3 подпрограммам срок реализации истек в 2018 году. </w:t>
      </w:r>
    </w:p>
    <w:p w:rsidR="005D63C7" w:rsidRPr="00CF7F83" w:rsidRDefault="005D63C7" w:rsidP="005D63C7">
      <w:pPr>
        <w:widowControl w:val="0"/>
        <w:overflowPunct w:val="0"/>
        <w:autoSpaceDE w:val="0"/>
        <w:autoSpaceDN w:val="0"/>
        <w:adjustRightInd w:val="0"/>
        <w:spacing w:line="312" w:lineRule="auto"/>
        <w:ind w:right="-2" w:firstLine="709"/>
        <w:jc w:val="both"/>
        <w:textAlignment w:val="baseline"/>
        <w:rPr>
          <w:b/>
        </w:rPr>
      </w:pPr>
      <w:r w:rsidRPr="00F04BA5">
        <w:t xml:space="preserve">По состоянию </w:t>
      </w:r>
      <w:r w:rsidRPr="00CF7F83">
        <w:rPr>
          <w:b/>
        </w:rPr>
        <w:t>на 1 сентября 2019 года при увеличении</w:t>
      </w:r>
      <w:r w:rsidRPr="00F04BA5">
        <w:t xml:space="preserve"> бюджетных ассигнований по </w:t>
      </w:r>
      <w:r w:rsidR="000C46FB">
        <w:t>ГП-30</w:t>
      </w:r>
      <w:r w:rsidRPr="00F04BA5">
        <w:t xml:space="preserve"> сводной бюджетной росписи на 2 644,2  млн. рублей, или на  16,6 %</w:t>
      </w:r>
      <w:r w:rsidR="00E61AE4">
        <w:t>,</w:t>
      </w:r>
      <w:r w:rsidRPr="00F04BA5">
        <w:t xml:space="preserve">  по сравнению с Федеральным законом № 459-ФЗ (с учетом изменений), наблюдается </w:t>
      </w:r>
      <w:r w:rsidRPr="00CF7F83">
        <w:rPr>
          <w:b/>
        </w:rPr>
        <w:t>высокий уровень кассового исполнения (86,1</w:t>
      </w:r>
      <w:r w:rsidR="00CF7F83">
        <w:rPr>
          <w:b/>
        </w:rPr>
        <w:t xml:space="preserve"> </w:t>
      </w:r>
      <w:r w:rsidRPr="00CF7F83">
        <w:rPr>
          <w:b/>
        </w:rPr>
        <w:t>%).</w:t>
      </w:r>
    </w:p>
    <w:p w:rsidR="000A285D" w:rsidRDefault="005D63C7" w:rsidP="005D63C7">
      <w:pPr>
        <w:overflowPunct w:val="0"/>
        <w:autoSpaceDE w:val="0"/>
        <w:autoSpaceDN w:val="0"/>
        <w:adjustRightInd w:val="0"/>
        <w:spacing w:line="312" w:lineRule="auto"/>
        <w:ind w:right="-2" w:firstLine="851"/>
        <w:jc w:val="both"/>
        <w:textAlignment w:val="baseline"/>
        <w:rPr>
          <w:rFonts w:eastAsia="Calibri"/>
        </w:rPr>
      </w:pPr>
      <w:r w:rsidRPr="00CF7F83">
        <w:rPr>
          <w:rFonts w:eastAsia="Calibri"/>
          <w:b/>
        </w:rPr>
        <w:t>Законопроектом</w:t>
      </w:r>
      <w:r w:rsidRPr="00F04BA5">
        <w:rPr>
          <w:rFonts w:eastAsia="Calibri"/>
        </w:rPr>
        <w:t xml:space="preserve"> </w:t>
      </w:r>
      <w:r w:rsidRPr="00F04BA5">
        <w:t xml:space="preserve">предусматриваются бюджетные ассигнования федерального бюджета </w:t>
      </w:r>
      <w:r w:rsidRPr="00CF7F83">
        <w:rPr>
          <w:b/>
        </w:rPr>
        <w:t>на реализацию 4 подпрограмм</w:t>
      </w:r>
      <w:r w:rsidRPr="00F04BA5">
        <w:t xml:space="preserve"> </w:t>
      </w:r>
      <w:r w:rsidR="000C46FB">
        <w:t>ГП-30</w:t>
      </w:r>
      <w:r w:rsidRPr="00F04BA5">
        <w:t>: «Развитие и модернизация электроэнергетики», «Реструктуризация и развитие угольной и торфяной промышленности», «Обеспечение реализации государственной программы Российской Федерации «Развитие энергетики» и «Развитие рынка газомоторного топлива</w:t>
      </w:r>
      <w:r>
        <w:t xml:space="preserve">». </w:t>
      </w:r>
      <w:r w:rsidR="000A285D">
        <w:t>Финансирование подпрограммы «Развитие нефтяной и газовой отрасли» законопроектом не предусмотрено.</w:t>
      </w:r>
    </w:p>
    <w:p w:rsidR="005D63C7" w:rsidRDefault="005D63C7" w:rsidP="005D63C7">
      <w:pPr>
        <w:overflowPunct w:val="0"/>
        <w:autoSpaceDE w:val="0"/>
        <w:autoSpaceDN w:val="0"/>
        <w:adjustRightInd w:val="0"/>
        <w:spacing w:line="312" w:lineRule="auto"/>
        <w:ind w:right="-2" w:firstLine="709"/>
        <w:jc w:val="both"/>
        <w:textAlignment w:val="baseline"/>
      </w:pPr>
      <w:r>
        <w:t xml:space="preserve">В рамках </w:t>
      </w:r>
      <w:r w:rsidR="000C46FB">
        <w:t>ГП-30</w:t>
      </w:r>
      <w:r>
        <w:t xml:space="preserve"> предусмотрена реализация</w:t>
      </w:r>
      <w:r w:rsidR="00CF7F83">
        <w:t xml:space="preserve"> </w:t>
      </w:r>
      <w:r w:rsidR="00CF7F83" w:rsidRPr="00CF7F83">
        <w:rPr>
          <w:b/>
        </w:rPr>
        <w:t>двух</w:t>
      </w:r>
      <w:r w:rsidRPr="00CF7F83">
        <w:rPr>
          <w:b/>
        </w:rPr>
        <w:t xml:space="preserve"> федеральных проектов</w:t>
      </w:r>
      <w:r>
        <w:t xml:space="preserve"> «Гарантированное обеспечение доступной электроэнергией» и «Гарантированное обеспечение транспорта нефти, нефтепродуктов, газа и газового конденсата», </w:t>
      </w:r>
      <w:r w:rsidR="003B1812">
        <w:t>предоставление</w:t>
      </w:r>
      <w:r w:rsidRPr="00E1312A">
        <w:t xml:space="preserve"> бюджетных ассигнований на которые в период 2020</w:t>
      </w:r>
      <w:r w:rsidR="00E61AE4">
        <w:t xml:space="preserve"> </w:t>
      </w:r>
      <w:r w:rsidR="00E61AE4">
        <w:rPr>
          <w:rFonts w:eastAsia="Calibri"/>
          <w:lang w:eastAsia="en-US"/>
        </w:rPr>
        <w:t xml:space="preserve">– </w:t>
      </w:r>
      <w:r w:rsidRPr="00E1312A">
        <w:t>2022 годы не предусмотрено.</w:t>
      </w:r>
      <w:r>
        <w:t xml:space="preserve"> </w:t>
      </w:r>
    </w:p>
    <w:p w:rsidR="005D63C7" w:rsidRDefault="005D63C7" w:rsidP="005D63C7">
      <w:pPr>
        <w:widowControl w:val="0"/>
        <w:overflowPunct w:val="0"/>
        <w:autoSpaceDE w:val="0"/>
        <w:autoSpaceDN w:val="0"/>
        <w:adjustRightInd w:val="0"/>
        <w:spacing w:line="312" w:lineRule="auto"/>
        <w:ind w:right="-2" w:firstLine="709"/>
        <w:contextualSpacing/>
        <w:jc w:val="both"/>
        <w:textAlignment w:val="baseline"/>
      </w:pPr>
      <w:r>
        <w:t>Объем финансового обеспечения реализации</w:t>
      </w:r>
      <w:r w:rsidR="009003A4">
        <w:t xml:space="preserve"> ГП-30</w:t>
      </w:r>
      <w:r>
        <w:t xml:space="preserve"> за счет средств федерального бюджета в проекте паспорта</w:t>
      </w:r>
      <w:r w:rsidR="009003A4">
        <w:t xml:space="preserve"> ГП-30</w:t>
      </w:r>
      <w:r>
        <w:t xml:space="preserve"> </w:t>
      </w:r>
      <w:r w:rsidRPr="000A285D">
        <w:rPr>
          <w:b/>
        </w:rPr>
        <w:t>соответствует</w:t>
      </w:r>
      <w:r>
        <w:rPr>
          <w:i/>
        </w:rPr>
        <w:t xml:space="preserve"> </w:t>
      </w:r>
      <w:r>
        <w:t>бюджетным ассигнованиям, предусмотренным на реализацию</w:t>
      </w:r>
      <w:r w:rsidR="009003A4">
        <w:t xml:space="preserve"> ГП-30</w:t>
      </w:r>
      <w:r>
        <w:t xml:space="preserve"> в </w:t>
      </w:r>
      <w:r w:rsidR="00CF7F83">
        <w:t>з</w:t>
      </w:r>
      <w:r>
        <w:t>аконопроекте</w:t>
      </w:r>
      <w:r w:rsidR="00CF7F83">
        <w:t xml:space="preserve"> и составляет</w:t>
      </w:r>
      <w:r>
        <w:t xml:space="preserve"> в 2020 году –</w:t>
      </w:r>
      <w:r w:rsidR="00CF7F83">
        <w:t xml:space="preserve"> </w:t>
      </w:r>
      <w:r>
        <w:t xml:space="preserve">22 473,8  млн. рублей, в 2021 году – 13 804,6 млн. рублей, в 2022 году – 13 372,0 млн. </w:t>
      </w:r>
      <w:r>
        <w:lastRenderedPageBreak/>
        <w:t>рублей.</w:t>
      </w:r>
    </w:p>
    <w:p w:rsidR="005D63C7" w:rsidRPr="00F04BA5" w:rsidRDefault="005D63C7" w:rsidP="005D63C7">
      <w:pPr>
        <w:spacing w:line="312" w:lineRule="auto"/>
        <w:ind w:right="-2" w:firstLine="709"/>
        <w:jc w:val="both"/>
      </w:pPr>
      <w:r>
        <w:t>В законопроекте финансовое обеспечение</w:t>
      </w:r>
      <w:r w:rsidR="009003A4">
        <w:t xml:space="preserve"> ГП-30</w:t>
      </w:r>
      <w:r>
        <w:t xml:space="preserve"> за счет средств федерального </w:t>
      </w:r>
      <w:r w:rsidRPr="00F04BA5">
        <w:t xml:space="preserve">бюджета </w:t>
      </w:r>
      <w:r w:rsidRPr="00CF7F83">
        <w:rPr>
          <w:b/>
        </w:rPr>
        <w:t>увеличивается по сравнению</w:t>
      </w:r>
      <w:r w:rsidRPr="00F04BA5">
        <w:t xml:space="preserve"> с предусмотренным </w:t>
      </w:r>
      <w:r w:rsidRPr="00CF7F83">
        <w:rPr>
          <w:b/>
        </w:rPr>
        <w:t>утвержденной</w:t>
      </w:r>
      <w:r w:rsidR="009003A4">
        <w:rPr>
          <w:b/>
        </w:rPr>
        <w:t xml:space="preserve"> ГП-30</w:t>
      </w:r>
      <w:r w:rsidRPr="00F04BA5">
        <w:t xml:space="preserve"> в 2020 году  на 35,1 %, в 2021 год</w:t>
      </w:r>
      <w:r w:rsidR="003B1812">
        <w:t>у – на 65,8 %, в 2022 году – в 2 раза</w:t>
      </w:r>
      <w:r w:rsidRPr="00F04BA5">
        <w:t xml:space="preserve">.  </w:t>
      </w:r>
    </w:p>
    <w:p w:rsidR="005D63C7" w:rsidRPr="00F04BA5" w:rsidRDefault="005D63C7" w:rsidP="005D63C7">
      <w:pPr>
        <w:widowControl w:val="0"/>
        <w:spacing w:line="312" w:lineRule="auto"/>
        <w:ind w:right="-2" w:firstLine="709"/>
        <w:contextualSpacing/>
        <w:jc w:val="both"/>
        <w:rPr>
          <w:rFonts w:eastAsia="Calibri"/>
          <w:lang w:eastAsia="en-US"/>
        </w:rPr>
      </w:pPr>
      <w:r w:rsidRPr="00F04BA5">
        <w:rPr>
          <w:rFonts w:eastAsia="Calibri"/>
          <w:lang w:eastAsia="en-US"/>
        </w:rPr>
        <w:t>Сведения о финансовом обеспечении</w:t>
      </w:r>
      <w:r w:rsidR="009003A4">
        <w:rPr>
          <w:rFonts w:eastAsia="Calibri"/>
          <w:lang w:eastAsia="en-US"/>
        </w:rPr>
        <w:t xml:space="preserve"> ГП-30</w:t>
      </w:r>
      <w:r w:rsidRPr="00F04BA5">
        <w:rPr>
          <w:rFonts w:eastAsia="Calibri"/>
          <w:lang w:eastAsia="en-US"/>
        </w:rPr>
        <w:t xml:space="preserve"> в 2018</w:t>
      </w:r>
      <w:r w:rsidR="00E61AE4">
        <w:rPr>
          <w:rFonts w:eastAsia="Calibri"/>
          <w:lang w:eastAsia="en-US"/>
        </w:rPr>
        <w:t xml:space="preserve"> – </w:t>
      </w:r>
      <w:r w:rsidRPr="00F04BA5">
        <w:rPr>
          <w:rFonts w:eastAsia="Calibri"/>
          <w:lang w:eastAsia="en-US"/>
        </w:rPr>
        <w:t xml:space="preserve">2022 годах за счет средств федерального бюджета по подпрограммам представлены в </w:t>
      </w:r>
      <w:r w:rsidR="00E61AE4">
        <w:rPr>
          <w:rFonts w:eastAsia="Calibri"/>
          <w:lang w:eastAsia="en-US"/>
        </w:rPr>
        <w:t>п</w:t>
      </w:r>
      <w:r w:rsidR="00CF7F83">
        <w:rPr>
          <w:rFonts w:eastAsia="Calibri"/>
          <w:lang w:eastAsia="en-US"/>
        </w:rPr>
        <w:t>риложении № 4</w:t>
      </w:r>
      <w:r w:rsidRPr="00F04BA5">
        <w:rPr>
          <w:rFonts w:eastAsia="Calibri"/>
          <w:lang w:eastAsia="en-US"/>
        </w:rPr>
        <w:t xml:space="preserve"> к Заключению</w:t>
      </w:r>
      <w:r w:rsidR="00E61AE4">
        <w:rPr>
          <w:rFonts w:eastAsia="Calibri"/>
          <w:lang w:eastAsia="en-US"/>
        </w:rPr>
        <w:t>.</w:t>
      </w:r>
    </w:p>
    <w:p w:rsidR="005D63C7" w:rsidRPr="00F04BA5" w:rsidRDefault="005D63C7" w:rsidP="005D63C7">
      <w:pPr>
        <w:widowControl w:val="0"/>
        <w:overflowPunct w:val="0"/>
        <w:autoSpaceDE w:val="0"/>
        <w:autoSpaceDN w:val="0"/>
        <w:adjustRightInd w:val="0"/>
        <w:spacing w:line="312" w:lineRule="auto"/>
        <w:ind w:right="-2" w:firstLine="709"/>
        <w:contextualSpacing/>
        <w:jc w:val="both"/>
      </w:pPr>
      <w:r w:rsidRPr="00CF7F83">
        <w:rPr>
          <w:rFonts w:eastAsia="Calibri"/>
          <w:b/>
        </w:rPr>
        <w:t>При низком кассовом исполнении</w:t>
      </w:r>
      <w:r w:rsidRPr="00F04BA5">
        <w:rPr>
          <w:rFonts w:eastAsia="Calibri"/>
        </w:rPr>
        <w:t xml:space="preserve"> расходов федерального бюджета </w:t>
      </w:r>
      <w:r w:rsidRPr="00CF7F83">
        <w:rPr>
          <w:rFonts w:eastAsia="Calibri"/>
          <w:b/>
        </w:rPr>
        <w:t>за 2018 год</w:t>
      </w:r>
      <w:r w:rsidRPr="00F04BA5">
        <w:rPr>
          <w:rFonts w:eastAsia="Calibri"/>
        </w:rPr>
        <w:t xml:space="preserve"> по подпрограмме 1 «Энергосбережение и повышение энергетической эффективности» - </w:t>
      </w:r>
      <w:r w:rsidRPr="00F04BA5">
        <w:rPr>
          <w:rFonts w:eastAsia="Calibri"/>
        </w:rPr>
        <w:br/>
        <w:t>28,8 млн. рублей (</w:t>
      </w:r>
      <w:r w:rsidR="003B1812">
        <w:rPr>
          <w:rFonts w:eastAsia="Calibri"/>
        </w:rPr>
        <w:t xml:space="preserve">47,8 </w:t>
      </w:r>
      <w:r w:rsidRPr="00F04BA5">
        <w:rPr>
          <w:rFonts w:eastAsia="Calibri"/>
        </w:rPr>
        <w:t xml:space="preserve">%), </w:t>
      </w:r>
      <w:r w:rsidRPr="00F04BA5">
        <w:rPr>
          <w:color w:val="000000"/>
        </w:rPr>
        <w:t>Федеральным законом № 459-ФЗ</w:t>
      </w:r>
      <w:r w:rsidRPr="00F04BA5">
        <w:rPr>
          <w:rFonts w:eastAsia="Calibri"/>
        </w:rPr>
        <w:t xml:space="preserve">, а также </w:t>
      </w:r>
      <w:r w:rsidR="00E61AE4">
        <w:rPr>
          <w:rFonts w:eastAsia="Calibri"/>
        </w:rPr>
        <w:t>з</w:t>
      </w:r>
      <w:r w:rsidRPr="00F04BA5">
        <w:t xml:space="preserve">аконопроектом бюджетные ассигнования по данной подпрограмме не предусмотрены в связи с окончанием срока реализации подпрограммы в 2018 году. </w:t>
      </w:r>
    </w:p>
    <w:p w:rsidR="005D63C7" w:rsidRPr="00F04BA5" w:rsidRDefault="003B1812" w:rsidP="005D63C7">
      <w:pPr>
        <w:spacing w:line="312" w:lineRule="auto"/>
        <w:ind w:right="-2" w:firstLine="709"/>
        <w:jc w:val="both"/>
        <w:rPr>
          <w:rFonts w:eastAsia="Calibri"/>
          <w:i/>
          <w:lang w:eastAsia="en-US"/>
        </w:rPr>
      </w:pPr>
      <w:r w:rsidRPr="00E61AE4">
        <w:rPr>
          <w:rFonts w:eastAsia="Calibri"/>
          <w:b/>
          <w:lang w:eastAsia="en-US"/>
        </w:rPr>
        <w:t>30.</w:t>
      </w:r>
      <w:r w:rsidR="005D63C7" w:rsidRPr="00E61AE4">
        <w:rPr>
          <w:rFonts w:eastAsia="Calibri"/>
          <w:b/>
          <w:lang w:eastAsia="en-US"/>
        </w:rPr>
        <w:t>5.</w:t>
      </w:r>
      <w:r w:rsidR="005D63C7">
        <w:rPr>
          <w:rFonts w:eastAsia="Calibri"/>
          <w:lang w:eastAsia="en-US"/>
        </w:rPr>
        <w:t xml:space="preserve"> </w:t>
      </w:r>
      <w:r w:rsidR="005D63C7" w:rsidRPr="00F04BA5">
        <w:rPr>
          <w:rFonts w:eastAsia="Calibri"/>
          <w:lang w:eastAsia="en-US"/>
        </w:rPr>
        <w:t>Анализ состава показателей (индикаторов) на уровне госпрограммы и подпрограмм</w:t>
      </w:r>
      <w:r w:rsidR="005D63C7" w:rsidRPr="00F04BA5">
        <w:t xml:space="preserve"> проекта паспорта</w:t>
      </w:r>
      <w:r w:rsidR="009003A4">
        <w:t xml:space="preserve"> ГП-30</w:t>
      </w:r>
      <w:r w:rsidR="005D63C7" w:rsidRPr="00F04BA5">
        <w:t xml:space="preserve"> </w:t>
      </w:r>
      <w:r w:rsidR="005D63C7">
        <w:t>показал следующее.</w:t>
      </w:r>
    </w:p>
    <w:p w:rsidR="005D63C7" w:rsidRDefault="003B1812" w:rsidP="005D63C7">
      <w:pPr>
        <w:overflowPunct w:val="0"/>
        <w:autoSpaceDE w:val="0"/>
        <w:autoSpaceDN w:val="0"/>
        <w:adjustRightInd w:val="0"/>
        <w:spacing w:line="312" w:lineRule="auto"/>
        <w:ind w:right="-2" w:firstLine="709"/>
        <w:jc w:val="both"/>
        <w:textAlignment w:val="baseline"/>
        <w:rPr>
          <w:rFonts w:eastAsia="Calibri"/>
          <w:lang w:eastAsia="en-US"/>
        </w:rPr>
      </w:pPr>
      <w:r w:rsidRPr="00E61AE4">
        <w:rPr>
          <w:rFonts w:eastAsia="Calibri"/>
          <w:b/>
          <w:lang w:eastAsia="en-US"/>
        </w:rPr>
        <w:t>30.</w:t>
      </w:r>
      <w:r w:rsidR="005D63C7" w:rsidRPr="00E61AE4">
        <w:rPr>
          <w:rFonts w:eastAsia="Calibri"/>
          <w:b/>
          <w:lang w:eastAsia="en-US"/>
        </w:rPr>
        <w:t>5.1.</w:t>
      </w:r>
      <w:r w:rsidR="005D63C7" w:rsidRPr="00FC35C9">
        <w:rPr>
          <w:rFonts w:eastAsia="Calibri"/>
          <w:lang w:eastAsia="en-US"/>
        </w:rPr>
        <w:t xml:space="preserve"> В </w:t>
      </w:r>
      <w:r w:rsidR="005D63C7" w:rsidRPr="00FC35C9">
        <w:t>проекте паспорта по</w:t>
      </w:r>
      <w:r w:rsidR="009003A4">
        <w:t xml:space="preserve"> ГП-30</w:t>
      </w:r>
      <w:r w:rsidR="005D63C7" w:rsidRPr="00FC35C9">
        <w:t xml:space="preserve"> </w:t>
      </w:r>
      <w:r w:rsidR="005D63C7" w:rsidRPr="00FC35C9">
        <w:rPr>
          <w:rFonts w:eastAsia="Calibri"/>
          <w:lang w:eastAsia="en-US"/>
        </w:rPr>
        <w:t>предусматривается 1 целевой показатель (индикатор) на уровне госпрограммы на 2020</w:t>
      </w:r>
      <w:r w:rsidR="00E61AE4">
        <w:rPr>
          <w:rFonts w:eastAsia="Calibri"/>
          <w:lang w:eastAsia="en-US"/>
        </w:rPr>
        <w:t xml:space="preserve"> – </w:t>
      </w:r>
      <w:r w:rsidR="005D63C7" w:rsidRPr="00FC35C9">
        <w:rPr>
          <w:rFonts w:eastAsia="Calibri"/>
          <w:lang w:eastAsia="en-US"/>
        </w:rPr>
        <w:t xml:space="preserve">2022 годы </w:t>
      </w:r>
      <w:r w:rsidR="00E61AE4">
        <w:rPr>
          <w:rFonts w:eastAsia="Calibri"/>
          <w:lang w:eastAsia="en-US"/>
        </w:rPr>
        <w:t xml:space="preserve">и </w:t>
      </w:r>
      <w:r w:rsidR="007C7D6C">
        <w:rPr>
          <w:rFonts w:eastAsia="Calibri"/>
          <w:lang w:eastAsia="en-US"/>
        </w:rPr>
        <w:t>30</w:t>
      </w:r>
      <w:r w:rsidR="005D63C7" w:rsidRPr="00FC35C9">
        <w:rPr>
          <w:rFonts w:eastAsia="Calibri"/>
          <w:lang w:eastAsia="en-US"/>
        </w:rPr>
        <w:t xml:space="preserve"> показател</w:t>
      </w:r>
      <w:r>
        <w:rPr>
          <w:rFonts w:eastAsia="Calibri"/>
          <w:lang w:eastAsia="en-US"/>
        </w:rPr>
        <w:t>ей</w:t>
      </w:r>
      <w:r w:rsidR="005D63C7" w:rsidRPr="00FC35C9">
        <w:rPr>
          <w:rFonts w:eastAsia="Calibri"/>
          <w:lang w:eastAsia="en-US"/>
        </w:rPr>
        <w:t xml:space="preserve"> (индикатор</w:t>
      </w:r>
      <w:r>
        <w:rPr>
          <w:rFonts w:eastAsia="Calibri"/>
          <w:lang w:eastAsia="en-US"/>
        </w:rPr>
        <w:t>ов</w:t>
      </w:r>
      <w:r w:rsidR="005D63C7" w:rsidRPr="00FC35C9">
        <w:rPr>
          <w:rFonts w:eastAsia="Calibri"/>
          <w:lang w:eastAsia="en-US"/>
        </w:rPr>
        <w:t>) на уровне подпрограмм на 2020</w:t>
      </w:r>
      <w:r w:rsidR="00E61AE4">
        <w:rPr>
          <w:rFonts w:eastAsia="Calibri"/>
          <w:lang w:eastAsia="en-US"/>
        </w:rPr>
        <w:t xml:space="preserve"> – </w:t>
      </w:r>
      <w:r w:rsidR="005D63C7" w:rsidRPr="00FC35C9">
        <w:rPr>
          <w:rFonts w:eastAsia="Calibri"/>
          <w:lang w:eastAsia="en-US"/>
        </w:rPr>
        <w:t>2022 годы.</w:t>
      </w:r>
      <w:r w:rsidR="005D63C7">
        <w:rPr>
          <w:rFonts w:eastAsia="Calibri"/>
          <w:lang w:eastAsia="en-US"/>
        </w:rPr>
        <w:t xml:space="preserve">  </w:t>
      </w:r>
    </w:p>
    <w:p w:rsidR="009003A4" w:rsidRPr="00751A40" w:rsidRDefault="009003A4" w:rsidP="00E61AE4">
      <w:pPr>
        <w:overflowPunct w:val="0"/>
        <w:autoSpaceDE w:val="0"/>
        <w:autoSpaceDN w:val="0"/>
        <w:adjustRightInd w:val="0"/>
        <w:spacing w:line="312" w:lineRule="auto"/>
        <w:ind w:right="-2" w:firstLine="709"/>
        <w:jc w:val="both"/>
        <w:textAlignment w:val="baseline"/>
        <w:rPr>
          <w:rFonts w:eastAsia="Calibri"/>
          <w:lang w:eastAsia="en-US"/>
        </w:rPr>
      </w:pPr>
      <w:r w:rsidRPr="00751A40">
        <w:rPr>
          <w:rFonts w:eastAsia="Calibri"/>
          <w:lang w:eastAsia="en-US"/>
        </w:rPr>
        <w:t>Информация о составе и динамике показателей (индикаторов) госп</w:t>
      </w:r>
      <w:r w:rsidR="00AD7099">
        <w:rPr>
          <w:rFonts w:eastAsia="Calibri"/>
          <w:lang w:eastAsia="en-US"/>
        </w:rPr>
        <w:t xml:space="preserve">рограммы представлена в таблице </w:t>
      </w:r>
      <w:r w:rsidRPr="00751A40">
        <w:rPr>
          <w:rFonts w:eastAsia="Calibri"/>
          <w:lang w:eastAsia="en-US"/>
        </w:rPr>
        <w:t xml:space="preserve">1 «Информация о составе и динамике показателей государственных программ Российской Федерации в 2017 – 2022 годах» приложения </w:t>
      </w:r>
      <w:r w:rsidR="006E59C3">
        <w:rPr>
          <w:rFonts w:eastAsia="Calibri"/>
          <w:lang w:eastAsia="en-US"/>
        </w:rPr>
        <w:t>к подразделу 8 Заключения</w:t>
      </w:r>
      <w:r w:rsidRPr="00751A40">
        <w:rPr>
          <w:rFonts w:eastAsia="Calibri"/>
          <w:lang w:eastAsia="en-US"/>
        </w:rPr>
        <w:t>.</w:t>
      </w:r>
    </w:p>
    <w:p w:rsidR="005D63C7" w:rsidRPr="003B1812" w:rsidRDefault="003B1812" w:rsidP="005D63C7">
      <w:pPr>
        <w:spacing w:line="312" w:lineRule="auto"/>
        <w:ind w:right="-2" w:firstLine="709"/>
        <w:jc w:val="both"/>
        <w:rPr>
          <w:b/>
        </w:rPr>
      </w:pPr>
      <w:r w:rsidRPr="00E61AE4">
        <w:rPr>
          <w:rFonts w:eastAsia="Calibri"/>
          <w:b/>
          <w:lang w:eastAsia="en-US"/>
        </w:rPr>
        <w:t>30.</w:t>
      </w:r>
      <w:r w:rsidR="005D63C7" w:rsidRPr="00E61AE4">
        <w:rPr>
          <w:rFonts w:eastAsia="Calibri"/>
          <w:b/>
          <w:lang w:eastAsia="en-US"/>
        </w:rPr>
        <w:t>5.2.</w:t>
      </w:r>
      <w:r w:rsidR="005D63C7">
        <w:t xml:space="preserve"> Согласно данным Сводного </w:t>
      </w:r>
      <w:r w:rsidR="005D63C7" w:rsidRPr="00F04BA5">
        <w:t xml:space="preserve">годового доклада за 2018 год </w:t>
      </w:r>
      <w:r w:rsidR="005D63C7" w:rsidRPr="003B1812">
        <w:rPr>
          <w:b/>
        </w:rPr>
        <w:t>из 7 основных показателей (индикаторов)</w:t>
      </w:r>
      <w:r w:rsidR="009003A4">
        <w:rPr>
          <w:b/>
        </w:rPr>
        <w:t xml:space="preserve"> ГП-30</w:t>
      </w:r>
      <w:r w:rsidR="005D63C7" w:rsidRPr="003B1812">
        <w:rPr>
          <w:b/>
        </w:rPr>
        <w:t xml:space="preserve"> плановые значения были выполнены по 6. </w:t>
      </w:r>
    </w:p>
    <w:p w:rsidR="005D63C7" w:rsidRPr="00F04BA5" w:rsidRDefault="005D63C7" w:rsidP="005D63C7">
      <w:pPr>
        <w:overflowPunct w:val="0"/>
        <w:autoSpaceDE w:val="0"/>
        <w:autoSpaceDN w:val="0"/>
        <w:adjustRightInd w:val="0"/>
        <w:spacing w:line="312" w:lineRule="auto"/>
        <w:ind w:right="-2" w:firstLine="709"/>
        <w:jc w:val="both"/>
        <w:textAlignment w:val="baseline"/>
      </w:pPr>
      <w:r w:rsidRPr="00F04BA5">
        <w:t>Не достигнуто плановое значение основного показателя «Динамика производительности труда в топливно-энергетическом комплексе (к предыдущему году)» (план – 108,2 %, факт – 102,7</w:t>
      </w:r>
      <w:r w:rsidR="00E61AE4">
        <w:t xml:space="preserve"> </w:t>
      </w:r>
      <w:r w:rsidRPr="00F04BA5">
        <w:t xml:space="preserve">%). </w:t>
      </w:r>
    </w:p>
    <w:p w:rsidR="005D63C7" w:rsidRPr="003B1812" w:rsidRDefault="005D63C7" w:rsidP="005D63C7">
      <w:pPr>
        <w:autoSpaceDN w:val="0"/>
        <w:spacing w:line="312" w:lineRule="auto"/>
        <w:ind w:right="-2" w:firstLine="709"/>
        <w:jc w:val="both"/>
        <w:textAlignment w:val="baseline"/>
        <w:rPr>
          <w:b/>
        </w:rPr>
      </w:pPr>
      <w:r w:rsidRPr="00F04BA5">
        <w:t xml:space="preserve">В 2018 году по всем </w:t>
      </w:r>
      <w:r w:rsidRPr="003B1812">
        <w:rPr>
          <w:b/>
        </w:rPr>
        <w:t>68 целевым показателям</w:t>
      </w:r>
      <w:r w:rsidRPr="00F04BA5">
        <w:t xml:space="preserve"> (индикаторам) установлены плановые значения на 2018 год и </w:t>
      </w:r>
      <w:r w:rsidRPr="003B1812">
        <w:rPr>
          <w:b/>
        </w:rPr>
        <w:t>представлены фактические значения</w:t>
      </w:r>
      <w:r w:rsidR="003B1812">
        <w:rPr>
          <w:b/>
        </w:rPr>
        <w:t xml:space="preserve"> (100 %)</w:t>
      </w:r>
      <w:r w:rsidRPr="003B1812">
        <w:rPr>
          <w:b/>
        </w:rPr>
        <w:t xml:space="preserve">. </w:t>
      </w:r>
    </w:p>
    <w:p w:rsidR="005D63C7" w:rsidRPr="00163228" w:rsidRDefault="005D63C7" w:rsidP="005D63C7">
      <w:pPr>
        <w:widowControl w:val="0"/>
        <w:spacing w:line="336" w:lineRule="auto"/>
        <w:ind w:firstLine="720"/>
        <w:jc w:val="both"/>
      </w:pPr>
      <w:r w:rsidRPr="003B1812">
        <w:rPr>
          <w:b/>
        </w:rPr>
        <w:t>Уровень выполнения показателей</w:t>
      </w:r>
      <w:r w:rsidRPr="00903B4A">
        <w:rPr>
          <w:b/>
        </w:rPr>
        <w:t xml:space="preserve"> </w:t>
      </w:r>
      <w:r w:rsidRPr="00903B4A">
        <w:t xml:space="preserve">(индикаторов) ГП-30 и подпрограмм составил 71,2 % (исполнение показателей (индикаторов) на уровне ГП-30 составило </w:t>
      </w:r>
      <w:r w:rsidR="003B1812">
        <w:t>(</w:t>
      </w:r>
      <w:r w:rsidRPr="00903B4A">
        <w:t xml:space="preserve">85,7 %) при уменьшении сводной бюджетной росписью бюджетных ассигнований на 8,1 % по сравнению с утвержденными в </w:t>
      </w:r>
      <w:r w:rsidRPr="00163228">
        <w:t>ГП-30.</w:t>
      </w:r>
    </w:p>
    <w:p w:rsidR="005D63C7" w:rsidRPr="00163228" w:rsidRDefault="005D63C7" w:rsidP="005D63C7">
      <w:pPr>
        <w:autoSpaceDN w:val="0"/>
        <w:spacing w:line="312" w:lineRule="auto"/>
        <w:ind w:right="-2" w:firstLine="709"/>
        <w:jc w:val="both"/>
        <w:textAlignment w:val="baseline"/>
      </w:pPr>
      <w:r w:rsidRPr="00163228">
        <w:t xml:space="preserve">Анализ выполнения показателей и финансового обеспечения ГП-30 показал, что </w:t>
      </w:r>
      <w:r w:rsidRPr="003B1812">
        <w:rPr>
          <w:b/>
        </w:rPr>
        <w:t xml:space="preserve">при уменьшении </w:t>
      </w:r>
      <w:r w:rsidRPr="00163228">
        <w:t>показателя финансирования, утвержденного сводной бюджетной росписью в 2018 году на 8,2 % по сравнению с ресурсным обеспечением, утвержденным ГП-30, не достигнуты значения 19 показателей (индикаторов) подпрограмм и госпрограммы, что составляет 28,8 %.</w:t>
      </w:r>
    </w:p>
    <w:p w:rsidR="005D63C7" w:rsidRPr="003B1812" w:rsidRDefault="005D63C7" w:rsidP="005D63C7">
      <w:pPr>
        <w:autoSpaceDN w:val="0"/>
        <w:spacing w:line="312" w:lineRule="auto"/>
        <w:ind w:right="-2" w:firstLine="709"/>
        <w:jc w:val="both"/>
        <w:textAlignment w:val="baseline"/>
        <w:rPr>
          <w:b/>
        </w:rPr>
      </w:pPr>
      <w:r w:rsidRPr="00A32FDC">
        <w:rPr>
          <w:b/>
        </w:rPr>
        <w:t>В проекте паспор</w:t>
      </w:r>
      <w:r w:rsidR="00A32FDC" w:rsidRPr="00A32FDC">
        <w:rPr>
          <w:b/>
        </w:rPr>
        <w:t>та</w:t>
      </w:r>
      <w:r w:rsidR="009003A4">
        <w:rPr>
          <w:b/>
        </w:rPr>
        <w:t xml:space="preserve"> ГП-30</w:t>
      </w:r>
      <w:r w:rsidR="00A32FDC" w:rsidRPr="00A32FDC">
        <w:rPr>
          <w:b/>
        </w:rPr>
        <w:t xml:space="preserve"> отражены 14</w:t>
      </w:r>
      <w:r w:rsidRPr="00A32FDC">
        <w:rPr>
          <w:b/>
        </w:rPr>
        <w:t xml:space="preserve"> показателей на 2020 год, по которым в 2018 году отсутствовали фактические значения.</w:t>
      </w:r>
      <w:r w:rsidRPr="003B1812">
        <w:rPr>
          <w:b/>
        </w:rPr>
        <w:t xml:space="preserve"> </w:t>
      </w:r>
    </w:p>
    <w:p w:rsidR="005D63C7" w:rsidRPr="00A61CAF" w:rsidRDefault="005D63C7" w:rsidP="005D63C7">
      <w:pPr>
        <w:widowControl w:val="0"/>
        <w:autoSpaceDE w:val="0"/>
        <w:autoSpaceDN w:val="0"/>
        <w:adjustRightInd w:val="0"/>
        <w:spacing w:after="120" w:line="312" w:lineRule="auto"/>
        <w:ind w:right="-2" w:firstLine="709"/>
        <w:contextualSpacing/>
        <w:jc w:val="both"/>
        <w:rPr>
          <w:rFonts w:eastAsia="Calibri"/>
          <w:lang w:eastAsia="en-US"/>
        </w:rPr>
      </w:pPr>
      <w:r w:rsidRPr="00163228">
        <w:t>В соответствии с проектом паспорта</w:t>
      </w:r>
      <w:r w:rsidR="009003A4">
        <w:t xml:space="preserve"> ГП-30</w:t>
      </w:r>
      <w:r w:rsidRPr="00163228">
        <w:t xml:space="preserve"> предусмотрено</w:t>
      </w:r>
      <w:r w:rsidRPr="00163228">
        <w:rPr>
          <w:rFonts w:eastAsia="Calibri"/>
          <w:lang w:eastAsia="en-US"/>
        </w:rPr>
        <w:t xml:space="preserve"> </w:t>
      </w:r>
      <w:r w:rsidR="003B1812" w:rsidRPr="000A603E">
        <w:rPr>
          <w:rFonts w:eastAsia="Calibri"/>
          <w:lang w:eastAsia="en-US"/>
        </w:rPr>
        <w:t>29</w:t>
      </w:r>
      <w:r w:rsidRPr="000A603E">
        <w:rPr>
          <w:rFonts w:eastAsia="Calibri"/>
          <w:lang w:eastAsia="en-US"/>
        </w:rPr>
        <w:t xml:space="preserve"> показателей </w:t>
      </w:r>
      <w:r w:rsidRPr="000A603E">
        <w:rPr>
          <w:rFonts w:eastAsia="Calibri"/>
          <w:lang w:eastAsia="en-US"/>
        </w:rPr>
        <w:lastRenderedPageBreak/>
        <w:t>(индикаторов) в 2022 году (</w:t>
      </w:r>
      <w:r w:rsidRPr="000A603E">
        <w:t xml:space="preserve">в 2018 году - </w:t>
      </w:r>
      <w:r w:rsidR="009003A4" w:rsidRPr="000A603E">
        <w:t>6</w:t>
      </w:r>
      <w:r w:rsidR="009003A4">
        <w:t>7</w:t>
      </w:r>
      <w:r w:rsidR="009003A4" w:rsidRPr="000A603E">
        <w:t xml:space="preserve"> </w:t>
      </w:r>
      <w:r w:rsidRPr="000A603E">
        <w:t xml:space="preserve">показателей (индикаторов), в 2019 году - </w:t>
      </w:r>
      <w:r w:rsidR="009003A4">
        <w:t>31</w:t>
      </w:r>
      <w:r w:rsidRPr="000A603E">
        <w:t xml:space="preserve">, в 2020 году </w:t>
      </w:r>
      <w:r w:rsidR="00EC15B5" w:rsidRPr="00290BBB">
        <w:rPr>
          <w:rFonts w:eastAsia="Calibri"/>
          <w:sz w:val="20"/>
          <w:szCs w:val="20"/>
        </w:rPr>
        <w:t>–</w:t>
      </w:r>
      <w:r w:rsidRPr="000A603E">
        <w:t xml:space="preserve"> </w:t>
      </w:r>
      <w:r w:rsidR="003B1812" w:rsidRPr="000A603E">
        <w:t>29</w:t>
      </w:r>
      <w:r w:rsidRPr="000A603E">
        <w:t xml:space="preserve">, в 2021 году </w:t>
      </w:r>
      <w:r w:rsidR="00EC15B5" w:rsidRPr="00290BBB">
        <w:rPr>
          <w:rFonts w:eastAsia="Calibri"/>
          <w:sz w:val="20"/>
          <w:szCs w:val="20"/>
        </w:rPr>
        <w:t>–</w:t>
      </w:r>
      <w:r w:rsidRPr="000A603E">
        <w:t xml:space="preserve"> </w:t>
      </w:r>
      <w:r w:rsidR="003B1812" w:rsidRPr="000A603E">
        <w:t>29</w:t>
      </w:r>
      <w:r w:rsidRPr="000A603E">
        <w:t xml:space="preserve">, в 2022 году </w:t>
      </w:r>
      <w:r w:rsidR="00EC15B5" w:rsidRPr="00290BBB">
        <w:rPr>
          <w:rFonts w:eastAsia="Calibri"/>
          <w:sz w:val="20"/>
          <w:szCs w:val="20"/>
        </w:rPr>
        <w:t>–</w:t>
      </w:r>
      <w:r w:rsidRPr="000A603E">
        <w:t xml:space="preserve"> </w:t>
      </w:r>
      <w:r w:rsidR="003B1812" w:rsidRPr="000A603E">
        <w:t>29</w:t>
      </w:r>
      <w:r w:rsidRPr="000A603E">
        <w:t xml:space="preserve">). При этом </w:t>
      </w:r>
      <w:r w:rsidRPr="000A603E">
        <w:rPr>
          <w:rFonts w:eastAsia="Calibri"/>
          <w:lang w:eastAsia="en-US"/>
        </w:rPr>
        <w:t>законопроектом увеличиваются бюджетные ассигнования на 2019 год, в 2020 году бюджетные ассигнования на реализацию</w:t>
      </w:r>
      <w:r w:rsidR="009003A4">
        <w:rPr>
          <w:rFonts w:eastAsia="Calibri"/>
          <w:lang w:eastAsia="en-US"/>
        </w:rPr>
        <w:t xml:space="preserve"> ГП-30</w:t>
      </w:r>
      <w:r w:rsidRPr="000A603E">
        <w:rPr>
          <w:rFonts w:eastAsia="Calibri"/>
          <w:lang w:eastAsia="en-US"/>
        </w:rPr>
        <w:t xml:space="preserve"> увеличиваются по сравнению с 2019</w:t>
      </w:r>
      <w:r w:rsidRPr="00163228">
        <w:rPr>
          <w:rFonts w:eastAsia="Calibri"/>
          <w:lang w:eastAsia="en-US"/>
        </w:rPr>
        <w:t xml:space="preserve"> годом на </w:t>
      </w:r>
      <w:r w:rsidRPr="00A61CAF">
        <w:rPr>
          <w:rFonts w:eastAsia="Calibri"/>
          <w:lang w:eastAsia="en-US"/>
        </w:rPr>
        <w:t>3</w:t>
      </w:r>
      <w:r w:rsidR="000A285D">
        <w:rPr>
          <w:rFonts w:eastAsia="Calibri"/>
          <w:lang w:eastAsia="en-US"/>
        </w:rPr>
        <w:t> </w:t>
      </w:r>
      <w:r w:rsidRPr="00A61CAF">
        <w:rPr>
          <w:rFonts w:eastAsia="Calibri"/>
          <w:lang w:eastAsia="en-US"/>
        </w:rPr>
        <w:t xml:space="preserve">872,3 млн. рублей (20,8 %) и уменьшаются в 2021 году на 4 796,9 млн. рублей (25,8 %). </w:t>
      </w:r>
    </w:p>
    <w:p w:rsidR="005D63C7" w:rsidRPr="00A61CAF" w:rsidRDefault="003B1812" w:rsidP="005D63C7">
      <w:pPr>
        <w:spacing w:line="312" w:lineRule="auto"/>
        <w:ind w:firstLine="709"/>
        <w:jc w:val="both"/>
        <w:rPr>
          <w:color w:val="000000"/>
        </w:rPr>
      </w:pPr>
      <w:r w:rsidRPr="00E61AE4">
        <w:rPr>
          <w:rFonts w:eastAsia="Calibri"/>
          <w:b/>
          <w:color w:val="000000"/>
          <w:lang w:eastAsia="en-US"/>
        </w:rPr>
        <w:t>30.</w:t>
      </w:r>
      <w:r w:rsidR="005D63C7" w:rsidRPr="00E61AE4">
        <w:rPr>
          <w:rFonts w:eastAsia="Calibri"/>
          <w:b/>
          <w:color w:val="000000"/>
          <w:lang w:eastAsia="en-US"/>
        </w:rPr>
        <w:t>5.3.</w:t>
      </w:r>
      <w:r w:rsidR="005D63C7" w:rsidRPr="00A61CAF">
        <w:rPr>
          <w:rFonts w:eastAsia="Calibri"/>
          <w:color w:val="000000"/>
          <w:lang w:eastAsia="en-US"/>
        </w:rPr>
        <w:t> </w:t>
      </w:r>
      <w:r w:rsidR="005D63C7" w:rsidRPr="00A61CAF">
        <w:rPr>
          <w:color w:val="000000"/>
        </w:rPr>
        <w:t xml:space="preserve">Информация </w:t>
      </w:r>
      <w:r w:rsidR="005D63C7" w:rsidRPr="003B1812">
        <w:rPr>
          <w:b/>
          <w:color w:val="000000"/>
        </w:rPr>
        <w:t>о новых (уточненных) целевых показателях (индикаторах)</w:t>
      </w:r>
      <w:r w:rsidR="005D63C7" w:rsidRPr="00A61CAF">
        <w:rPr>
          <w:color w:val="000000"/>
        </w:rPr>
        <w:t xml:space="preserve"> госпрограммы, отраженных в проекте паспорта ГП-30 и утвержденных в действующей редакции госпрограммы, представлена в следующей таблице.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3"/>
        <w:gridCol w:w="4648"/>
      </w:tblGrid>
      <w:tr w:rsidR="005D63C7" w:rsidRPr="00751A40" w:rsidTr="00751A40">
        <w:trPr>
          <w:trHeight w:val="591"/>
          <w:tblHeader/>
        </w:trPr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751A40" w:rsidRDefault="005D63C7" w:rsidP="0063454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1"/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</w:pPr>
            <w:r w:rsidRPr="00751A40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>Целевые показатели, отраженные в проекте паспорта ГП-30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751A40" w:rsidRDefault="005D63C7" w:rsidP="0063454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1"/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</w:pPr>
            <w:r w:rsidRPr="00751A40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>Целевые показатели, предусмотренные ГП-30</w:t>
            </w:r>
          </w:p>
        </w:tc>
      </w:tr>
      <w:tr w:rsidR="005D63C7" w:rsidRPr="00751A40" w:rsidTr="00CF7F83">
        <w:trPr>
          <w:tblHeader/>
        </w:trPr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1"/>
              <w:rPr>
                <w:rFonts w:eastAsia="PMingLiU"/>
                <w:color w:val="000000"/>
                <w:spacing w:val="-4"/>
                <w:sz w:val="20"/>
                <w:szCs w:val="20"/>
              </w:rPr>
            </w:pP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Соотношение необходимой валовой выручки от оказания услуг по передаче электрической энергии, оказываемых потребителям, рассчитываемой по утвержденным тарифам без учета расходов на покупку потерь и с учетом предоставленной субсидии, к необходимой валовой выручке от оказания услуг по передаче электрической энергии, рассчитанной по экономически обоснованным тарифам без учета расходов на покупку потерь (ед.) (на 2019 год – 1, на 2020 - 1, на 2021 – 1 и </w:t>
            </w:r>
            <w:r w:rsidRPr="00751A40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>на 2022 год - 1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)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1"/>
              <w:rPr>
                <w:rFonts w:eastAsia="PMingLiU"/>
                <w:color w:val="000000"/>
                <w:spacing w:val="-4"/>
                <w:sz w:val="20"/>
                <w:szCs w:val="20"/>
              </w:rPr>
            </w:pP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Соотношение необходимой валовой выручки от оказания услуг по передаче электрической энергии, оказываемых потребителям, рассчитываемой по утвержденным тарифам без учета расходов на покупку потерь и с учетом предоставленной субсидии, к необходимой валовой выручке от оказания услуг по передаче электрической энергии, рассчитанной по экономически обоснованным тарифам без учета расходов на покупку потерь (ед.) (на 2019 год – 1, на 2020 - 1, на 2021 – 1)</w:t>
            </w:r>
          </w:p>
        </w:tc>
      </w:tr>
      <w:tr w:rsidR="005D63C7" w:rsidRPr="00751A40" w:rsidTr="00CF7F83">
        <w:trPr>
          <w:tblHeader/>
        </w:trPr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1"/>
              <w:rPr>
                <w:rFonts w:eastAsia="PMingLiU"/>
                <w:color w:val="000000"/>
                <w:spacing w:val="-4"/>
                <w:sz w:val="20"/>
                <w:szCs w:val="20"/>
              </w:rPr>
            </w:pP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Добыча газа природного и попутного (млрд. куб. метров) (2019 </w:t>
            </w:r>
            <w:r w:rsidR="00E61AE4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год 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– </w:t>
            </w:r>
            <w:r w:rsidRPr="00751A40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>739,1,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2020</w:t>
            </w:r>
            <w:r w:rsidR="00E61AE4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год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– </w:t>
            </w:r>
            <w:r w:rsidRPr="00751A40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>743,1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,</w:t>
            </w:r>
            <w:r w:rsidR="00E61AE4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2021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год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– </w:t>
            </w:r>
            <w:r w:rsidRPr="00751A40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>750,1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, 2022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год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– </w:t>
            </w:r>
            <w:r w:rsidRPr="00751A40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>758,1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).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C7" w:rsidRPr="00751A40" w:rsidRDefault="005D63C7" w:rsidP="00831EA9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pacing w:val="-4"/>
                <w:sz w:val="20"/>
                <w:szCs w:val="20"/>
                <w:lang w:eastAsia="en-US"/>
              </w:rPr>
            </w:pP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Добыча газа природного и попутного (млрд. куб. метров) (2019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год </w:t>
            </w:r>
            <w:r w:rsidR="00831EA9">
              <w:rPr>
                <w:rFonts w:eastAsia="Calibri"/>
                <w:lang w:eastAsia="en-US"/>
              </w:rPr>
              <w:t>–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689, 2020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год </w:t>
            </w:r>
            <w:r w:rsidR="00831EA9">
              <w:rPr>
                <w:rFonts w:eastAsia="Calibri"/>
                <w:lang w:eastAsia="en-US"/>
              </w:rPr>
              <w:t>–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699,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2021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год </w:t>
            </w:r>
            <w:r w:rsidR="00831EA9">
              <w:rPr>
                <w:rFonts w:eastAsia="Calibri"/>
                <w:lang w:eastAsia="en-US"/>
              </w:rPr>
              <w:t>–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709,2, 2022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год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– 724,5).</w:t>
            </w:r>
          </w:p>
        </w:tc>
      </w:tr>
      <w:tr w:rsidR="005D63C7" w:rsidRPr="00751A40" w:rsidTr="00CF7F83">
        <w:trPr>
          <w:tblHeader/>
        </w:trPr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1"/>
              <w:rPr>
                <w:rFonts w:eastAsia="PMingLiU"/>
                <w:color w:val="000000"/>
                <w:spacing w:val="-4"/>
                <w:sz w:val="20"/>
                <w:szCs w:val="20"/>
              </w:rPr>
            </w:pP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Ввод за счет реализации федерального проекта «Гарантированное обеспечение транспорта нефти, нефтепродуктов, газа и газового конденсата» новых участков линейной части магистральных газопроводов (км) (2019 год – </w:t>
            </w:r>
            <w:r w:rsidRPr="00751A40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>2156,1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, 2020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год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– 973,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2021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год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– 369)</w:t>
            </w:r>
          </w:p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outlineLvl w:val="1"/>
              <w:rPr>
                <w:rFonts w:eastAsia="PMingLiU"/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C7" w:rsidRPr="00751A40" w:rsidRDefault="005D63C7" w:rsidP="00831EA9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pacing w:val="-4"/>
                <w:sz w:val="20"/>
                <w:szCs w:val="20"/>
                <w:lang w:eastAsia="en-US"/>
              </w:rPr>
            </w:pP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Ввод за счет реализации федерального проекта «Гарантированное обеспечение транспорта нефти, нефтепродуктов, газа и газового конденсата» новых участков линейной части магистральных газопроводов (км) (2019 год – 2727,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2020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год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– 973,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2021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год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– 369)</w:t>
            </w:r>
          </w:p>
        </w:tc>
      </w:tr>
      <w:tr w:rsidR="005D63C7" w:rsidRPr="00751A40" w:rsidTr="00CF7F83">
        <w:trPr>
          <w:tblHeader/>
        </w:trPr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1"/>
              <w:rPr>
                <w:rFonts w:eastAsia="PMingLiU"/>
                <w:color w:val="000000"/>
                <w:spacing w:val="-4"/>
                <w:sz w:val="20"/>
                <w:szCs w:val="20"/>
              </w:rPr>
            </w:pPr>
            <w:r w:rsidRPr="00751A40">
              <w:rPr>
                <w:rFonts w:eastAsia="Calibri"/>
                <w:color w:val="000000"/>
                <w:spacing w:val="-4"/>
                <w:sz w:val="20"/>
                <w:szCs w:val="20"/>
                <w:lang w:eastAsia="en-US"/>
              </w:rPr>
              <w:t xml:space="preserve">Объем производства сжиженного природного газа (млн. тонн) 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(на 2019 год – </w:t>
            </w:r>
            <w:r w:rsidRPr="00751A40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>28,5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, на 2020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год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– </w:t>
            </w:r>
            <w:r w:rsidRPr="00751A40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>29,5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, </w:t>
            </w:r>
            <w:r w:rsidR="008A37E0">
              <w:rPr>
                <w:rFonts w:eastAsia="PMingLiU"/>
                <w:color w:val="000000"/>
                <w:spacing w:val="-4"/>
                <w:sz w:val="20"/>
                <w:szCs w:val="20"/>
              </w:rPr>
              <w:br/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на 2021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год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– </w:t>
            </w:r>
            <w:r w:rsidRPr="00751A40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>30,1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и на 2022 год </w:t>
            </w:r>
            <w:r w:rsidR="00831EA9">
              <w:rPr>
                <w:rFonts w:eastAsia="Calibri"/>
                <w:lang w:eastAsia="en-US"/>
              </w:rPr>
              <w:t xml:space="preserve">– </w:t>
            </w:r>
            <w:r w:rsidRPr="00751A40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>30,1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)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C7" w:rsidRPr="00751A40" w:rsidRDefault="005D63C7" w:rsidP="00831EA9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pacing w:val="-4"/>
                <w:sz w:val="20"/>
                <w:szCs w:val="20"/>
                <w:lang w:eastAsia="en-US"/>
              </w:rPr>
            </w:pPr>
            <w:r w:rsidRPr="00751A40">
              <w:rPr>
                <w:rFonts w:eastAsia="Calibri"/>
                <w:color w:val="000000"/>
                <w:spacing w:val="-4"/>
                <w:sz w:val="20"/>
                <w:szCs w:val="20"/>
                <w:lang w:eastAsia="en-US"/>
              </w:rPr>
              <w:t xml:space="preserve">Объем производства сжиженного природного газа (млн. тонн) 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(на 2019 год – 21, на 2020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год </w:t>
            </w:r>
            <w:r w:rsidR="00831EA9">
              <w:rPr>
                <w:rFonts w:eastAsia="Calibri"/>
                <w:lang w:eastAsia="en-US"/>
              </w:rPr>
              <w:t>–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25, на 2021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год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– 27 и на 2022 год </w:t>
            </w:r>
            <w:r w:rsidR="00831EA9">
              <w:rPr>
                <w:rFonts w:eastAsia="Calibri"/>
                <w:lang w:eastAsia="en-US"/>
              </w:rPr>
              <w:t xml:space="preserve">– 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33)</w:t>
            </w:r>
          </w:p>
        </w:tc>
      </w:tr>
      <w:tr w:rsidR="005D63C7" w:rsidRPr="00751A40" w:rsidTr="00CF7F83">
        <w:trPr>
          <w:tblHeader/>
        </w:trPr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1"/>
              <w:rPr>
                <w:rFonts w:eastAsia="PMingLiU"/>
                <w:color w:val="000000"/>
                <w:spacing w:val="-4"/>
                <w:sz w:val="20"/>
                <w:szCs w:val="20"/>
              </w:rPr>
            </w:pP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Добыча угля (млн. тонн) (на 2019 год – </w:t>
            </w:r>
            <w:r w:rsidRPr="00751A40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>445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, на 2020 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год 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– </w:t>
            </w:r>
            <w:r w:rsidRPr="00751A40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>453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, на 2021 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год 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– </w:t>
            </w:r>
            <w:r w:rsidRPr="00751A40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>466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и на 2022 год </w:t>
            </w:r>
            <w:r w:rsidR="00831EA9">
              <w:rPr>
                <w:rFonts w:eastAsia="Calibri"/>
                <w:lang w:eastAsia="en-US"/>
              </w:rPr>
              <w:t xml:space="preserve">– </w:t>
            </w:r>
            <w:r w:rsidRPr="00751A40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>480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)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C7" w:rsidRPr="00751A40" w:rsidRDefault="005D63C7" w:rsidP="00751A40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pacing w:val="-4"/>
                <w:sz w:val="20"/>
                <w:szCs w:val="20"/>
                <w:lang w:eastAsia="en-US"/>
              </w:rPr>
            </w:pP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Добыча угля (млн. тонн) (на 2019 год – 436, на 2020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год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– 451, на 2021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год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– 462 и на 2022 год </w:t>
            </w:r>
            <w:r w:rsidR="00831EA9">
              <w:rPr>
                <w:rFonts w:eastAsia="Calibri"/>
                <w:lang w:eastAsia="en-US"/>
              </w:rPr>
              <w:t>–</w:t>
            </w:r>
            <w:r w:rsidRPr="00751A40"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467)</w:t>
            </w:r>
          </w:p>
        </w:tc>
      </w:tr>
      <w:tr w:rsidR="005D63C7" w:rsidRPr="00751A40" w:rsidTr="00CF7F83">
        <w:trPr>
          <w:tblHeader/>
        </w:trPr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C7" w:rsidRPr="00751A40" w:rsidRDefault="005D63C7" w:rsidP="0029394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1"/>
              <w:rPr>
                <w:rFonts w:eastAsia="PMingLiU"/>
                <w:color w:val="000000"/>
                <w:spacing w:val="-4"/>
                <w:sz w:val="20"/>
                <w:szCs w:val="20"/>
              </w:rPr>
            </w:pP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Темп роста объемов добычи угля в Восточной Сибири и на Дальнем Востоке к уровню добычи 2017 года </w:t>
            </w:r>
            <w:r w:rsidRPr="00293946">
              <w:rPr>
                <w:rFonts w:eastAsia="PMingLiU"/>
                <w:color w:val="000000"/>
                <w:spacing w:val="-4"/>
                <w:sz w:val="20"/>
                <w:szCs w:val="20"/>
              </w:rPr>
              <w:t>(%) (</w:t>
            </w:r>
            <w:r w:rsidR="00571031" w:rsidRPr="00293946">
              <w:rPr>
                <w:rFonts w:eastAsia="PMingLiU"/>
                <w:color w:val="000000"/>
                <w:spacing w:val="-4"/>
                <w:sz w:val="20"/>
                <w:szCs w:val="20"/>
              </w:rPr>
              <w:t>на</w:t>
            </w:r>
            <w:r w:rsidR="00571031">
              <w:rPr>
                <w:rFonts w:eastAsia="PMingLiU"/>
                <w:color w:val="000000"/>
                <w:spacing w:val="-4"/>
                <w:sz w:val="20"/>
                <w:szCs w:val="20"/>
              </w:rPr>
              <w:t> </w:t>
            </w:r>
            <w:r w:rsidRPr="00293946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2019 год – </w:t>
            </w:r>
            <w:r w:rsidRPr="00293946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>109</w:t>
            </w:r>
            <w:r w:rsidRPr="00293946">
              <w:rPr>
                <w:rFonts w:eastAsia="PMingLiU"/>
                <w:color w:val="000000"/>
                <w:spacing w:val="-4"/>
                <w:sz w:val="20"/>
                <w:szCs w:val="20"/>
              </w:rPr>
              <w:t>, на 2020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год</w:t>
            </w:r>
            <w:r w:rsidRPr="00293946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– </w:t>
            </w:r>
            <w:r w:rsidRPr="00293946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>118</w:t>
            </w:r>
            <w:r w:rsidRPr="00293946">
              <w:rPr>
                <w:rFonts w:eastAsia="PMingLiU"/>
                <w:color w:val="000000"/>
                <w:spacing w:val="-4"/>
                <w:sz w:val="20"/>
                <w:szCs w:val="20"/>
              </w:rPr>
              <w:t>, на 2021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год</w:t>
            </w:r>
            <w:r w:rsidRPr="00293946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– </w:t>
            </w:r>
            <w:r w:rsidRPr="00293946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>123</w:t>
            </w:r>
            <w:r w:rsidRPr="00293946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и на 2022 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год -</w:t>
            </w:r>
            <w:r w:rsidRPr="00751A40"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 w:rsidRPr="00751A40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>126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)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1"/>
              <w:rPr>
                <w:rFonts w:eastAsia="Calibri"/>
                <w:color w:val="000000"/>
                <w:spacing w:val="-4"/>
                <w:sz w:val="20"/>
                <w:szCs w:val="20"/>
                <w:lang w:eastAsia="en-US"/>
              </w:rPr>
            </w:pP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Темп роста объемов добычи угля в Восточной Сибири и на Дальнем Востоке к уровню добычи 2017 года (%) (на 2019 год – 110, на 2020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год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– 113, на 2021 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год 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– 117 и на 2022 год </w:t>
            </w:r>
            <w:r w:rsidR="00831EA9">
              <w:rPr>
                <w:rFonts w:eastAsia="Calibri"/>
                <w:lang w:eastAsia="en-US"/>
              </w:rPr>
              <w:t>–</w:t>
            </w:r>
            <w:r w:rsidRPr="00751A40"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121)</w:t>
            </w:r>
          </w:p>
        </w:tc>
      </w:tr>
      <w:tr w:rsidR="005D63C7" w:rsidRPr="00751A40" w:rsidTr="00CF7F83">
        <w:trPr>
          <w:tblHeader/>
        </w:trPr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1"/>
              <w:rPr>
                <w:rFonts w:eastAsia="PMingLiU"/>
                <w:color w:val="000000"/>
                <w:spacing w:val="-4"/>
                <w:sz w:val="20"/>
                <w:szCs w:val="20"/>
              </w:rPr>
            </w:pPr>
            <w:r w:rsidRPr="00751A40">
              <w:rPr>
                <w:color w:val="000000"/>
                <w:spacing w:val="-4"/>
                <w:sz w:val="20"/>
                <w:szCs w:val="20"/>
              </w:rPr>
              <w:t xml:space="preserve">«Количество выданных страховых полисов на дополнительное пенсионное обеспечение» (тыс. шт. в год) 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(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на 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2019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год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– </w:t>
            </w:r>
            <w:r w:rsidRPr="00751A40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>19,4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, на 2020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год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– 19,2 и </w:t>
            </w:r>
            <w:r w:rsidR="008A37E0">
              <w:rPr>
                <w:rFonts w:eastAsia="PMingLiU"/>
                <w:color w:val="000000"/>
                <w:spacing w:val="-4"/>
                <w:sz w:val="20"/>
                <w:szCs w:val="20"/>
              </w:rPr>
              <w:br/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на 2021 год –</w:t>
            </w:r>
            <w:r w:rsidRPr="00751A40"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17,8)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1"/>
              <w:rPr>
                <w:rFonts w:eastAsia="PMingLiU"/>
                <w:color w:val="000000"/>
                <w:spacing w:val="-4"/>
                <w:sz w:val="20"/>
                <w:szCs w:val="20"/>
              </w:rPr>
            </w:pPr>
            <w:r w:rsidRPr="00751A40">
              <w:rPr>
                <w:color w:val="000000"/>
                <w:spacing w:val="-4"/>
                <w:sz w:val="20"/>
                <w:szCs w:val="20"/>
              </w:rPr>
              <w:t xml:space="preserve">«Количество выданных страховых полисов на дополнительное пенсионное обеспечение» (тыс. шт. в год) 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(на 2020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год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– 20,4, на 2021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год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– 19,2 и на 2022 год –</w:t>
            </w:r>
            <w:r w:rsidRPr="00751A40"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17,8)</w:t>
            </w:r>
          </w:p>
        </w:tc>
      </w:tr>
      <w:tr w:rsidR="005D63C7" w:rsidRPr="00751A40" w:rsidTr="00CF7F83">
        <w:trPr>
          <w:tblHeader/>
        </w:trPr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1"/>
              <w:rPr>
                <w:rFonts w:eastAsia="PMingLiU"/>
                <w:color w:val="000000"/>
                <w:spacing w:val="-4"/>
                <w:sz w:val="20"/>
                <w:szCs w:val="20"/>
              </w:rPr>
            </w:pP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Количество семей, переселенных из ветхого жилья в рамках завершения реструктуризации угольной промышленности (на 2019 год – 872, на 2020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год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– 918, на 2021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год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– 898 и на 2022 год </w:t>
            </w:r>
            <w:r w:rsidR="00831EA9">
              <w:rPr>
                <w:rFonts w:eastAsia="Calibri"/>
                <w:lang w:eastAsia="en-US"/>
              </w:rPr>
              <w:t>–</w:t>
            </w:r>
            <w:r w:rsidRPr="00751A40"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 w:rsidRPr="00751A40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>1225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)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1"/>
              <w:rPr>
                <w:rFonts w:eastAsia="Calibri"/>
                <w:color w:val="000000"/>
                <w:spacing w:val="-4"/>
                <w:sz w:val="20"/>
                <w:szCs w:val="20"/>
                <w:lang w:eastAsia="en-US"/>
              </w:rPr>
            </w:pP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Количество семей, переселенных из ветхого жилья в рамках завершения реструктуризации угольной промышленности (на 2019 год – 887, на 2020 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год 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– 918, на 2021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год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– 898 и на 2022 год </w:t>
            </w:r>
            <w:r w:rsidR="00831EA9">
              <w:rPr>
                <w:rFonts w:eastAsia="Calibri"/>
                <w:lang w:eastAsia="en-US"/>
              </w:rPr>
              <w:t>–</w:t>
            </w:r>
            <w:r w:rsidRPr="00751A40"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971)</w:t>
            </w:r>
          </w:p>
        </w:tc>
      </w:tr>
      <w:tr w:rsidR="005D63C7" w:rsidRPr="00751A40" w:rsidTr="00CF7F83">
        <w:trPr>
          <w:tblHeader/>
        </w:trPr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C7" w:rsidRPr="00751A40" w:rsidRDefault="005D63C7" w:rsidP="00831EA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1"/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</w:pPr>
            <w:r w:rsidRPr="00751A40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 xml:space="preserve">Численность граждан льготных категорий, имеющих право на </w:t>
            </w:r>
            <w:r w:rsidRPr="00831EA9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>бесплатный пайковый уголь (тыс. человек) (на 2019 год – 27,5, на 2020</w:t>
            </w:r>
            <w:r w:rsidR="00831EA9" w:rsidRPr="00831EA9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 xml:space="preserve"> год </w:t>
            </w:r>
            <w:r w:rsidR="00831EA9" w:rsidRPr="00831EA9">
              <w:rPr>
                <w:rFonts w:eastAsia="Calibri"/>
                <w:b/>
                <w:lang w:eastAsia="en-US"/>
              </w:rPr>
              <w:t>–</w:t>
            </w:r>
            <w:r w:rsidRPr="00831EA9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 xml:space="preserve"> 30,5, на 2021 </w:t>
            </w:r>
            <w:r w:rsidR="00831EA9" w:rsidRPr="00831EA9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 xml:space="preserve">год </w:t>
            </w:r>
            <w:r w:rsidRPr="00831EA9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 xml:space="preserve">– 29 и на 2022 год </w:t>
            </w:r>
            <w:r w:rsidR="00831EA9" w:rsidRPr="00831EA9">
              <w:rPr>
                <w:rFonts w:eastAsia="Calibri"/>
                <w:b/>
                <w:lang w:eastAsia="en-US"/>
              </w:rPr>
              <w:t xml:space="preserve">– </w:t>
            </w:r>
            <w:r w:rsidRPr="00831EA9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>27,4)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C7" w:rsidRPr="00751A40" w:rsidRDefault="005D63C7" w:rsidP="00751A40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pacing w:val="-4"/>
                <w:sz w:val="20"/>
                <w:szCs w:val="20"/>
                <w:lang w:eastAsia="en-US"/>
              </w:rPr>
            </w:pPr>
            <w:r w:rsidRPr="00751A40">
              <w:rPr>
                <w:rFonts w:eastAsia="Calibri"/>
                <w:color w:val="000000"/>
                <w:spacing w:val="-4"/>
                <w:sz w:val="20"/>
                <w:szCs w:val="20"/>
                <w:lang w:eastAsia="en-US"/>
              </w:rPr>
              <w:t xml:space="preserve">Количество граждан льготных категорий, обеспеченных бесплатным пайковым углем для бытовых нужд 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(на 2019 год – 19, на 2020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год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</w:t>
            </w:r>
            <w:r w:rsidR="00831EA9">
              <w:rPr>
                <w:rFonts w:eastAsia="Calibri"/>
                <w:lang w:eastAsia="en-US"/>
              </w:rPr>
              <w:t>–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17, на 2021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год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– 16 и на 2022 год </w:t>
            </w:r>
            <w:r w:rsidR="00831EA9">
              <w:rPr>
                <w:rFonts w:eastAsia="Calibri"/>
                <w:lang w:eastAsia="en-US"/>
              </w:rPr>
              <w:t xml:space="preserve">– 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15) </w:t>
            </w:r>
            <w:r w:rsidRPr="00751A40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>(показатель изменен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)</w:t>
            </w:r>
          </w:p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outlineLvl w:val="1"/>
              <w:rPr>
                <w:rFonts w:eastAsia="PMingLiU"/>
                <w:color w:val="000000"/>
                <w:spacing w:val="-4"/>
                <w:sz w:val="20"/>
                <w:szCs w:val="20"/>
              </w:rPr>
            </w:pPr>
          </w:p>
        </w:tc>
      </w:tr>
      <w:tr w:rsidR="005D63C7" w:rsidRPr="00751A40" w:rsidTr="00CF7F83">
        <w:trPr>
          <w:tblHeader/>
        </w:trPr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1"/>
              <w:rPr>
                <w:rFonts w:eastAsia="PMingLiU"/>
                <w:color w:val="000000"/>
                <w:spacing w:val="-4"/>
                <w:sz w:val="20"/>
                <w:szCs w:val="20"/>
              </w:rPr>
            </w:pP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lastRenderedPageBreak/>
              <w:t xml:space="preserve">Количество реализованных рабочих проектов по ликвидации последствий ведения горных работ (на 2019 год – </w:t>
            </w:r>
            <w:r w:rsidRPr="00751A40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>28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, на 2020 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год 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– </w:t>
            </w:r>
            <w:r w:rsidRPr="00751A40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>23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, на 2021 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год 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– </w:t>
            </w:r>
            <w:r w:rsidRPr="00751A40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>17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и </w:t>
            </w:r>
            <w:r w:rsidR="008A37E0">
              <w:rPr>
                <w:rFonts w:eastAsia="PMingLiU"/>
                <w:color w:val="000000"/>
                <w:spacing w:val="-4"/>
                <w:sz w:val="20"/>
                <w:szCs w:val="20"/>
              </w:rPr>
              <w:br/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на 2022 год </w:t>
            </w:r>
            <w:r w:rsidR="00831EA9">
              <w:rPr>
                <w:rFonts w:eastAsia="Calibri"/>
                <w:lang w:eastAsia="en-US"/>
              </w:rPr>
              <w:t xml:space="preserve">– </w:t>
            </w:r>
            <w:r w:rsidRPr="00751A40">
              <w:rPr>
                <w:rFonts w:eastAsia="PMingLiU"/>
                <w:b/>
                <w:color w:val="000000"/>
                <w:spacing w:val="-4"/>
                <w:sz w:val="20"/>
                <w:szCs w:val="20"/>
              </w:rPr>
              <w:t>14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)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C7" w:rsidRPr="00751A40" w:rsidRDefault="005D63C7" w:rsidP="00751A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1"/>
              <w:rPr>
                <w:rFonts w:eastAsia="Calibri"/>
                <w:color w:val="000000"/>
                <w:spacing w:val="-4"/>
                <w:sz w:val="20"/>
                <w:szCs w:val="20"/>
                <w:lang w:eastAsia="en-US"/>
              </w:rPr>
            </w:pP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>Количество реализованных рабочих проектов по ликвидации последствий ведения горных работ (на 2019 год – 15, на 2020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год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– 18, на 2021</w:t>
            </w:r>
            <w:r w:rsidR="00831EA9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год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– 15 и на 2022 год </w:t>
            </w:r>
            <w:r w:rsidR="00831EA9">
              <w:rPr>
                <w:rFonts w:eastAsia="Calibri"/>
                <w:lang w:eastAsia="en-US"/>
              </w:rPr>
              <w:t>–</w:t>
            </w:r>
            <w:r w:rsidRPr="00751A40">
              <w:rPr>
                <w:rFonts w:eastAsia="PMingLiU"/>
                <w:color w:val="000000"/>
                <w:spacing w:val="-4"/>
                <w:sz w:val="20"/>
                <w:szCs w:val="20"/>
              </w:rPr>
              <w:t xml:space="preserve"> 23)</w:t>
            </w:r>
          </w:p>
        </w:tc>
      </w:tr>
    </w:tbl>
    <w:p w:rsidR="00571031" w:rsidRPr="00751A40" w:rsidRDefault="00571031" w:rsidP="005D63C7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rFonts w:eastAsia="Calibri"/>
          <w:sz w:val="14"/>
          <w:lang w:eastAsia="en-US"/>
        </w:rPr>
      </w:pPr>
    </w:p>
    <w:p w:rsidR="005D63C7" w:rsidRPr="00A61CAF" w:rsidRDefault="005D63C7" w:rsidP="00751A40">
      <w:pPr>
        <w:autoSpaceDE w:val="0"/>
        <w:autoSpaceDN w:val="0"/>
        <w:adjustRightInd w:val="0"/>
        <w:spacing w:line="312" w:lineRule="auto"/>
        <w:ind w:firstLine="709"/>
        <w:jc w:val="both"/>
        <w:rPr>
          <w:rFonts w:eastAsia="Calibri"/>
          <w:lang w:eastAsia="en-US"/>
        </w:rPr>
      </w:pPr>
      <w:r w:rsidRPr="00A61CAF">
        <w:rPr>
          <w:rFonts w:eastAsia="Calibri"/>
          <w:lang w:eastAsia="en-US"/>
        </w:rPr>
        <w:t>Плановое значение показателя (индикатора) «Соотношение необходимой валовой выручки от оказания услуг по передаче электрической энергии, оказываемых потребителям, рассчитываемой по утвержденным тарифам без учета расходов на покупку потерь и с учетом предоставленной субсидии, к необходимой валовой выручке от оказания услуг по передаче электрической энергии, рассчитанной по экономически обоснованным тарифам без учета расходов на покупку потерь» добавлено на 2022 год в связи с продлением срока реализации соответствующего основного мероприятия 2.6.</w:t>
      </w:r>
    </w:p>
    <w:p w:rsidR="005D63C7" w:rsidRPr="00A61CAF" w:rsidRDefault="005D63C7" w:rsidP="005D63C7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rFonts w:eastAsia="Calibri"/>
          <w:lang w:eastAsia="en-US"/>
        </w:rPr>
      </w:pPr>
      <w:r w:rsidRPr="00A61CAF">
        <w:rPr>
          <w:rFonts w:eastAsia="Calibri"/>
          <w:lang w:eastAsia="en-US"/>
        </w:rPr>
        <w:t xml:space="preserve">Изменение плановых значений показателей (индикаторов) «Добыча газа природного и попутного» и «Объем производства сжиженного природного газа» обусловлено планируемым ростом объемов добычи газа в среднесрочной перспективе, в том числе  на Южно-Тамбейском газоконденсатном месторождении и Чаяндинском нефтегазоконденсатном месторождении. </w:t>
      </w:r>
    </w:p>
    <w:p w:rsidR="005D63C7" w:rsidRPr="00A61CAF" w:rsidRDefault="005D63C7" w:rsidP="005D63C7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rFonts w:eastAsia="Calibri"/>
          <w:lang w:eastAsia="en-US"/>
        </w:rPr>
      </w:pPr>
      <w:r w:rsidRPr="00A61CAF">
        <w:rPr>
          <w:rFonts w:eastAsia="Calibri"/>
          <w:lang w:eastAsia="en-US"/>
        </w:rPr>
        <w:t>Корректировка плановых значений показателей (индикаторов) «Добыча угля» и «Темп роста объемов добычи угля в Восточной Сибири и на Дальнем Востоке к уровню добычи 2017 года» связано с уточнением данных угольных компаний о планируемых показателях деятельности на период до 2035 года.</w:t>
      </w:r>
    </w:p>
    <w:p w:rsidR="005D63C7" w:rsidRPr="00A61CAF" w:rsidRDefault="005D63C7" w:rsidP="005D63C7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rFonts w:eastAsia="Calibri"/>
          <w:lang w:eastAsia="en-US"/>
        </w:rPr>
      </w:pPr>
      <w:r w:rsidRPr="00A61CAF">
        <w:rPr>
          <w:rFonts w:eastAsia="Calibri"/>
          <w:lang w:eastAsia="en-US"/>
        </w:rPr>
        <w:t>Изменение плановых значений показателя (индикатора) «Количество реализованных рабочих проектов по ликвидации последствий ведения горных работ» в 2019 – 2022 годах обусловлено изменением методики подсчета количества проектов, а также переносом ряда проектов на более ранний срок.</w:t>
      </w:r>
    </w:p>
    <w:p w:rsidR="005D63C7" w:rsidRPr="00A61CAF" w:rsidRDefault="003B1812" w:rsidP="005D63C7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rFonts w:eastAsia="Calibri"/>
          <w:lang w:eastAsia="en-US"/>
        </w:rPr>
      </w:pPr>
      <w:r w:rsidRPr="00831EA9">
        <w:rPr>
          <w:rFonts w:eastAsia="Calibri"/>
          <w:b/>
          <w:lang w:eastAsia="en-US"/>
        </w:rPr>
        <w:t>30.</w:t>
      </w:r>
      <w:r w:rsidR="005D63C7" w:rsidRPr="00831EA9">
        <w:rPr>
          <w:rFonts w:eastAsia="Calibri"/>
          <w:b/>
          <w:lang w:eastAsia="en-US"/>
        </w:rPr>
        <w:t>6</w:t>
      </w:r>
      <w:r w:rsidR="005D63C7" w:rsidRPr="00831EA9">
        <w:rPr>
          <w:b/>
        </w:rPr>
        <w:t>.</w:t>
      </w:r>
      <w:r w:rsidR="005D63C7" w:rsidRPr="00A61CAF">
        <w:t> В соответствии с проектом паспорта ГП-30 в 2019 году предусмотрено</w:t>
      </w:r>
      <w:r w:rsidR="005D63C7" w:rsidRPr="00A61CAF">
        <w:rPr>
          <w:rFonts w:eastAsia="Calibri"/>
          <w:lang w:eastAsia="en-US"/>
        </w:rPr>
        <w:t xml:space="preserve"> </w:t>
      </w:r>
      <w:r w:rsidR="005D63C7" w:rsidRPr="000A285D">
        <w:rPr>
          <w:rFonts w:eastAsia="Calibri"/>
          <w:b/>
          <w:lang w:eastAsia="en-US"/>
        </w:rPr>
        <w:t>уменьшение</w:t>
      </w:r>
      <w:r w:rsidR="005D63C7" w:rsidRPr="00A61CAF">
        <w:rPr>
          <w:rFonts w:eastAsia="Calibri"/>
          <w:lang w:eastAsia="en-US"/>
        </w:rPr>
        <w:t xml:space="preserve"> количества показателей (индикаторов) до </w:t>
      </w:r>
      <w:r w:rsidR="000A285D">
        <w:rPr>
          <w:rFonts w:eastAsia="Calibri"/>
          <w:lang w:eastAsia="en-US"/>
        </w:rPr>
        <w:t>29</w:t>
      </w:r>
      <w:r w:rsidR="005D63C7" w:rsidRPr="00A61CAF">
        <w:rPr>
          <w:rFonts w:eastAsia="Calibri"/>
          <w:lang w:eastAsia="en-US"/>
        </w:rPr>
        <w:t xml:space="preserve"> </w:t>
      </w:r>
      <w:r w:rsidR="00C46BFF">
        <w:rPr>
          <w:rFonts w:eastAsia="Calibri"/>
          <w:lang w:eastAsia="en-US"/>
        </w:rPr>
        <w:t>в 2020</w:t>
      </w:r>
      <w:r w:rsidR="00831EA9">
        <w:rPr>
          <w:rFonts w:eastAsia="Calibri"/>
          <w:lang w:eastAsia="en-US"/>
        </w:rPr>
        <w:t xml:space="preserve"> – </w:t>
      </w:r>
      <w:r w:rsidR="005D63C7" w:rsidRPr="00A61CAF">
        <w:rPr>
          <w:rFonts w:eastAsia="Calibri"/>
          <w:lang w:eastAsia="en-US"/>
        </w:rPr>
        <w:t>2022 год</w:t>
      </w:r>
      <w:r w:rsidR="00C46BFF">
        <w:rPr>
          <w:rFonts w:eastAsia="Calibri"/>
          <w:lang w:eastAsia="en-US"/>
        </w:rPr>
        <w:t>ах</w:t>
      </w:r>
      <w:r w:rsidR="005D63C7" w:rsidRPr="00A61CAF">
        <w:t xml:space="preserve">. При этом </w:t>
      </w:r>
      <w:r w:rsidR="005D63C7" w:rsidRPr="00A61CAF">
        <w:rPr>
          <w:rFonts w:eastAsia="Calibri"/>
          <w:lang w:eastAsia="en-US"/>
        </w:rPr>
        <w:t xml:space="preserve">законопроектом </w:t>
      </w:r>
      <w:r w:rsidR="005D63C7" w:rsidRPr="00C46BFF">
        <w:rPr>
          <w:rFonts w:eastAsia="Calibri"/>
          <w:b/>
          <w:lang w:eastAsia="en-US"/>
        </w:rPr>
        <w:t>увеличиваются</w:t>
      </w:r>
      <w:r w:rsidR="005D63C7" w:rsidRPr="00A61CAF">
        <w:rPr>
          <w:rFonts w:eastAsia="Calibri"/>
          <w:i/>
          <w:lang w:eastAsia="en-US"/>
        </w:rPr>
        <w:t xml:space="preserve"> </w:t>
      </w:r>
      <w:r w:rsidR="005D63C7" w:rsidRPr="00A61CAF">
        <w:rPr>
          <w:rFonts w:eastAsia="Calibri"/>
          <w:lang w:eastAsia="en-US"/>
        </w:rPr>
        <w:t>бюджетные ассигнования на 2020 год по сравнению с 2019 годом на 3 872,3 млн. рублей, в 2021 году бюджетные ассигнования на реализацию</w:t>
      </w:r>
      <w:r w:rsidR="009003A4">
        <w:rPr>
          <w:rFonts w:eastAsia="Calibri"/>
          <w:lang w:eastAsia="en-US"/>
        </w:rPr>
        <w:t xml:space="preserve"> ГП-30</w:t>
      </w:r>
      <w:r w:rsidR="005D63C7" w:rsidRPr="00A61CAF">
        <w:rPr>
          <w:rFonts w:eastAsia="Calibri"/>
          <w:lang w:eastAsia="en-US"/>
        </w:rPr>
        <w:t xml:space="preserve"> уменьшаются по сравнению с 2020 годом на </w:t>
      </w:r>
      <w:r w:rsidR="005D63C7" w:rsidRPr="00A61CAF">
        <w:t>8 669,2</w:t>
      </w:r>
      <w:r w:rsidR="005D63C7" w:rsidRPr="00A61CAF">
        <w:rPr>
          <w:rFonts w:eastAsia="Calibri"/>
          <w:lang w:eastAsia="en-US"/>
        </w:rPr>
        <w:t xml:space="preserve"> млн. рублей (38,6 %), в 2022 году – уменьшаются по сравнению с 2021 годом  на 432,6 млн. рублей (40,5 %). </w:t>
      </w:r>
    </w:p>
    <w:p w:rsidR="005D63C7" w:rsidRPr="00A61CAF" w:rsidRDefault="005D63C7" w:rsidP="005D63C7">
      <w:pPr>
        <w:pStyle w:val="a3"/>
        <w:spacing w:after="0" w:line="372" w:lineRule="auto"/>
        <w:rPr>
          <w:szCs w:val="24"/>
        </w:rPr>
      </w:pPr>
      <w:r w:rsidRPr="00A61CAF">
        <w:rPr>
          <w:szCs w:val="24"/>
        </w:rPr>
        <w:t>Динамика показателей (индикаторов) по госпрограмме и подпрограммам представлена в следующей таблице.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993"/>
        <w:gridCol w:w="850"/>
        <w:gridCol w:w="710"/>
        <w:gridCol w:w="710"/>
        <w:gridCol w:w="710"/>
        <w:gridCol w:w="993"/>
        <w:gridCol w:w="993"/>
        <w:gridCol w:w="987"/>
        <w:gridCol w:w="850"/>
      </w:tblGrid>
      <w:tr w:rsidR="00AD7099" w:rsidRPr="00751A40" w:rsidTr="000123CB">
        <w:trPr>
          <w:tblHeader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099" w:rsidRPr="00751A40" w:rsidRDefault="00AD7099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113" w:right="-113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099" w:rsidRPr="00751A40" w:rsidRDefault="00AD7099" w:rsidP="00751A40">
            <w:pPr>
              <w:widowControl w:val="0"/>
              <w:ind w:left="-113" w:right="-113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Объем бюджетных ассигнований</w:t>
            </w:r>
          </w:p>
          <w:p w:rsidR="00AD7099" w:rsidRPr="00751A40" w:rsidRDefault="00AD7099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113" w:right="-113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(млн. рублей)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099" w:rsidRPr="00751A40" w:rsidRDefault="00AD7099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113" w:right="-113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 xml:space="preserve">Всего показателей </w:t>
            </w:r>
          </w:p>
        </w:tc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99" w:rsidRPr="00751A40" w:rsidRDefault="00AD7099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113" w:right="-113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Количество показателей, значения которых по сравнению с предыдущим годом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099" w:rsidRPr="00751A40" w:rsidRDefault="00AD7099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113" w:right="-113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 xml:space="preserve">Прекращают действие 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099" w:rsidRPr="00751A40" w:rsidRDefault="00AD7099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113" w:right="-113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Отклонение от предыдущего года</w:t>
            </w:r>
          </w:p>
        </w:tc>
      </w:tr>
      <w:tr w:rsidR="00AD7099" w:rsidRPr="00751A40" w:rsidTr="009320F4">
        <w:trPr>
          <w:tblHeader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099" w:rsidRPr="00751A40" w:rsidRDefault="00AD7099" w:rsidP="00751A40">
            <w:pPr>
              <w:ind w:left="-113" w:right="-113"/>
              <w:rPr>
                <w:spacing w:val="-4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099" w:rsidRPr="00751A40" w:rsidRDefault="00AD7099" w:rsidP="00751A40">
            <w:pPr>
              <w:ind w:left="-113" w:right="-113"/>
              <w:rPr>
                <w:spacing w:val="-4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099" w:rsidRPr="00751A40" w:rsidRDefault="00AD7099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113" w:right="-113"/>
              <w:jc w:val="center"/>
              <w:rPr>
                <w:spacing w:val="-4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099" w:rsidRPr="00751A40" w:rsidRDefault="00AD7099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113" w:right="-113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увеличены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099" w:rsidRPr="00751A40" w:rsidRDefault="00AD7099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113" w:right="-113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снижены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099" w:rsidRPr="00751A40" w:rsidRDefault="00AD7099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113" w:right="-113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сохранены на уровне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099" w:rsidRPr="00751A40" w:rsidRDefault="00AD7099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113" w:right="-113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начинают действие с соответст</w:t>
            </w:r>
            <w:r w:rsidR="008A37E0">
              <w:rPr>
                <w:spacing w:val="-4"/>
                <w:sz w:val="16"/>
                <w:szCs w:val="16"/>
                <w:lang w:eastAsia="en-US"/>
              </w:rPr>
              <w:t>-</w:t>
            </w:r>
            <w:r w:rsidRPr="00751A40">
              <w:rPr>
                <w:spacing w:val="-4"/>
                <w:sz w:val="16"/>
                <w:szCs w:val="16"/>
                <w:lang w:eastAsia="en-US"/>
              </w:rPr>
              <w:t>вующего года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099" w:rsidRPr="00751A40" w:rsidRDefault="00AD7099" w:rsidP="00751A40">
            <w:pPr>
              <w:ind w:left="-113" w:right="-113"/>
              <w:rPr>
                <w:spacing w:val="-4"/>
                <w:sz w:val="16"/>
                <w:szCs w:val="16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099" w:rsidRPr="00751A40" w:rsidRDefault="00AD7099" w:rsidP="00751A40">
            <w:pPr>
              <w:widowControl w:val="0"/>
              <w:ind w:left="-113" w:right="-113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бюджетных ассигнований</w:t>
            </w:r>
          </w:p>
          <w:p w:rsidR="00AD7099" w:rsidRPr="00751A40" w:rsidRDefault="00AD7099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113" w:right="-113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(млн. рублей)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099" w:rsidRPr="00751A40" w:rsidRDefault="00AD7099" w:rsidP="00751A40">
            <w:pPr>
              <w:widowControl w:val="0"/>
              <w:overflowPunct w:val="0"/>
              <w:autoSpaceDE w:val="0"/>
              <w:autoSpaceDN w:val="0"/>
              <w:adjustRightInd w:val="0"/>
              <w:ind w:left="-113" w:right="-113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количества показателей</w:t>
            </w:r>
          </w:p>
        </w:tc>
      </w:tr>
      <w:tr w:rsidR="005D63C7" w:rsidRPr="00751A40" w:rsidTr="00831EA9">
        <w:trPr>
          <w:trHeight w:val="227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751A40" w:rsidRDefault="005D63C7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751A40" w:rsidRDefault="005D63C7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751A40" w:rsidRDefault="005D63C7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751A40" w:rsidRDefault="005D63C7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751A40" w:rsidRDefault="005D63C7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751A40" w:rsidRDefault="005D63C7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751A40" w:rsidRDefault="005D63C7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751A40" w:rsidRDefault="005D63C7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751A40" w:rsidRDefault="005D63C7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751A40" w:rsidRDefault="005D63C7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10</w:t>
            </w:r>
          </w:p>
        </w:tc>
      </w:tr>
      <w:tr w:rsidR="005D63C7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7" w:rsidRPr="00751A40" w:rsidRDefault="005D63C7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b/>
                <w:spacing w:val="-4"/>
                <w:sz w:val="16"/>
                <w:szCs w:val="16"/>
                <w:lang w:eastAsia="en-US"/>
              </w:rPr>
              <w:t>Всего показателей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C7" w:rsidRPr="00751A40" w:rsidRDefault="005D63C7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spacing w:val="-4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C7" w:rsidRPr="00751A40" w:rsidRDefault="005D63C7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spacing w:val="-4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C7" w:rsidRPr="00751A40" w:rsidRDefault="005D63C7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spacing w:val="-4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C7" w:rsidRPr="00751A40" w:rsidRDefault="005D63C7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spacing w:val="-4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C7" w:rsidRPr="00751A40" w:rsidRDefault="005D63C7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spacing w:val="-4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C7" w:rsidRPr="00751A40" w:rsidRDefault="005D63C7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spacing w:val="-4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C7" w:rsidRPr="00751A40" w:rsidRDefault="005D63C7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spacing w:val="-4"/>
                <w:sz w:val="16"/>
                <w:szCs w:val="16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C7" w:rsidRPr="00751A40" w:rsidRDefault="005D63C7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spacing w:val="-4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C7" w:rsidRPr="00751A40" w:rsidRDefault="005D63C7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spacing w:val="-4"/>
                <w:sz w:val="16"/>
                <w:szCs w:val="16"/>
                <w:lang w:eastAsia="en-US"/>
              </w:rPr>
            </w:pPr>
          </w:p>
        </w:tc>
      </w:tr>
      <w:tr w:rsidR="00571031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b/>
                <w:spacing w:val="-4"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b/>
                <w:spacing w:val="-4"/>
                <w:sz w:val="16"/>
                <w:szCs w:val="16"/>
                <w:lang w:eastAsia="en-US"/>
              </w:rPr>
              <w:t>18 601,5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jc w:val="center"/>
              <w:rPr>
                <w:b/>
                <w:bCs/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b/>
                <w:bCs/>
                <w:color w:val="000000"/>
                <w:spacing w:val="-4"/>
                <w:sz w:val="16"/>
                <w:szCs w:val="16"/>
                <w:lang w:eastAsia="en-US"/>
              </w:rPr>
              <w:t>31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31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rFonts w:ascii="Calibri" w:hAnsi="Calibri" w:cs="Calibri"/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31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31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rFonts w:ascii="Calibri" w:hAnsi="Calibri" w:cs="Calibri"/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31" w:rsidRPr="00751A40" w:rsidRDefault="00571031" w:rsidP="00A36E18">
            <w:pPr>
              <w:jc w:val="center"/>
              <w:rPr>
                <w:b/>
                <w:bCs/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31" w:rsidRPr="00751A40" w:rsidRDefault="00571031" w:rsidP="00A36E18">
            <w:pPr>
              <w:jc w:val="center"/>
              <w:rPr>
                <w:b/>
                <w:bCs/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jc w:val="center"/>
              <w:rPr>
                <w:spacing w:val="-4"/>
                <w:sz w:val="20"/>
                <w:szCs w:val="20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</w:t>
            </w:r>
          </w:p>
        </w:tc>
      </w:tr>
      <w:tr w:rsidR="00A36E18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b/>
                <w:spacing w:val="-4"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b/>
                <w:spacing w:val="-4"/>
                <w:sz w:val="16"/>
                <w:szCs w:val="16"/>
                <w:lang w:eastAsia="en-US"/>
              </w:rPr>
              <w:t>22 473,8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b/>
                <w:bCs/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b/>
                <w:bCs/>
                <w:color w:val="000000"/>
                <w:spacing w:val="-4"/>
                <w:sz w:val="16"/>
                <w:szCs w:val="16"/>
                <w:lang w:eastAsia="en-US"/>
              </w:rPr>
              <w:t>29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E18" w:rsidRPr="00751A40" w:rsidRDefault="00A36E18" w:rsidP="00A36E18">
            <w:pPr>
              <w:jc w:val="center"/>
              <w:rPr>
                <w:b/>
                <w:bCs/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b/>
                <w:bCs/>
                <w:color w:val="000000"/>
                <w:spacing w:val="-4"/>
                <w:sz w:val="16"/>
                <w:szCs w:val="16"/>
                <w:lang w:eastAsia="en-US"/>
              </w:rPr>
              <w:t>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E18" w:rsidRPr="00751A40" w:rsidRDefault="00A36E18" w:rsidP="00A36E18">
            <w:pPr>
              <w:jc w:val="center"/>
              <w:rPr>
                <w:b/>
                <w:bCs/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b/>
                <w:bCs/>
                <w:color w:val="000000"/>
                <w:spacing w:val="-4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E18" w:rsidRPr="00751A40" w:rsidRDefault="00A36E18" w:rsidP="00A36E18">
            <w:pPr>
              <w:jc w:val="center"/>
              <w:rPr>
                <w:b/>
                <w:bCs/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b/>
                <w:bCs/>
                <w:color w:val="000000"/>
                <w:spacing w:val="-4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E18" w:rsidRPr="00751A40" w:rsidRDefault="00A36E18" w:rsidP="00A36E18">
            <w:pPr>
              <w:jc w:val="center"/>
              <w:rPr>
                <w:b/>
                <w:bCs/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b/>
                <w:bCs/>
                <w:color w:val="000000"/>
                <w:spacing w:val="-4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E18" w:rsidRPr="00751A40" w:rsidRDefault="00A36E18" w:rsidP="00A36E18">
            <w:pPr>
              <w:jc w:val="center"/>
              <w:rPr>
                <w:b/>
                <w:bCs/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b/>
                <w:bCs/>
                <w:color w:val="000000"/>
                <w:spacing w:val="-4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b/>
                <w:spacing w:val="-4"/>
                <w:sz w:val="16"/>
                <w:szCs w:val="16"/>
                <w:lang w:eastAsia="en-US"/>
              </w:rPr>
              <w:t>3 872,3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b/>
                <w:spacing w:val="-4"/>
                <w:sz w:val="16"/>
                <w:szCs w:val="16"/>
                <w:lang w:eastAsia="en-US"/>
              </w:rPr>
              <w:t>-2</w:t>
            </w:r>
          </w:p>
        </w:tc>
      </w:tr>
      <w:tr w:rsidR="00A36E18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b/>
                <w:spacing w:val="-4"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b/>
                <w:spacing w:val="-4"/>
                <w:sz w:val="16"/>
                <w:szCs w:val="16"/>
                <w:lang w:eastAsia="en-US"/>
              </w:rPr>
              <w:t>13 804,6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b/>
                <w:bCs/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b/>
                <w:bCs/>
                <w:color w:val="000000"/>
                <w:spacing w:val="-4"/>
                <w:sz w:val="16"/>
                <w:szCs w:val="16"/>
                <w:lang w:eastAsia="en-US"/>
              </w:rPr>
              <w:t>29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E18" w:rsidRPr="00751A40" w:rsidRDefault="00A36E18" w:rsidP="00A36E18">
            <w:pPr>
              <w:jc w:val="center"/>
              <w:rPr>
                <w:b/>
                <w:bCs/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b/>
                <w:bCs/>
                <w:color w:val="000000"/>
                <w:spacing w:val="-4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E18" w:rsidRPr="00751A40" w:rsidRDefault="00A36E18" w:rsidP="00A36E18">
            <w:pPr>
              <w:jc w:val="center"/>
              <w:rPr>
                <w:b/>
                <w:bCs/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b/>
                <w:bCs/>
                <w:color w:val="000000"/>
                <w:spacing w:val="-4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E18" w:rsidRPr="00751A40" w:rsidRDefault="00A36E18" w:rsidP="00A36E18">
            <w:pPr>
              <w:jc w:val="center"/>
              <w:rPr>
                <w:b/>
                <w:bCs/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b/>
                <w:bCs/>
                <w:color w:val="000000"/>
                <w:spacing w:val="-4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E18" w:rsidRPr="00751A40" w:rsidRDefault="00A36E18" w:rsidP="00A36E18">
            <w:pPr>
              <w:jc w:val="center"/>
              <w:rPr>
                <w:b/>
                <w:bCs/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E18" w:rsidRPr="00751A40" w:rsidRDefault="00A36E18" w:rsidP="00A36E18">
            <w:pPr>
              <w:jc w:val="center"/>
              <w:rPr>
                <w:b/>
                <w:bCs/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b/>
                <w:spacing w:val="-4"/>
                <w:sz w:val="16"/>
                <w:szCs w:val="16"/>
                <w:lang w:eastAsia="en-US"/>
              </w:rPr>
              <w:t>-8 669,2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b/>
                <w:spacing w:val="-4"/>
                <w:sz w:val="16"/>
                <w:szCs w:val="16"/>
                <w:lang w:eastAsia="en-US"/>
              </w:rPr>
              <w:t>-</w:t>
            </w:r>
          </w:p>
        </w:tc>
      </w:tr>
      <w:tr w:rsidR="00A36E18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b/>
                <w:spacing w:val="-4"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b/>
                <w:spacing w:val="-4"/>
                <w:sz w:val="16"/>
                <w:szCs w:val="16"/>
                <w:lang w:eastAsia="en-US"/>
              </w:rPr>
              <w:t>13 372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b/>
                <w:bCs/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b/>
                <w:bCs/>
                <w:color w:val="000000"/>
                <w:spacing w:val="-4"/>
                <w:sz w:val="16"/>
                <w:szCs w:val="16"/>
                <w:lang w:eastAsia="en-US"/>
              </w:rPr>
              <w:t>29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E18" w:rsidRPr="00751A40" w:rsidRDefault="00A36E18" w:rsidP="00A36E18">
            <w:pPr>
              <w:jc w:val="center"/>
              <w:rPr>
                <w:b/>
                <w:bCs/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b/>
                <w:bCs/>
                <w:color w:val="000000"/>
                <w:spacing w:val="-4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E18" w:rsidRPr="00751A40" w:rsidRDefault="00A36E18" w:rsidP="00A36E18">
            <w:pPr>
              <w:jc w:val="center"/>
              <w:rPr>
                <w:b/>
                <w:bCs/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b/>
                <w:bCs/>
                <w:color w:val="000000"/>
                <w:spacing w:val="-4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E18" w:rsidRPr="00751A40" w:rsidRDefault="00A36E18" w:rsidP="00A36E18">
            <w:pPr>
              <w:jc w:val="center"/>
              <w:rPr>
                <w:b/>
                <w:bCs/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b/>
                <w:bCs/>
                <w:color w:val="000000"/>
                <w:spacing w:val="-4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E18" w:rsidRPr="00751A40" w:rsidRDefault="00A36E18" w:rsidP="00A36E18">
            <w:pPr>
              <w:jc w:val="center"/>
              <w:rPr>
                <w:b/>
                <w:bCs/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b/>
                <w:bCs/>
                <w:color w:val="000000"/>
                <w:spacing w:val="-4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E18" w:rsidRPr="00751A40" w:rsidRDefault="00A36E18" w:rsidP="00A36E18">
            <w:pPr>
              <w:jc w:val="center"/>
              <w:rPr>
                <w:b/>
                <w:bCs/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b/>
                <w:bCs/>
                <w:color w:val="000000"/>
                <w:spacing w:val="-4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b/>
                <w:spacing w:val="-4"/>
                <w:sz w:val="16"/>
                <w:szCs w:val="16"/>
                <w:lang w:eastAsia="en-US"/>
              </w:rPr>
              <w:t>-432,6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b/>
                <w:spacing w:val="-4"/>
                <w:sz w:val="16"/>
                <w:szCs w:val="16"/>
                <w:lang w:eastAsia="en-US"/>
              </w:rPr>
              <w:t>-</w:t>
            </w:r>
          </w:p>
        </w:tc>
      </w:tr>
      <w:tr w:rsidR="00A36E18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b/>
                <w:bCs/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b/>
                <w:bCs/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b/>
                <w:bCs/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b/>
                <w:bCs/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b/>
                <w:bCs/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b/>
                <w:bCs/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</w:p>
        </w:tc>
      </w:tr>
      <w:tr w:rsidR="00A36E18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D7099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spacing w:val="-4"/>
                <w:sz w:val="16"/>
                <w:szCs w:val="16"/>
                <w:lang w:eastAsia="en-US"/>
              </w:rPr>
            </w:pPr>
            <w:r>
              <w:rPr>
                <w:spacing w:val="-4"/>
                <w:sz w:val="16"/>
                <w:szCs w:val="16"/>
                <w:lang w:eastAsia="en-US"/>
              </w:rPr>
              <w:t>н</w:t>
            </w:r>
            <w:r w:rsidR="00A36E18" w:rsidRPr="00751A40">
              <w:rPr>
                <w:spacing w:val="-4"/>
                <w:sz w:val="16"/>
                <w:szCs w:val="16"/>
                <w:lang w:eastAsia="en-US"/>
              </w:rPr>
              <w:t>а уровне госпрограммы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</w:p>
        </w:tc>
      </w:tr>
      <w:tr w:rsidR="00571031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lastRenderedPageBreak/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b/>
                <w:spacing w:val="-4"/>
                <w:sz w:val="16"/>
                <w:szCs w:val="16"/>
                <w:lang w:eastAsia="en-US"/>
              </w:rPr>
              <w:t>18 601,5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rFonts w:ascii="Calibri" w:hAnsi="Calibri" w:cs="Calibri"/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031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rFonts w:ascii="Calibri" w:hAnsi="Calibri" w:cs="Calibri"/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</w:t>
            </w:r>
          </w:p>
        </w:tc>
      </w:tr>
      <w:tr w:rsidR="00A36E18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b/>
                <w:spacing w:val="-4"/>
                <w:sz w:val="16"/>
                <w:szCs w:val="16"/>
                <w:lang w:eastAsia="en-US"/>
              </w:rPr>
              <w:t>22 473,8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b/>
                <w:spacing w:val="-4"/>
                <w:sz w:val="16"/>
                <w:szCs w:val="16"/>
                <w:lang w:eastAsia="en-US"/>
              </w:rPr>
              <w:t>3 872,3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</w:t>
            </w:r>
          </w:p>
        </w:tc>
      </w:tr>
      <w:tr w:rsidR="00A36E18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b/>
                <w:spacing w:val="-4"/>
                <w:sz w:val="16"/>
                <w:szCs w:val="16"/>
                <w:lang w:eastAsia="en-US"/>
              </w:rPr>
              <w:t>13 804,6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b/>
                <w:spacing w:val="-4"/>
                <w:sz w:val="16"/>
                <w:szCs w:val="16"/>
                <w:lang w:eastAsia="en-US"/>
              </w:rPr>
              <w:t>-8 669,2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</w:t>
            </w:r>
          </w:p>
        </w:tc>
      </w:tr>
      <w:tr w:rsidR="00A36E18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b/>
                <w:spacing w:val="-4"/>
                <w:sz w:val="16"/>
                <w:szCs w:val="16"/>
                <w:lang w:eastAsia="en-US"/>
              </w:rPr>
              <w:t>13 372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b/>
                <w:spacing w:val="-4"/>
                <w:sz w:val="16"/>
                <w:szCs w:val="16"/>
                <w:lang w:eastAsia="en-US"/>
              </w:rPr>
              <w:t>-432,6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</w:t>
            </w:r>
          </w:p>
        </w:tc>
      </w:tr>
      <w:tr w:rsidR="00A36E18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по подпрограмме «Развитие и модернизация электроэнергетики»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</w:p>
        </w:tc>
      </w:tr>
      <w:tr w:rsidR="00A36E18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11 185,5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571031" w:rsidP="00A36E18">
            <w:pPr>
              <w:jc w:val="center"/>
              <w:rPr>
                <w:rFonts w:ascii="Calibri" w:hAnsi="Calibri" w:cs="Calibri"/>
                <w:color w:val="000000"/>
                <w:spacing w:val="-4"/>
                <w:sz w:val="22"/>
                <w:szCs w:val="22"/>
              </w:rPr>
            </w:pPr>
            <w:r w:rsidRPr="00751A40">
              <w:rPr>
                <w:rFonts w:ascii="Calibri" w:hAnsi="Calibri" w:cs="Calibri"/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571031" w:rsidP="00A36E18">
            <w:pPr>
              <w:jc w:val="center"/>
              <w:rPr>
                <w:rFonts w:ascii="Calibri" w:hAnsi="Calibri" w:cs="Calibri"/>
                <w:color w:val="000000"/>
                <w:spacing w:val="-4"/>
                <w:sz w:val="22"/>
                <w:szCs w:val="22"/>
              </w:rPr>
            </w:pPr>
            <w:r w:rsidRPr="00751A40">
              <w:rPr>
                <w:rFonts w:ascii="Calibri" w:hAnsi="Calibri" w:cs="Calibri"/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571031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571031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</w:t>
            </w:r>
          </w:p>
        </w:tc>
      </w:tr>
      <w:tr w:rsidR="00A36E18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9 523,6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-1 661,9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571031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+</w:t>
            </w:r>
            <w:r w:rsidR="00A36E18" w:rsidRPr="00751A40">
              <w:rPr>
                <w:spacing w:val="-4"/>
                <w:sz w:val="16"/>
                <w:szCs w:val="16"/>
                <w:lang w:eastAsia="en-US"/>
              </w:rPr>
              <w:t>1</w:t>
            </w:r>
          </w:p>
        </w:tc>
      </w:tr>
      <w:tr w:rsidR="00A36E18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1 218,1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-8 305,5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</w:t>
            </w:r>
          </w:p>
        </w:tc>
      </w:tr>
      <w:tr w:rsidR="00A36E18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1 218,1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571031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+</w:t>
            </w:r>
            <w:r w:rsidR="00A36E18" w:rsidRPr="00751A40">
              <w:rPr>
                <w:spacing w:val="-4"/>
                <w:sz w:val="16"/>
                <w:szCs w:val="16"/>
                <w:lang w:eastAsia="en-US"/>
              </w:rPr>
              <w:t>2</w:t>
            </w:r>
          </w:p>
        </w:tc>
      </w:tr>
      <w:tr w:rsidR="00A36E18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по подпрограмме «Развитие нефтяной и газовой отрасли»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</w:p>
        </w:tc>
      </w:tr>
      <w:tr w:rsidR="00571031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031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031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rFonts w:ascii="Calibri" w:hAnsi="Calibri" w:cs="Calibri"/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031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031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rFonts w:ascii="Calibri" w:hAnsi="Calibri" w:cs="Calibri"/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</w:t>
            </w:r>
          </w:p>
        </w:tc>
      </w:tr>
      <w:tr w:rsidR="00A36E18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rFonts w:ascii="Calibri" w:hAnsi="Calibri" w:cs="Calibri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571031" w:rsidP="00A36E18">
            <w:pPr>
              <w:jc w:val="center"/>
              <w:rPr>
                <w:rFonts w:ascii="Calibri" w:hAnsi="Calibri" w:cs="Calibri"/>
                <w:color w:val="000000"/>
                <w:spacing w:val="-4"/>
                <w:sz w:val="22"/>
                <w:szCs w:val="22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-1</w:t>
            </w:r>
          </w:p>
        </w:tc>
      </w:tr>
      <w:tr w:rsidR="00A36E18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rFonts w:ascii="Calibri" w:hAnsi="Calibri" w:cs="Calibri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</w:t>
            </w:r>
          </w:p>
        </w:tc>
      </w:tr>
      <w:tr w:rsidR="00A36E18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-1</w:t>
            </w:r>
          </w:p>
        </w:tc>
      </w:tr>
      <w:tr w:rsidR="00A36E18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по подпрограмме «Реструктуризация и развитие угольной и торфяной промышленности»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</w:p>
        </w:tc>
      </w:tr>
      <w:tr w:rsidR="00571031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4 523,1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031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rFonts w:ascii="Calibri" w:hAnsi="Calibri" w:cs="Calibri"/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031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031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rFonts w:ascii="Calibri" w:hAnsi="Calibri" w:cs="Calibri"/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jc w:val="center"/>
              <w:rPr>
                <w:rFonts w:ascii="Calibri" w:hAnsi="Calibri" w:cs="Calibri"/>
                <w:color w:val="000000"/>
                <w:spacing w:val="-4"/>
                <w:sz w:val="22"/>
                <w:szCs w:val="22"/>
              </w:rPr>
            </w:pPr>
            <w:r w:rsidRPr="00751A40">
              <w:rPr>
                <w:color w:val="000000"/>
                <w:spacing w:val="-4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jc w:val="center"/>
              <w:rPr>
                <w:spacing w:val="-4"/>
                <w:sz w:val="20"/>
                <w:szCs w:val="20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</w:t>
            </w:r>
          </w:p>
        </w:tc>
      </w:tr>
      <w:tr w:rsidR="00A36E18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4 469,6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rFonts w:ascii="Calibri" w:hAnsi="Calibri" w:cs="Calibri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rFonts w:ascii="Calibri" w:hAnsi="Calibri" w:cs="Calibri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- 53,5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</w:t>
            </w:r>
          </w:p>
        </w:tc>
      </w:tr>
      <w:tr w:rsidR="00A36E18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4 416,9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-52,7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</w:t>
            </w:r>
          </w:p>
        </w:tc>
      </w:tr>
      <w:tr w:rsidR="00A36E18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4 421,6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-1</w:t>
            </w:r>
          </w:p>
        </w:tc>
      </w:tr>
      <w:tr w:rsidR="00A36E18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по подпрограмме «Обеспечение реализации государственной программы Российской Федерации «Развитие энергетики»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</w:p>
        </w:tc>
      </w:tr>
      <w:tr w:rsidR="00571031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2 892,9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rFonts w:ascii="Calibri" w:hAnsi="Calibri" w:cs="Calibri"/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jc w:val="center"/>
              <w:rPr>
                <w:rFonts w:ascii="Calibri" w:hAnsi="Calibri" w:cs="Calibri"/>
                <w:color w:val="000000"/>
                <w:spacing w:val="-4"/>
                <w:sz w:val="22"/>
                <w:szCs w:val="22"/>
              </w:rPr>
            </w:pPr>
            <w:r w:rsidRPr="00751A40">
              <w:rPr>
                <w:rFonts w:ascii="Calibri" w:hAnsi="Calibri" w:cs="Calibri"/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</w:t>
            </w:r>
          </w:p>
        </w:tc>
      </w:tr>
      <w:tr w:rsidR="00A36E18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3 500,7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607,8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-2</w:t>
            </w:r>
          </w:p>
        </w:tc>
      </w:tr>
      <w:tr w:rsidR="00A36E18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3 189,6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-311,1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</w:t>
            </w:r>
          </w:p>
        </w:tc>
      </w:tr>
      <w:tr w:rsidR="00A36E18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2 752,3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-437,3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</w:t>
            </w:r>
          </w:p>
        </w:tc>
      </w:tr>
      <w:tr w:rsidR="00A36E18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по подпрограмме «Развитие рынка газомоторного топлива»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</w:p>
        </w:tc>
      </w:tr>
      <w:tr w:rsidR="00571031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031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031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rFonts w:ascii="Calibri" w:hAnsi="Calibri" w:cs="Calibri"/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031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031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rFonts w:ascii="Calibri" w:hAnsi="Calibri" w:cs="Calibri"/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031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031" w:rsidRPr="00751A40" w:rsidRDefault="00571031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751A40">
              <w:rPr>
                <w:color w:val="000000"/>
                <w:spacing w:val="-4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031" w:rsidRPr="00751A40" w:rsidRDefault="00571031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</w:t>
            </w:r>
          </w:p>
        </w:tc>
      </w:tr>
      <w:tr w:rsidR="00A36E18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4 980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</w:p>
        </w:tc>
      </w:tr>
      <w:tr w:rsidR="00A36E18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4 980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</w:p>
        </w:tc>
      </w:tr>
      <w:tr w:rsidR="00A36E18" w:rsidRPr="00751A40" w:rsidTr="00831EA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4 980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  <w:r w:rsidRPr="00751A40">
              <w:rPr>
                <w:spacing w:val="-4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18" w:rsidRPr="00751A40" w:rsidRDefault="00A36E18" w:rsidP="00A36E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pacing w:val="-4"/>
                <w:sz w:val="16"/>
                <w:szCs w:val="16"/>
                <w:lang w:eastAsia="en-US"/>
              </w:rPr>
            </w:pPr>
          </w:p>
        </w:tc>
      </w:tr>
    </w:tbl>
    <w:p w:rsidR="005D63C7" w:rsidRDefault="005D63C7" w:rsidP="005D63C7">
      <w:pPr>
        <w:pStyle w:val="a3"/>
        <w:spacing w:after="0" w:line="360" w:lineRule="auto"/>
        <w:ind w:firstLine="0"/>
        <w:rPr>
          <w:sz w:val="16"/>
          <w:szCs w:val="16"/>
        </w:rPr>
      </w:pPr>
      <w:r w:rsidRPr="00A61CAF">
        <w:rPr>
          <w:sz w:val="16"/>
          <w:szCs w:val="16"/>
        </w:rPr>
        <w:t>* В соответствии с проектом паспорта ГП-30.</w:t>
      </w:r>
    </w:p>
    <w:p w:rsidR="000A603E" w:rsidRDefault="000A603E" w:rsidP="005D63C7">
      <w:pPr>
        <w:autoSpaceDN w:val="0"/>
        <w:spacing w:line="312" w:lineRule="auto"/>
        <w:ind w:firstLine="709"/>
        <w:jc w:val="both"/>
      </w:pPr>
      <w:r>
        <w:t xml:space="preserve">В целом по ГП-30 планируется </w:t>
      </w:r>
      <w:r w:rsidRPr="000A603E">
        <w:rPr>
          <w:b/>
        </w:rPr>
        <w:t>увеличение</w:t>
      </w:r>
      <w:r>
        <w:t xml:space="preserve"> </w:t>
      </w:r>
      <w:r w:rsidRPr="000A603E">
        <w:rPr>
          <w:b/>
        </w:rPr>
        <w:t>бюджетных ассигнований</w:t>
      </w:r>
      <w:r>
        <w:t xml:space="preserve"> на 2020 год на 3 872,3 млн. рублей (на 20,8 %), в 2021 и 2022 году планируется </w:t>
      </w:r>
      <w:r w:rsidRPr="000A603E">
        <w:rPr>
          <w:b/>
        </w:rPr>
        <w:t>уменьшение бюджетных ассигнований</w:t>
      </w:r>
      <w:r>
        <w:t xml:space="preserve"> на 8 669,2 млн. рублей (на 38,6 %), на 432,6 млн. рублей (3,1 %) соответственно, </w:t>
      </w:r>
      <w:r w:rsidRPr="000A603E">
        <w:rPr>
          <w:b/>
        </w:rPr>
        <w:t>при</w:t>
      </w:r>
      <w:r>
        <w:t xml:space="preserve"> </w:t>
      </w:r>
      <w:r w:rsidRPr="000A603E">
        <w:rPr>
          <w:b/>
        </w:rPr>
        <w:t xml:space="preserve">неизменном </w:t>
      </w:r>
      <w:r>
        <w:rPr>
          <w:b/>
        </w:rPr>
        <w:t xml:space="preserve">количестве </w:t>
      </w:r>
      <w:r w:rsidRPr="000A603E">
        <w:rPr>
          <w:b/>
        </w:rPr>
        <w:t>показател</w:t>
      </w:r>
      <w:r>
        <w:rPr>
          <w:b/>
        </w:rPr>
        <w:t>ей</w:t>
      </w:r>
      <w:r>
        <w:t xml:space="preserve"> на уровне госпрограммы (показатель «Темп роста инвестиций в основной капитал в топливно-энергетическом комплексе к уровню 2018 года») с устойчивой тенденцией к росту.</w:t>
      </w:r>
    </w:p>
    <w:p w:rsidR="005D63C7" w:rsidRDefault="005D63C7" w:rsidP="005D63C7">
      <w:pPr>
        <w:autoSpaceDN w:val="0"/>
        <w:spacing w:line="312" w:lineRule="auto"/>
        <w:ind w:firstLine="709"/>
        <w:jc w:val="both"/>
      </w:pPr>
      <w:r w:rsidRPr="00AB0FAC">
        <w:lastRenderedPageBreak/>
        <w:t xml:space="preserve">По подпрограмме «Обеспечение реализации государственной программы Российской Федерации «Развитие энергетики» в 2020 году </w:t>
      </w:r>
      <w:r w:rsidRPr="00FC35C9">
        <w:t xml:space="preserve">планируется </w:t>
      </w:r>
      <w:r w:rsidRPr="000A603E">
        <w:rPr>
          <w:b/>
        </w:rPr>
        <w:t>увеличение</w:t>
      </w:r>
      <w:r w:rsidRPr="00FC35C9">
        <w:t xml:space="preserve"> </w:t>
      </w:r>
      <w:r w:rsidRPr="000A603E">
        <w:rPr>
          <w:b/>
        </w:rPr>
        <w:t>бюджетных ассигнований</w:t>
      </w:r>
      <w:r w:rsidRPr="00FC35C9">
        <w:t xml:space="preserve"> на 607,8 млн. рублей (21</w:t>
      </w:r>
      <w:r w:rsidR="00831EA9">
        <w:t xml:space="preserve"> </w:t>
      </w:r>
      <w:r w:rsidRPr="00FC35C9">
        <w:t xml:space="preserve">%) при </w:t>
      </w:r>
      <w:r w:rsidR="007C7D6C">
        <w:t>увеличении</w:t>
      </w:r>
      <w:r w:rsidRPr="00FC35C9">
        <w:t xml:space="preserve"> значений </w:t>
      </w:r>
      <w:r w:rsidR="00235B7A" w:rsidRPr="000A603E">
        <w:t>5</w:t>
      </w:r>
      <w:r w:rsidRPr="00FC35C9">
        <w:t xml:space="preserve"> показателей </w:t>
      </w:r>
      <w:r w:rsidR="000A603E">
        <w:t>к</w:t>
      </w:r>
      <w:r w:rsidRPr="00FC35C9">
        <w:t xml:space="preserve"> уровн</w:t>
      </w:r>
      <w:r w:rsidR="000A603E">
        <w:t>ю</w:t>
      </w:r>
      <w:r w:rsidRPr="00FC35C9">
        <w:t xml:space="preserve"> 2019 года, в 2021 году при уменьшении бюджетных ассигнований на 311,1 млн. рублей (8,</w:t>
      </w:r>
      <w:r w:rsidR="00235B7A">
        <w:t>9</w:t>
      </w:r>
      <w:r w:rsidRPr="00FC35C9">
        <w:t xml:space="preserve"> %) по сравнению с 2020 годом при сохранении на уровне 2020 года значений </w:t>
      </w:r>
      <w:r w:rsidR="00235B7A">
        <w:t>3</w:t>
      </w:r>
      <w:r w:rsidRPr="00FC35C9">
        <w:t xml:space="preserve"> показателей, в 2022 году при уменьшении бюджетных ассигнований на 437,3 млн. рублей (13,7 %) по сравнению с 2021 годом сохранение на уровне 2021 года значений 3 показател</w:t>
      </w:r>
      <w:r w:rsidR="00831EA9">
        <w:t>ей</w:t>
      </w:r>
      <w:r w:rsidRPr="00FC35C9">
        <w:t>.</w:t>
      </w:r>
    </w:p>
    <w:p w:rsidR="005D63C7" w:rsidRPr="00F04BA5" w:rsidRDefault="00831EA9" w:rsidP="005D63C7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</w:pPr>
      <w:r w:rsidRPr="00831EA9">
        <w:rPr>
          <w:rFonts w:eastAsia="Calibri"/>
          <w:b/>
          <w:lang w:eastAsia="en-US"/>
        </w:rPr>
        <w:t>30.</w:t>
      </w:r>
      <w:r w:rsidR="005D63C7" w:rsidRPr="00831EA9">
        <w:rPr>
          <w:rFonts w:eastAsia="Calibri"/>
          <w:b/>
          <w:lang w:eastAsia="en-US"/>
        </w:rPr>
        <w:t>7</w:t>
      </w:r>
      <w:r w:rsidR="005D63C7" w:rsidRPr="00831EA9">
        <w:rPr>
          <w:b/>
        </w:rPr>
        <w:t>.</w:t>
      </w:r>
      <w:r w:rsidR="005D63C7" w:rsidRPr="00F04BA5">
        <w:t> Учитывая</w:t>
      </w:r>
      <w:r w:rsidR="005D63C7">
        <w:t xml:space="preserve"> динамику расходов на реализацию</w:t>
      </w:r>
      <w:r w:rsidR="005D63C7" w:rsidRPr="00F04BA5">
        <w:t xml:space="preserve"> </w:t>
      </w:r>
      <w:r w:rsidR="005D63C7">
        <w:t xml:space="preserve">ГП-30 в 2019 году, </w:t>
      </w:r>
      <w:r w:rsidR="005D63C7" w:rsidRPr="00F04BA5">
        <w:t xml:space="preserve">по экспертной оценке Счетной палаты, существуют </w:t>
      </w:r>
      <w:r w:rsidR="005D63C7" w:rsidRPr="000A603E">
        <w:rPr>
          <w:b/>
        </w:rPr>
        <w:t>риски недостижения показателей (индикаторов)</w:t>
      </w:r>
      <w:r w:rsidR="005D63C7" w:rsidRPr="00F04BA5">
        <w:t xml:space="preserve"> госпрограммы в 2020 году на уровне подпрограмм </w:t>
      </w:r>
      <w:r w:rsidR="00265070" w:rsidRPr="00F04BA5">
        <w:t>1</w:t>
      </w:r>
      <w:r w:rsidR="00265070">
        <w:t>3</w:t>
      </w:r>
      <w:r w:rsidR="005D63C7" w:rsidRPr="00F04BA5">
        <w:t>,</w:t>
      </w:r>
      <w:r w:rsidR="00265070">
        <w:t>8</w:t>
      </w:r>
      <w:r w:rsidR="00265070" w:rsidRPr="00F04BA5">
        <w:t xml:space="preserve"> </w:t>
      </w:r>
      <w:r w:rsidR="005D63C7" w:rsidRPr="00F04BA5">
        <w:t xml:space="preserve">% (4 показателя из </w:t>
      </w:r>
      <w:r w:rsidR="00265070">
        <w:t>29</w:t>
      </w:r>
      <w:r w:rsidR="005D63C7" w:rsidRPr="00F04BA5">
        <w:t>), в том числе:</w:t>
      </w:r>
    </w:p>
    <w:p w:rsidR="005D63C7" w:rsidRDefault="005D63C7" w:rsidP="005D63C7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</w:pPr>
      <w:r w:rsidRPr="00F04BA5">
        <w:t>«доля федеральных органов</w:t>
      </w:r>
      <w:r>
        <w:t xml:space="preserve"> исполнительной власти (субъектов государственной информационной системы топливно-энергетического комплекса), зарегистрированных в государственной информационной системе топливно-энергетического комплекса, в общем количестве федеральных органов исполнительной власти (субъектов государственной информационной системы топливно-энергетического комплекса)», с учетом несоблюдения сроков реализации мероприятий по созданию ГИС ТЭК;</w:t>
      </w:r>
    </w:p>
    <w:p w:rsidR="005D63C7" w:rsidRDefault="005D63C7" w:rsidP="005D63C7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</w:pPr>
      <w:r>
        <w:t>«доля субъектов государственной информационной системы топливно-энергетического комплекса, зарегистрированных в государственной информационной системе топливно-энергетического комплекса, в общем количестве субъектов государственной информационной системы топливно-энергетического комплекса», с учетом несоблюдения сроков реализации мероприятий по созданию ГИС ТЭК;</w:t>
      </w:r>
    </w:p>
    <w:p w:rsidR="005D63C7" w:rsidRDefault="005D63C7" w:rsidP="005D63C7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</w:pPr>
      <w:r>
        <w:t>«доля федеральных органов исполнительной власти (субъектов государственной информационной системы топливно-энергетического комплекса), предоставляющих информацию в государственную информационную систему топливно-энергетического комплекса в автоматическом режиме, в общем количестве федеральных органов исполнительной власти (субъектов государственной информационной системы топливно-энергетического комплекса)», с учетом несоблюдения сроков реализации мероприятий по созданию ГИС ТЭК;</w:t>
      </w:r>
    </w:p>
    <w:p w:rsidR="005D63C7" w:rsidRDefault="005D63C7" w:rsidP="005D63C7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</w:pPr>
      <w:r>
        <w:t>«доля субъектов государственной информационной системы топливно-энергетического комплекса, предоставляющих информацию в государственную информационную систему топливно-энергетического комплекса, в общем количестве субъектов государственной информационной системы топливно-энергетического комплекса», с учетом несоблюдения сроков реализации мероприятий по созданию ГИС ТЭК.</w:t>
      </w:r>
    </w:p>
    <w:p w:rsidR="00414E0B" w:rsidRDefault="00414E0B"/>
    <w:sectPr w:rsidR="00414E0B" w:rsidSect="006600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3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A8E" w:rsidRDefault="00E93A8E" w:rsidP="00EE2F6A">
      <w:r>
        <w:separator/>
      </w:r>
    </w:p>
  </w:endnote>
  <w:endnote w:type="continuationSeparator" w:id="0">
    <w:p w:rsidR="00E93A8E" w:rsidRDefault="00E93A8E" w:rsidP="00EE2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AE4" w:rsidRPr="006600A1" w:rsidRDefault="00E61AE4" w:rsidP="006600A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AE4" w:rsidRPr="006600A1" w:rsidRDefault="00E61AE4" w:rsidP="006600A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AE4" w:rsidRPr="006600A1" w:rsidRDefault="00E61AE4" w:rsidP="006600A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A8E" w:rsidRDefault="00E93A8E" w:rsidP="00EE2F6A">
      <w:r>
        <w:separator/>
      </w:r>
    </w:p>
  </w:footnote>
  <w:footnote w:type="continuationSeparator" w:id="0">
    <w:p w:rsidR="00E93A8E" w:rsidRDefault="00E93A8E" w:rsidP="00EE2F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0A1" w:rsidRDefault="006600A1" w:rsidP="007B2FA0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61AE4" w:rsidRPr="006600A1" w:rsidRDefault="00E61AE4" w:rsidP="006600A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0A1" w:rsidRPr="006600A1" w:rsidRDefault="006600A1" w:rsidP="007B2FA0">
    <w:pPr>
      <w:pStyle w:val="a4"/>
      <w:framePr w:wrap="around" w:vAnchor="text" w:hAnchor="margin" w:xAlign="center" w:y="1"/>
      <w:rPr>
        <w:rStyle w:val="a8"/>
      </w:rPr>
    </w:pPr>
    <w:r w:rsidRPr="006600A1">
      <w:rPr>
        <w:rStyle w:val="a8"/>
      </w:rPr>
      <w:fldChar w:fldCharType="begin"/>
    </w:r>
    <w:r w:rsidRPr="006600A1">
      <w:rPr>
        <w:rStyle w:val="a8"/>
      </w:rPr>
      <w:instrText xml:space="preserve">PAGE  </w:instrText>
    </w:r>
    <w:r w:rsidRPr="006600A1">
      <w:rPr>
        <w:rStyle w:val="a8"/>
      </w:rPr>
      <w:fldChar w:fldCharType="separate"/>
    </w:r>
    <w:r>
      <w:rPr>
        <w:rStyle w:val="a8"/>
        <w:noProof/>
      </w:rPr>
      <w:t>346</w:t>
    </w:r>
    <w:r w:rsidRPr="006600A1">
      <w:rPr>
        <w:rStyle w:val="a8"/>
      </w:rPr>
      <w:fldChar w:fldCharType="end"/>
    </w:r>
  </w:p>
  <w:p w:rsidR="00E61AE4" w:rsidRPr="006600A1" w:rsidRDefault="00E61AE4" w:rsidP="006600A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AE4" w:rsidRPr="006600A1" w:rsidRDefault="00E61AE4" w:rsidP="006600A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7"/>
    <w:rsid w:val="000A285D"/>
    <w:rsid w:val="000A603E"/>
    <w:rsid w:val="000C46FB"/>
    <w:rsid w:val="000F69B4"/>
    <w:rsid w:val="0014223F"/>
    <w:rsid w:val="001C10AF"/>
    <w:rsid w:val="00204628"/>
    <w:rsid w:val="00235B7A"/>
    <w:rsid w:val="00265070"/>
    <w:rsid w:val="00293946"/>
    <w:rsid w:val="003B1812"/>
    <w:rsid w:val="00414E0B"/>
    <w:rsid w:val="005343F1"/>
    <w:rsid w:val="00571031"/>
    <w:rsid w:val="005C17E4"/>
    <w:rsid w:val="005D63C7"/>
    <w:rsid w:val="00634542"/>
    <w:rsid w:val="006600A1"/>
    <w:rsid w:val="006E59C3"/>
    <w:rsid w:val="00751A40"/>
    <w:rsid w:val="0076008E"/>
    <w:rsid w:val="007A1508"/>
    <w:rsid w:val="007C7D6C"/>
    <w:rsid w:val="007F6A81"/>
    <w:rsid w:val="0082786A"/>
    <w:rsid w:val="00831EA9"/>
    <w:rsid w:val="008A37E0"/>
    <w:rsid w:val="009003A4"/>
    <w:rsid w:val="00973C9D"/>
    <w:rsid w:val="00994856"/>
    <w:rsid w:val="009A79EF"/>
    <w:rsid w:val="00A00CB9"/>
    <w:rsid w:val="00A32FDC"/>
    <w:rsid w:val="00A36E18"/>
    <w:rsid w:val="00AD7099"/>
    <w:rsid w:val="00B014DE"/>
    <w:rsid w:val="00BD6E59"/>
    <w:rsid w:val="00C07DCC"/>
    <w:rsid w:val="00C46BFF"/>
    <w:rsid w:val="00CF7F83"/>
    <w:rsid w:val="00E374EC"/>
    <w:rsid w:val="00E57BB9"/>
    <w:rsid w:val="00E61AE4"/>
    <w:rsid w:val="00E674C7"/>
    <w:rsid w:val="00E93A8E"/>
    <w:rsid w:val="00EC15B5"/>
    <w:rsid w:val="00EE2F6A"/>
    <w:rsid w:val="00F33866"/>
    <w:rsid w:val="00FF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заключения"/>
    <w:basedOn w:val="a"/>
    <w:qFormat/>
    <w:rsid w:val="005D63C7"/>
    <w:pPr>
      <w:widowControl w:val="0"/>
      <w:autoSpaceDE w:val="0"/>
      <w:autoSpaceDN w:val="0"/>
      <w:adjustRightInd w:val="0"/>
      <w:spacing w:after="120"/>
      <w:ind w:firstLine="709"/>
      <w:contextualSpacing/>
      <w:jc w:val="both"/>
    </w:pPr>
    <w:rPr>
      <w:szCs w:val="28"/>
    </w:rPr>
  </w:style>
  <w:style w:type="paragraph" w:styleId="a4">
    <w:name w:val="header"/>
    <w:basedOn w:val="a"/>
    <w:link w:val="a5"/>
    <w:uiPriority w:val="99"/>
    <w:unhideWhenUsed/>
    <w:rsid w:val="00EE2F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E2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E2F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2F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EE2F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заключения"/>
    <w:basedOn w:val="a"/>
    <w:qFormat/>
    <w:rsid w:val="005D63C7"/>
    <w:pPr>
      <w:widowControl w:val="0"/>
      <w:autoSpaceDE w:val="0"/>
      <w:autoSpaceDN w:val="0"/>
      <w:adjustRightInd w:val="0"/>
      <w:spacing w:after="120"/>
      <w:ind w:firstLine="709"/>
      <w:contextualSpacing/>
      <w:jc w:val="both"/>
    </w:pPr>
    <w:rPr>
      <w:szCs w:val="28"/>
    </w:rPr>
  </w:style>
  <w:style w:type="paragraph" w:styleId="a4">
    <w:name w:val="header"/>
    <w:basedOn w:val="a"/>
    <w:link w:val="a5"/>
    <w:uiPriority w:val="99"/>
    <w:unhideWhenUsed/>
    <w:rsid w:val="00EE2F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E2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E2F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2F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EE2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00564-D65B-4E08-A050-F9FF255AD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3933</Words>
  <Characters>24132</Characters>
  <Application>Microsoft Office Word</Application>
  <DocSecurity>0</DocSecurity>
  <Lines>1160</Lines>
  <Paragraphs>543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Тюшина Мария Борисовна</dc:creator>
  <cp:lastModifiedBy>Изотов С.С.</cp:lastModifiedBy>
  <cp:revision>2</cp:revision>
  <dcterms:created xsi:type="dcterms:W3CDTF">2019-10-11T18:42:00Z</dcterms:created>
  <dcterms:modified xsi:type="dcterms:W3CDTF">2019-10-11T18:42:00Z</dcterms:modified>
</cp:coreProperties>
</file>